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7"/>
        <w:ind w:firstLine="480"/>
        <w:rPr>
          <w:rFonts w:hint="default" w:ascii="Times New Roman" w:hAnsi="Times New Roman" w:eastAsia="宋体" w:cs="Times New Roman"/>
          <w:color w:val="auto"/>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44"/>
          <w:szCs w:val="44"/>
          <w:lang w:val="en-US" w:eastAsia="zh-CN"/>
        </w:rPr>
      </w:pPr>
      <w:r>
        <w:rPr>
          <w:rFonts w:hint="default" w:ascii="Times New Roman" w:hAnsi="Times New Roman" w:eastAsia="宋体" w:cs="Times New Roman"/>
          <w:b/>
          <w:bCs/>
          <w:color w:val="auto"/>
          <w:sz w:val="44"/>
          <w:szCs w:val="44"/>
          <w:lang w:val="en-US" w:eastAsia="zh-CN"/>
        </w:rPr>
        <w:t>重庆宏烨实业集团有限公司</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48"/>
          <w:szCs w:val="48"/>
          <w:lang w:eastAsia="zh-CN"/>
        </w:rPr>
      </w:pPr>
      <w:r>
        <w:rPr>
          <w:rFonts w:hint="default" w:ascii="Times New Roman" w:hAnsi="Times New Roman" w:cs="Times New Roman"/>
          <w:b/>
          <w:bCs/>
          <w:color w:val="auto"/>
          <w:sz w:val="44"/>
          <w:szCs w:val="44"/>
          <w:lang w:eastAsia="zh-CN"/>
        </w:rPr>
        <w:t>荣昌荣隆工业园污水处理厂提标及工艺技改工程项目</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48"/>
          <w:szCs w:val="48"/>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48"/>
          <w:szCs w:val="48"/>
        </w:rPr>
      </w:pPr>
      <w:r>
        <w:rPr>
          <w:rFonts w:hint="default" w:ascii="Times New Roman" w:hAnsi="Times New Roman" w:eastAsia="宋体" w:cs="Times New Roman"/>
          <w:b/>
          <w:bCs/>
          <w:color w:val="auto"/>
          <w:sz w:val="48"/>
          <w:szCs w:val="48"/>
        </w:rPr>
        <w:t>竣工环境保护验收监测报告</w:t>
      </w:r>
    </w:p>
    <w:p>
      <w:pPr>
        <w:jc w:val="center"/>
        <w:rPr>
          <w:rFonts w:hint="default" w:ascii="Times New Roman" w:hAnsi="Times New Roman" w:eastAsia="宋体" w:cs="Times New Roman"/>
          <w:color w:val="auto"/>
          <w:sz w:val="28"/>
        </w:rPr>
      </w:pPr>
    </w:p>
    <w:p>
      <w:pPr>
        <w:rPr>
          <w:rFonts w:hint="default" w:ascii="Times New Roman" w:hAnsi="Times New Roman" w:eastAsia="宋体" w:cs="Times New Roman"/>
          <w:color w:val="auto"/>
          <w:sz w:val="28"/>
        </w:rPr>
      </w:pPr>
    </w:p>
    <w:p>
      <w:pPr>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ab/>
      </w:r>
      <w:r>
        <w:rPr>
          <w:rFonts w:hint="default" w:ascii="Times New Roman" w:hAnsi="Times New Roman" w:eastAsia="宋体" w:cs="Times New Roman"/>
          <w:color w:val="auto"/>
          <w:sz w:val="28"/>
        </w:rPr>
        <w:tab/>
      </w:r>
    </w:p>
    <w:p>
      <w:pPr>
        <w:rPr>
          <w:rFonts w:hint="default" w:ascii="Times New Roman" w:hAnsi="Times New Roman" w:eastAsia="宋体" w:cs="Times New Roman"/>
          <w:color w:val="auto"/>
          <w:sz w:val="28"/>
        </w:rPr>
      </w:pPr>
    </w:p>
    <w:p>
      <w:pPr>
        <w:rPr>
          <w:rFonts w:hint="default" w:ascii="Times New Roman" w:hAnsi="Times New Roman" w:eastAsia="宋体" w:cs="Times New Roman"/>
          <w:color w:val="auto"/>
          <w:sz w:val="32"/>
        </w:rPr>
      </w:pPr>
      <w:r>
        <w:rPr>
          <w:rFonts w:hint="default" w:ascii="Times New Roman" w:hAnsi="Times New Roman" w:eastAsia="宋体" w:cs="Times New Roman"/>
          <w:color w:val="auto"/>
          <w:sz w:val="28"/>
        </w:rPr>
        <w:tab/>
      </w:r>
    </w:p>
    <w:p>
      <w:pPr>
        <w:rPr>
          <w:rFonts w:hint="default" w:ascii="Times New Roman" w:hAnsi="Times New Roman" w:eastAsia="宋体" w:cs="Times New Roman"/>
          <w:color w:val="auto"/>
          <w:sz w:val="32"/>
        </w:rPr>
      </w:pPr>
    </w:p>
    <w:p>
      <w:pPr>
        <w:rPr>
          <w:rFonts w:hint="default" w:ascii="Times New Roman" w:hAnsi="Times New Roman" w:eastAsia="宋体" w:cs="Times New Roman"/>
          <w:color w:val="auto"/>
          <w:sz w:val="32"/>
        </w:rPr>
      </w:pPr>
    </w:p>
    <w:p>
      <w:pPr>
        <w:rPr>
          <w:rFonts w:hint="default" w:ascii="Times New Roman" w:hAnsi="Times New Roman" w:eastAsia="宋体" w:cs="Times New Roman"/>
          <w:color w:val="auto"/>
          <w:sz w:val="32"/>
        </w:rPr>
      </w:pPr>
    </w:p>
    <w:p>
      <w:pPr>
        <w:rPr>
          <w:rFonts w:hint="default" w:ascii="Times New Roman" w:hAnsi="Times New Roman" w:eastAsia="宋体" w:cs="Times New Roman"/>
          <w:color w:val="auto"/>
          <w:sz w:val="32"/>
        </w:rPr>
      </w:pPr>
    </w:p>
    <w:p>
      <w:pPr>
        <w:rPr>
          <w:rFonts w:hint="default" w:ascii="Times New Roman" w:hAnsi="Times New Roman" w:eastAsia="宋体" w:cs="Times New Roman"/>
          <w:color w:val="auto"/>
          <w:sz w:val="32"/>
        </w:rPr>
      </w:pPr>
    </w:p>
    <w:p>
      <w:pPr>
        <w:rPr>
          <w:rFonts w:hint="default" w:ascii="Times New Roman" w:hAnsi="Times New Roman" w:eastAsia="宋体" w:cs="Times New Roman"/>
          <w:color w:val="auto"/>
          <w:sz w:val="32"/>
        </w:rPr>
      </w:pPr>
    </w:p>
    <w:p>
      <w:pPr>
        <w:rPr>
          <w:rFonts w:hint="default" w:ascii="Times New Roman" w:hAnsi="Times New Roman" w:eastAsia="宋体" w:cs="Times New Roman"/>
          <w:color w:val="auto"/>
          <w:sz w:val="32"/>
        </w:rPr>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kern w:val="0"/>
          <w:sz w:val="32"/>
          <w:szCs w:val="32"/>
          <w:u w:val="none"/>
          <w:lang w:val="en-US" w:eastAsia="zh-CN"/>
        </w:rPr>
      </w:pPr>
      <w:r>
        <w:rPr>
          <w:rFonts w:hint="default" w:ascii="Times New Roman" w:hAnsi="Times New Roman" w:eastAsia="宋体" w:cs="Times New Roman"/>
          <w:b/>
          <w:bCs/>
          <w:color w:val="auto"/>
          <w:kern w:val="0"/>
          <w:sz w:val="32"/>
          <w:szCs w:val="32"/>
          <w:u w:val="none"/>
          <w:lang w:eastAsia="zh-CN"/>
        </w:rPr>
        <w:t>建设</w:t>
      </w:r>
      <w:r>
        <w:rPr>
          <w:rFonts w:hint="default" w:ascii="Times New Roman" w:hAnsi="Times New Roman" w:eastAsia="宋体" w:cs="Times New Roman"/>
          <w:b/>
          <w:bCs/>
          <w:color w:val="auto"/>
          <w:kern w:val="0"/>
          <w:sz w:val="32"/>
          <w:szCs w:val="32"/>
          <w:u w:val="none"/>
        </w:rPr>
        <w:t>单位</w:t>
      </w:r>
      <w:r>
        <w:rPr>
          <w:rFonts w:hint="default" w:ascii="Times New Roman" w:hAnsi="Times New Roman" w:eastAsia="宋体" w:cs="Times New Roman"/>
          <w:b/>
          <w:bCs/>
          <w:color w:val="auto"/>
          <w:kern w:val="0"/>
          <w:sz w:val="32"/>
          <w:szCs w:val="32"/>
          <w:u w:val="none"/>
          <w:lang w:eastAsia="zh-CN"/>
        </w:rPr>
        <w:t>：</w:t>
      </w:r>
      <w:r>
        <w:rPr>
          <w:rFonts w:hint="default" w:ascii="Times New Roman" w:hAnsi="Times New Roman" w:cs="Times New Roman"/>
          <w:b/>
          <w:bCs/>
          <w:color w:val="auto"/>
          <w:kern w:val="0"/>
          <w:sz w:val="32"/>
          <w:szCs w:val="32"/>
          <w:u w:val="none"/>
          <w:lang w:val="en-US" w:eastAsia="zh-CN"/>
        </w:rPr>
        <w:t>重庆宏烨实业集团有限公司</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kern w:val="0"/>
          <w:sz w:val="32"/>
          <w:szCs w:val="32"/>
          <w:u w:val="none"/>
          <w:lang w:val="en-US" w:eastAsia="zh-CN"/>
        </w:rPr>
      </w:pPr>
      <w:r>
        <w:rPr>
          <w:rFonts w:hint="default" w:ascii="Times New Roman" w:hAnsi="Times New Roman" w:eastAsia="宋体" w:cs="Times New Roman"/>
          <w:b/>
          <w:bCs/>
          <w:color w:val="auto"/>
          <w:kern w:val="0"/>
          <w:sz w:val="32"/>
          <w:szCs w:val="32"/>
          <w:u w:val="none"/>
        </w:rPr>
        <w:t>编制单位</w:t>
      </w:r>
      <w:r>
        <w:rPr>
          <w:rFonts w:hint="default" w:ascii="Times New Roman" w:hAnsi="Times New Roman" w:eastAsia="宋体" w:cs="Times New Roman"/>
          <w:b/>
          <w:bCs/>
          <w:color w:val="auto"/>
          <w:kern w:val="0"/>
          <w:sz w:val="32"/>
          <w:szCs w:val="32"/>
          <w:u w:val="none"/>
          <w:lang w:eastAsia="zh-CN"/>
        </w:rPr>
        <w:t>：</w:t>
      </w:r>
      <w:r>
        <w:rPr>
          <w:rFonts w:hint="default" w:ascii="Times New Roman" w:hAnsi="Times New Roman" w:cs="Times New Roman"/>
          <w:b/>
          <w:bCs/>
          <w:color w:val="auto"/>
          <w:kern w:val="0"/>
          <w:sz w:val="32"/>
          <w:szCs w:val="32"/>
          <w:u w:val="none"/>
          <w:lang w:val="en-US" w:eastAsia="zh-CN"/>
        </w:rPr>
        <w:t>重庆惠能标普科技有限公司</w:t>
      </w:r>
    </w:p>
    <w:p>
      <w:pPr>
        <w:jc w:val="center"/>
        <w:rPr>
          <w:rFonts w:hint="default" w:ascii="Times New Roman" w:hAnsi="Times New Roman" w:eastAsia="宋体" w:cs="Times New Roman"/>
          <w:color w:val="auto"/>
          <w:sz w:val="32"/>
        </w:rPr>
        <w:sectPr>
          <w:footerReference r:id="rId5" w:type="default"/>
          <w:pgSz w:w="11907" w:h="16840"/>
          <w:pgMar w:top="1440" w:right="1531" w:bottom="1440" w:left="1531" w:header="851" w:footer="992" w:gutter="454"/>
          <w:pgBorders>
            <w:top w:val="none" w:sz="0" w:space="0"/>
            <w:left w:val="none" w:sz="0" w:space="0"/>
            <w:bottom w:val="none" w:sz="0" w:space="0"/>
            <w:right w:val="none" w:sz="0" w:space="0"/>
          </w:pgBorders>
          <w:pgNumType w:fmt="decimal"/>
          <w:cols w:space="720" w:num="1"/>
          <w:titlePg/>
          <w:rtlGutter w:val="0"/>
          <w:docGrid w:type="lines" w:linePitch="320" w:charSpace="0"/>
        </w:sectPr>
      </w:pPr>
      <w:r>
        <w:rPr>
          <w:rFonts w:hint="default" w:ascii="Times New Roman" w:hAnsi="Times New Roman" w:eastAsia="宋体" w:cs="Times New Roman"/>
          <w:b/>
          <w:bCs w:val="0"/>
          <w:color w:val="auto"/>
          <w:sz w:val="32"/>
        </w:rPr>
        <w:t>二零二</w:t>
      </w:r>
      <w:r>
        <w:rPr>
          <w:rFonts w:hint="eastAsia" w:cs="Times New Roman"/>
          <w:b/>
          <w:bCs w:val="0"/>
          <w:color w:val="auto"/>
          <w:sz w:val="32"/>
          <w:lang w:val="en-US" w:eastAsia="zh-CN"/>
        </w:rPr>
        <w:t>二</w:t>
      </w:r>
      <w:r>
        <w:rPr>
          <w:rFonts w:hint="default" w:ascii="Times New Roman" w:hAnsi="Times New Roman" w:eastAsia="宋体" w:cs="Times New Roman"/>
          <w:b/>
          <w:bCs w:val="0"/>
          <w:color w:val="auto"/>
          <w:sz w:val="32"/>
        </w:rPr>
        <w:t>年</w:t>
      </w:r>
      <w:r>
        <w:rPr>
          <w:rFonts w:hint="default" w:ascii="Times New Roman" w:hAnsi="Times New Roman" w:cs="Times New Roman"/>
          <w:b/>
          <w:bCs w:val="0"/>
          <w:color w:val="auto"/>
          <w:sz w:val="32"/>
          <w:lang w:eastAsia="zh-CN"/>
        </w:rPr>
        <w:t>十</w:t>
      </w:r>
      <w:r>
        <w:rPr>
          <w:rFonts w:hint="default" w:ascii="Times New Roman" w:hAnsi="Times New Roman" w:eastAsia="宋体" w:cs="Times New Roman"/>
          <w:b/>
          <w:bCs w:val="0"/>
          <w:color w:val="auto"/>
          <w:sz w:val="32"/>
        </w:rPr>
        <w:t>月</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val="0"/>
          <w:bCs/>
          <w:color w:val="auto"/>
          <w:sz w:val="28"/>
          <w:szCs w:val="28"/>
          <w:lang w:val="en-US" w:eastAsia="zh-CN"/>
        </w:rPr>
        <w:sectPr>
          <w:footerReference r:id="rId6" w:type="default"/>
          <w:footerReference r:id="rId7" w:type="even"/>
          <w:pgSz w:w="11907" w:h="16840"/>
          <w:pgMar w:top="1440" w:right="1531" w:bottom="1440" w:left="1531" w:header="851" w:footer="992" w:gutter="454"/>
          <w:pgBorders>
            <w:top w:val="none" w:sz="0" w:space="0"/>
            <w:left w:val="none" w:sz="0" w:space="0"/>
            <w:bottom w:val="none" w:sz="0" w:space="0"/>
            <w:right w:val="none" w:sz="0" w:space="0"/>
          </w:pgBorders>
          <w:pgNumType w:fmt="decimal" w:start="1"/>
          <w:cols w:space="720" w:num="1"/>
          <w:rtlGutter w:val="0"/>
          <w:docGrid w:type="lines" w:linePitch="320" w:charSpace="0"/>
        </w:sectPr>
      </w:pPr>
      <w:bookmarkStart w:id="0" w:name="_Hlk57906166"/>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val="0"/>
          <w:bCs/>
          <w:color w:val="auto"/>
          <w:sz w:val="28"/>
          <w:szCs w:val="28"/>
          <w:lang w:val="en-US" w:eastAsia="zh-CN"/>
        </w:rPr>
      </w:pPr>
      <w:r>
        <w:rPr>
          <w:rFonts w:hint="default" w:ascii="Times New Roman" w:hAnsi="Times New Roman" w:cs="Times New Roman"/>
          <w:b w:val="0"/>
          <w:bCs/>
          <w:color w:val="auto"/>
          <w:sz w:val="28"/>
          <w:szCs w:val="28"/>
          <w:lang w:val="en-US" w:eastAsia="zh-CN"/>
        </w:rPr>
        <w:t>建设单位：重庆宏烨实业集团有限公司</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val="0"/>
          <w:bCs/>
          <w:color w:val="auto"/>
          <w:sz w:val="28"/>
          <w:szCs w:val="28"/>
          <w:lang w:val="en-US" w:eastAsia="zh-CN"/>
        </w:rPr>
      </w:pPr>
      <w:r>
        <w:rPr>
          <w:rFonts w:hint="default" w:ascii="Times New Roman" w:hAnsi="Times New Roman" w:eastAsia="宋体" w:cs="Times New Roman"/>
          <w:b w:val="0"/>
          <w:bCs/>
          <w:color w:val="auto"/>
          <w:sz w:val="28"/>
          <w:szCs w:val="28"/>
        </w:rPr>
        <w:t>建设单位法人代表</w:t>
      </w:r>
      <w:r>
        <w:rPr>
          <w:rFonts w:hint="default" w:ascii="Times New Roman" w:hAnsi="Times New Roman" w:eastAsia="宋体" w:cs="Times New Roman"/>
          <w:b w:val="0"/>
          <w:bCs/>
          <w:color w:val="auto"/>
          <w:sz w:val="28"/>
          <w:szCs w:val="28"/>
          <w:lang w:val="en-US" w:eastAsia="zh-CN"/>
        </w:rPr>
        <w:t>：</w:t>
      </w:r>
      <w:r>
        <w:rPr>
          <w:rFonts w:hint="default" w:ascii="Times New Roman" w:hAnsi="Times New Roman" w:cs="Times New Roman"/>
          <w:b w:val="0"/>
          <w:bCs/>
          <w:color w:val="auto"/>
          <w:sz w:val="28"/>
          <w:szCs w:val="28"/>
          <w:lang w:val="en-US" w:eastAsia="zh-CN"/>
        </w:rPr>
        <w:t>刘勇</w:t>
      </w:r>
    </w:p>
    <w:p>
      <w:pPr>
        <w:pStyle w:val="2"/>
        <w:rPr>
          <w:rFonts w:hint="default" w:ascii="Times New Roman" w:hAnsi="Times New Roman" w:cs="Times New Roman"/>
          <w:color w:val="auto"/>
          <w:lang w:val="en-US"/>
        </w:rPr>
      </w:pP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9"/>
        <w:rPr>
          <w:rFonts w:hint="default" w:ascii="Times New Roman" w:hAnsi="Times New Roman" w:eastAsia="宋体" w:cs="Times New Roman"/>
          <w:b w:val="0"/>
          <w:bCs/>
          <w:color w:val="auto"/>
          <w:spacing w:val="0"/>
          <w:w w:val="100"/>
          <w:sz w:val="28"/>
          <w:lang w:val="en-US" w:eastAsia="zh-CN"/>
        </w:rPr>
      </w:pPr>
      <w:r>
        <w:rPr>
          <w:rFonts w:hint="default" w:ascii="Times New Roman" w:hAnsi="Times New Roman" w:eastAsia="宋体" w:cs="Times New Roman"/>
          <w:b w:val="0"/>
          <w:bCs/>
          <w:color w:val="auto"/>
          <w:spacing w:val="0"/>
          <w:w w:val="100"/>
          <w:sz w:val="28"/>
          <w:lang w:val="en-US" w:eastAsia="zh-CN"/>
        </w:rPr>
        <w:t>编制单位：重庆惠能标普科技有限公司</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9"/>
        <w:rPr>
          <w:rFonts w:hint="default" w:ascii="Times New Roman" w:hAnsi="Times New Roman" w:eastAsia="宋体" w:cs="Times New Roman"/>
          <w:b w:val="0"/>
          <w:bCs/>
          <w:color w:val="auto"/>
          <w:spacing w:val="0"/>
          <w:w w:val="100"/>
          <w:sz w:val="28"/>
          <w:lang w:val="en-US" w:eastAsia="zh-CN"/>
        </w:rPr>
      </w:pPr>
      <w:r>
        <w:rPr>
          <w:rFonts w:hint="default" w:ascii="Times New Roman" w:hAnsi="Times New Roman" w:eastAsia="宋体" w:cs="Times New Roman"/>
          <w:b w:val="0"/>
          <w:bCs/>
          <w:color w:val="auto"/>
          <w:spacing w:val="0"/>
          <w:w w:val="100"/>
          <w:sz w:val="28"/>
          <w:lang w:val="en-US" w:eastAsia="zh-CN"/>
        </w:rPr>
        <w:t>法人代表：赵川</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left"/>
        <w:textAlignment w:val="auto"/>
        <w:outlineLvl w:val="9"/>
        <w:rPr>
          <w:rFonts w:hint="default" w:ascii="Times New Roman" w:hAnsi="Times New Roman" w:eastAsia="宋体" w:cs="Times New Roman"/>
          <w:b w:val="0"/>
          <w:bCs/>
          <w:color w:val="auto"/>
          <w:spacing w:val="0"/>
          <w:w w:val="100"/>
          <w:sz w:val="28"/>
          <w:lang w:val="en-US" w:eastAsia="zh-CN"/>
        </w:rPr>
      </w:pPr>
      <w:r>
        <w:rPr>
          <w:rFonts w:hint="default" w:ascii="Times New Roman" w:hAnsi="Times New Roman" w:eastAsia="宋体" w:cs="Times New Roman"/>
          <w:b w:val="0"/>
          <w:bCs/>
          <w:color w:val="auto"/>
          <w:spacing w:val="0"/>
          <w:w w:val="100"/>
          <w:sz w:val="28"/>
          <w:lang w:val="en-US" w:eastAsia="zh-CN"/>
        </w:rPr>
        <w:t>项目负责人：</w:t>
      </w:r>
      <w:r>
        <w:rPr>
          <w:rFonts w:hint="default" w:ascii="Times New Roman" w:hAnsi="Times New Roman" w:cs="Times New Roman"/>
          <w:b w:val="0"/>
          <w:bCs/>
          <w:color w:val="auto"/>
          <w:spacing w:val="0"/>
          <w:w w:val="100"/>
          <w:sz w:val="28"/>
          <w:lang w:val="en-US" w:eastAsia="zh-CN"/>
        </w:rPr>
        <w:t>周洋</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outlineLvl w:val="9"/>
        <w:rPr>
          <w:rFonts w:hint="default" w:ascii="Times New Roman" w:hAnsi="Times New Roman" w:eastAsia="宋体" w:cs="Times New Roman"/>
          <w:color w:val="auto"/>
          <w:spacing w:val="0"/>
          <w:w w:val="100"/>
          <w:sz w:val="28"/>
        </w:rPr>
      </w:pP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0"/>
          <w:w w:val="100"/>
          <w:sz w:val="28"/>
        </w:rPr>
      </w:pPr>
    </w:p>
    <w:p>
      <w:pPr>
        <w:keepNext w:val="0"/>
        <w:keepLines w:val="0"/>
        <w:pageBreakBefore w:val="0"/>
        <w:widowControl/>
        <w:tabs>
          <w:tab w:val="left" w:pos="984"/>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0"/>
          <w:w w:val="100"/>
          <w:sz w:val="28"/>
        </w:rPr>
      </w:pPr>
    </w:p>
    <w:p>
      <w:pPr>
        <w:keepNext w:val="0"/>
        <w:keepLines w:val="0"/>
        <w:pageBreakBefore w:val="0"/>
        <w:widowControl/>
        <w:tabs>
          <w:tab w:val="left" w:pos="984"/>
        </w:tabs>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0"/>
          <w:w w:val="100"/>
          <w:sz w:val="28"/>
        </w:rPr>
      </w:pP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0"/>
          <w:w w:val="100"/>
          <w:sz w:val="28"/>
        </w:rPr>
      </w:pP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pacing w:val="0"/>
          <w:w w:val="100"/>
          <w:sz w:val="28"/>
        </w:rPr>
      </w:pPr>
    </w:p>
    <w:tbl>
      <w:tblPr>
        <w:tblStyle w:val="34"/>
        <w:tblpPr w:leftFromText="180" w:rightFromText="180" w:vertAnchor="text" w:horzAnchor="page" w:tblpX="1912" w:tblpY="3370"/>
        <w:tblOverlap w:val="never"/>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11" w:type="pct"/>
            <w:vAlign w:val="center"/>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rPr>
              <w:t>建设单位</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重庆宏烨实业集团有限公司</w:t>
            </w:r>
          </w:p>
        </w:tc>
        <w:tc>
          <w:tcPr>
            <w:tcW w:w="2488" w:type="pct"/>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编制单位：重庆惠能标普科技有限公司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11" w:type="pct"/>
            <w:vAlign w:val="center"/>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rPr>
              <w:t>电话</w:t>
            </w:r>
            <w:r>
              <w:rPr>
                <w:rFonts w:hint="default" w:ascii="Times New Roman" w:hAnsi="Times New Roman" w:eastAsia="宋体" w:cs="Times New Roman"/>
                <w:color w:val="auto"/>
                <w:sz w:val="28"/>
                <w:szCs w:val="28"/>
                <w:lang w:eastAsia="zh-CN"/>
              </w:rPr>
              <w:t>：</w:t>
            </w:r>
            <w:r>
              <w:rPr>
                <w:rFonts w:hint="default" w:ascii="Times New Roman" w:hAnsi="Times New Roman" w:cs="Times New Roman"/>
                <w:color w:val="auto"/>
                <w:sz w:val="28"/>
                <w:szCs w:val="28"/>
                <w:lang w:val="en-US" w:eastAsia="zh-CN"/>
              </w:rPr>
              <w:t>15223069720</w:t>
            </w:r>
          </w:p>
        </w:tc>
        <w:tc>
          <w:tcPr>
            <w:tcW w:w="2488" w:type="pct"/>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电话：023-60391404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11" w:type="pct"/>
            <w:vAlign w:val="center"/>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传真</w:t>
            </w:r>
            <w:r>
              <w:rPr>
                <w:rFonts w:hint="default" w:ascii="Times New Roman" w:hAnsi="Times New Roman" w:eastAsia="宋体" w:cs="Times New Roman"/>
                <w:color w:val="auto"/>
                <w:sz w:val="28"/>
                <w:szCs w:val="28"/>
                <w:lang w:eastAsia="zh-CN"/>
              </w:rPr>
              <w:t>：</w:t>
            </w:r>
            <w:r>
              <w:rPr>
                <w:rFonts w:hint="default" w:ascii="Times New Roman" w:hAnsi="Times New Roman" w:cs="Times New Roman"/>
                <w:color w:val="auto"/>
                <w:sz w:val="28"/>
                <w:szCs w:val="28"/>
                <w:lang w:val="en-US" w:eastAsia="zh-CN"/>
              </w:rPr>
              <w:t>/</w:t>
            </w:r>
          </w:p>
        </w:tc>
        <w:tc>
          <w:tcPr>
            <w:tcW w:w="2488" w:type="pct"/>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传真：023-60391404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11" w:type="pct"/>
            <w:vAlign w:val="center"/>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lang w:val="en-US"/>
              </w:rPr>
            </w:pPr>
            <w:r>
              <w:rPr>
                <w:rFonts w:hint="default" w:ascii="Times New Roman" w:hAnsi="Times New Roman" w:eastAsia="宋体" w:cs="Times New Roman"/>
                <w:color w:val="auto"/>
                <w:sz w:val="28"/>
                <w:szCs w:val="28"/>
              </w:rPr>
              <w:t>邮编</w:t>
            </w:r>
            <w:r>
              <w:rPr>
                <w:rFonts w:hint="default" w:ascii="Times New Roman" w:hAnsi="Times New Roman" w:eastAsia="宋体" w:cs="Times New Roman"/>
                <w:color w:val="auto"/>
                <w:sz w:val="28"/>
                <w:szCs w:val="28"/>
                <w:lang w:eastAsia="zh-CN"/>
              </w:rPr>
              <w:t>：</w:t>
            </w:r>
            <w:r>
              <w:rPr>
                <w:rFonts w:hint="default" w:ascii="Times New Roman" w:hAnsi="Times New Roman" w:cs="Times New Roman"/>
                <w:color w:val="auto"/>
                <w:sz w:val="28"/>
                <w:szCs w:val="28"/>
                <w:lang w:val="en-US" w:eastAsia="zh-CN"/>
              </w:rPr>
              <w:t>400000</w:t>
            </w:r>
          </w:p>
        </w:tc>
        <w:tc>
          <w:tcPr>
            <w:tcW w:w="2488" w:type="pct"/>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邮编：401121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511" w:type="pct"/>
            <w:vAlign w:val="center"/>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地址</w:t>
            </w:r>
            <w:r>
              <w:rPr>
                <w:rFonts w:hint="default" w:ascii="Times New Roman" w:hAnsi="Times New Roman" w:eastAsia="宋体" w:cs="Times New Roman"/>
                <w:color w:val="auto"/>
                <w:sz w:val="28"/>
                <w:szCs w:val="28"/>
                <w:lang w:eastAsia="zh-CN"/>
              </w:rPr>
              <w:t>：重庆市荣昌区昌州街道灵方大道19号</w:t>
            </w:r>
          </w:p>
        </w:tc>
        <w:tc>
          <w:tcPr>
            <w:tcW w:w="2488" w:type="pct"/>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ind w:left="0" w:firstLine="0" w:firstLineChars="0"/>
              <w:jc w:val="both"/>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地址：重庆市北部新区黄山大道中段木星科技大厦2-1区5楼</w:t>
            </w:r>
          </w:p>
        </w:tc>
      </w:tr>
    </w:tbl>
    <w:p>
      <w:pPr>
        <w:spacing w:line="360" w:lineRule="auto"/>
        <w:rPr>
          <w:rFonts w:hint="default" w:ascii="Times New Roman" w:hAnsi="Times New Roman" w:eastAsia="宋体" w:cs="Times New Roman"/>
          <w:color w:val="auto"/>
          <w:sz w:val="28"/>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hint="default" w:ascii="Times New Roman" w:hAnsi="Times New Roman" w:eastAsia="宋体" w:cs="Times New Roman"/>
          <w:b/>
          <w:color w:val="auto"/>
          <w:sz w:val="24"/>
          <w:szCs w:val="24"/>
        </w:rPr>
      </w:pPr>
    </w:p>
    <w:p>
      <w:pPr>
        <w:bidi w:val="0"/>
        <w:rPr>
          <w:rFonts w:hint="default" w:ascii="Times New Roman" w:hAnsi="Times New Roman" w:eastAsia="宋体" w:cs="Times New Roman"/>
          <w:color w:val="auto"/>
          <w:sz w:val="21"/>
          <w:szCs w:val="22"/>
          <w:lang w:val="en-US" w:eastAsia="zh-CN" w:bidi="ar-SA"/>
        </w:rPr>
      </w:pPr>
    </w:p>
    <w:p>
      <w:pPr>
        <w:pStyle w:val="146"/>
        <w:rPr>
          <w:rFonts w:hint="default" w:ascii="Times New Roman" w:hAnsi="Times New Roman" w:eastAsia="宋体" w:cs="Times New Roman"/>
          <w:color w:val="auto"/>
          <w:sz w:val="21"/>
          <w:szCs w:val="22"/>
          <w:lang w:val="en-US" w:eastAsia="zh-CN" w:bidi="ar-SA"/>
        </w:rPr>
      </w:pPr>
    </w:p>
    <w:p>
      <w:pPr>
        <w:adjustRightInd w:val="0"/>
        <w:snapToGrid w:val="0"/>
        <w:spacing w:after="200" w:line="360" w:lineRule="auto"/>
        <w:rPr>
          <w:rFonts w:hint="default" w:ascii="Times New Roman" w:hAnsi="Times New Roman" w:eastAsia="宋体" w:cs="Times New Roman"/>
          <w:b/>
          <w:color w:val="auto"/>
          <w:sz w:val="32"/>
          <w:szCs w:val="24"/>
        </w:rPr>
        <w:sectPr>
          <w:footerReference r:id="rId8" w:type="default"/>
          <w:pgSz w:w="11907" w:h="16840"/>
          <w:pgMar w:top="1440" w:right="1531" w:bottom="1440" w:left="1531" w:header="851" w:footer="992" w:gutter="454"/>
          <w:pgBorders>
            <w:top w:val="none" w:sz="0" w:space="0"/>
            <w:left w:val="none" w:sz="0" w:space="0"/>
            <w:bottom w:val="none" w:sz="0" w:space="0"/>
            <w:right w:val="none" w:sz="0" w:space="0"/>
          </w:pgBorders>
          <w:pgNumType w:fmt="decimal" w:start="1"/>
          <w:cols w:space="720" w:num="1"/>
          <w:rtlGutter w:val="0"/>
          <w:docGrid w:type="lines" w:linePitch="320" w:charSpace="0"/>
        </w:sectPr>
      </w:pPr>
    </w:p>
    <w:bookmarkEnd w:id="0"/>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color w:val="auto"/>
          <w:kern w:val="0"/>
          <w:sz w:val="28"/>
          <w:szCs w:val="22"/>
        </w:rPr>
      </w:pPr>
      <w:r>
        <w:rPr>
          <w:rFonts w:hint="default" w:ascii="Times New Roman" w:hAnsi="Times New Roman" w:eastAsia="宋体" w:cs="Times New Roman"/>
          <w:b/>
          <w:color w:val="auto"/>
          <w:kern w:val="0"/>
          <w:sz w:val="28"/>
          <w:szCs w:val="22"/>
        </w:rPr>
        <w:t>目录</w:t>
      </w:r>
    </w:p>
    <w:p>
      <w:pPr>
        <w:pStyle w:val="24"/>
        <w:tabs>
          <w:tab w:val="right" w:leader="dot" w:pos="8391"/>
        </w:tabs>
      </w:pPr>
      <w:r>
        <w:rPr>
          <w:rFonts w:hint="default" w:ascii="Times New Roman" w:hAnsi="Times New Roman" w:eastAsia="宋体" w:cs="Times New Roman"/>
          <w:b w:val="0"/>
          <w:color w:val="auto"/>
          <w:sz w:val="28"/>
        </w:rPr>
        <w:fldChar w:fldCharType="begin"/>
      </w:r>
      <w:r>
        <w:rPr>
          <w:rFonts w:hint="default" w:ascii="Times New Roman" w:hAnsi="Times New Roman" w:eastAsia="宋体" w:cs="Times New Roman"/>
          <w:b w:val="0"/>
          <w:color w:val="auto"/>
          <w:sz w:val="28"/>
        </w:rPr>
        <w:instrText xml:space="preserve">TOC\o"1-3"\h\z\u</w:instrText>
      </w:r>
      <w:r>
        <w:rPr>
          <w:rFonts w:hint="default" w:ascii="Times New Roman" w:hAnsi="Times New Roman" w:eastAsia="宋体" w:cs="Times New Roman"/>
          <w:b w:val="0"/>
          <w:color w:val="auto"/>
          <w:sz w:val="28"/>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rPr>
        <w:instrText xml:space="preserve"> HYPERLINK \l _Toc22242 </w:instrText>
      </w:r>
      <w:r>
        <w:rPr>
          <w:rFonts w:hint="default" w:ascii="Times New Roman" w:hAnsi="Times New Roman" w:eastAsia="宋体" w:cs="Times New Roman"/>
        </w:rPr>
        <w:fldChar w:fldCharType="separate"/>
      </w:r>
      <w:r>
        <w:rPr>
          <w:rFonts w:hint="default" w:ascii="Times New Roman" w:hAnsi="Times New Roman" w:cs="Times New Roman"/>
          <w:szCs w:val="30"/>
          <w:lang w:eastAsia="zh-CN"/>
        </w:rPr>
        <w:t>1项目概况</w:t>
      </w:r>
      <w:r>
        <w:tab/>
      </w:r>
      <w:r>
        <w:fldChar w:fldCharType="begin"/>
      </w:r>
      <w:r>
        <w:instrText xml:space="preserve"> PAGEREF _Toc22242 \h </w:instrText>
      </w:r>
      <w:r>
        <w:fldChar w:fldCharType="separate"/>
      </w:r>
      <w:r>
        <w:t>1</w:t>
      </w:r>
      <w:r>
        <w:fldChar w:fldCharType="end"/>
      </w:r>
      <w:r>
        <w:rPr>
          <w:rFonts w:hint="default" w:ascii="Times New Roman" w:hAnsi="Times New Roman" w:eastAsia="宋体" w:cs="Times New Roman"/>
          <w:color w:val="auto"/>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_Toc20039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kern w:val="2"/>
          <w:szCs w:val="30"/>
          <w:highlight w:val="none"/>
          <w:lang w:val="en-US" w:eastAsia="zh-CN" w:bidi="ar-SA"/>
        </w:rPr>
        <w:t>1.1项目基本概况</w:t>
      </w:r>
      <w:r>
        <w:tab/>
      </w:r>
      <w:r>
        <w:fldChar w:fldCharType="begin"/>
      </w:r>
      <w:r>
        <w:instrText xml:space="preserve"> PAGEREF _Toc20039 \h </w:instrText>
      </w:r>
      <w:r>
        <w:fldChar w:fldCharType="separate"/>
      </w:r>
      <w:r>
        <w:t>1</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_Toc26063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rPr>
        <w:t>1.</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验收工作由来</w:t>
      </w:r>
      <w:r>
        <w:tab/>
      </w:r>
      <w:r>
        <w:fldChar w:fldCharType="begin"/>
      </w:r>
      <w:r>
        <w:instrText xml:space="preserve"> PAGEREF _Toc26063 \h </w:instrText>
      </w:r>
      <w:r>
        <w:fldChar w:fldCharType="separate"/>
      </w:r>
      <w:r>
        <w:t>2</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_Toc26301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1.3验收范围与内容</w:t>
      </w:r>
      <w:r>
        <w:tab/>
      </w:r>
      <w:r>
        <w:fldChar w:fldCharType="begin"/>
      </w:r>
      <w:r>
        <w:instrText xml:space="preserve"> PAGEREF _Toc26301 \h </w:instrText>
      </w:r>
      <w:r>
        <w:fldChar w:fldCharType="separate"/>
      </w:r>
      <w:r>
        <w:t>5</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_Toc2896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rPr>
        <w:t>2验收依据</w:t>
      </w:r>
      <w:r>
        <w:tab/>
      </w:r>
      <w:r>
        <w:fldChar w:fldCharType="begin"/>
      </w:r>
      <w:r>
        <w:instrText xml:space="preserve"> PAGEREF _Toc2896 \h </w:instrText>
      </w:r>
      <w:r>
        <w:fldChar w:fldCharType="separate"/>
      </w:r>
      <w:r>
        <w:t>6</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_Toc28084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rPr>
        <w:t>2.1法律、法规</w:t>
      </w:r>
      <w:r>
        <w:tab/>
      </w:r>
      <w:r>
        <w:fldChar w:fldCharType="begin"/>
      </w:r>
      <w:r>
        <w:instrText xml:space="preserve"> PAGEREF _Toc28084 \h </w:instrText>
      </w:r>
      <w:r>
        <w:fldChar w:fldCharType="separate"/>
      </w:r>
      <w:r>
        <w:t>6</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_Toc17313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rPr>
        <w:t>2.2验收技术规范</w:t>
      </w:r>
      <w:r>
        <w:tab/>
      </w:r>
      <w:r>
        <w:fldChar w:fldCharType="begin"/>
      </w:r>
      <w:r>
        <w:instrText xml:space="preserve"> PAGEREF _Toc17313 \h </w:instrText>
      </w:r>
      <w:r>
        <w:fldChar w:fldCharType="separate"/>
      </w:r>
      <w:r>
        <w:t>6</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_Toc16955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highlight w:val="none"/>
        </w:rPr>
        <w:t>2.3工程技术文件及批复文件</w:t>
      </w:r>
      <w:r>
        <w:tab/>
      </w:r>
      <w:r>
        <w:fldChar w:fldCharType="begin"/>
      </w:r>
      <w:r>
        <w:instrText xml:space="preserve"> PAGEREF _Toc16955 \h </w:instrText>
      </w:r>
      <w:r>
        <w:fldChar w:fldCharType="separate"/>
      </w:r>
      <w:r>
        <w:t>6</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_Toc7738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rPr>
        <w:t>3项目建设</w:t>
      </w:r>
      <w:r>
        <w:rPr>
          <w:rFonts w:hint="default" w:ascii="Times New Roman" w:hAnsi="Times New Roman" w:cs="Times New Roman"/>
          <w:szCs w:val="30"/>
          <w:lang w:val="en-US" w:eastAsia="zh-CN"/>
        </w:rPr>
        <w:t>情</w:t>
      </w:r>
      <w:r>
        <w:rPr>
          <w:rFonts w:hint="default" w:ascii="Times New Roman" w:hAnsi="Times New Roman" w:eastAsia="宋体" w:cs="Times New Roman"/>
          <w:szCs w:val="30"/>
        </w:rPr>
        <w:t>况</w:t>
      </w:r>
      <w:r>
        <w:tab/>
      </w:r>
      <w:r>
        <w:fldChar w:fldCharType="begin"/>
      </w:r>
      <w:r>
        <w:instrText xml:space="preserve"> PAGEREF _Toc7738 \h </w:instrText>
      </w:r>
      <w:r>
        <w:fldChar w:fldCharType="separate"/>
      </w:r>
      <w:r>
        <w:t>7</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_Toc14346 </w:instrText>
      </w:r>
      <w:r>
        <w:rPr>
          <w:rFonts w:hint="default" w:ascii="Times New Roman" w:hAnsi="Times New Roman" w:eastAsia="宋体" w:cs="Times New Roman"/>
          <w:kern w:val="0"/>
          <w:szCs w:val="22"/>
        </w:rPr>
        <w:fldChar w:fldCharType="separate"/>
      </w:r>
      <w:r>
        <w:rPr>
          <w:rFonts w:hint="default" w:ascii="Times New Roman" w:hAnsi="Times New Roman" w:cs="Times New Roman"/>
          <w:szCs w:val="30"/>
        </w:rPr>
        <w:t>3.1</w:t>
      </w:r>
      <w:r>
        <w:rPr>
          <w:rFonts w:hint="default" w:ascii="Times New Roman" w:hAnsi="Times New Roman" w:cs="Times New Roman"/>
          <w:szCs w:val="30"/>
          <w:lang w:eastAsia="zh-CN"/>
        </w:rPr>
        <w:t>项目</w:t>
      </w:r>
      <w:r>
        <w:rPr>
          <w:rFonts w:hint="default" w:ascii="Times New Roman" w:hAnsi="Times New Roman" w:cs="Times New Roman"/>
          <w:szCs w:val="30"/>
        </w:rPr>
        <w:t>地理位置及平面布置</w:t>
      </w:r>
      <w:r>
        <w:tab/>
      </w:r>
      <w:r>
        <w:fldChar w:fldCharType="begin"/>
      </w:r>
      <w:r>
        <w:instrText xml:space="preserve"> PAGEREF _Toc14346 \h </w:instrText>
      </w:r>
      <w:r>
        <w:fldChar w:fldCharType="separate"/>
      </w:r>
      <w:r>
        <w:t>7</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_Toc417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3.1.1</w:t>
      </w:r>
      <w:r>
        <w:rPr>
          <w:rFonts w:hint="default" w:ascii="Times New Roman" w:hAnsi="Times New Roman" w:cs="Times New Roman"/>
          <w:lang w:eastAsia="zh-CN"/>
        </w:rPr>
        <w:t>项目</w:t>
      </w:r>
      <w:r>
        <w:rPr>
          <w:rFonts w:hint="default" w:ascii="Times New Roman" w:hAnsi="Times New Roman" w:cs="Times New Roman"/>
        </w:rPr>
        <w:t>地理位置</w:t>
      </w:r>
      <w:r>
        <w:tab/>
      </w:r>
      <w:r>
        <w:fldChar w:fldCharType="begin"/>
      </w:r>
      <w:r>
        <w:instrText xml:space="preserve"> PAGEREF _Toc417 \h </w:instrText>
      </w:r>
      <w:r>
        <w:fldChar w:fldCharType="separate"/>
      </w:r>
      <w:r>
        <w:t>7</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_Toc15989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3.1.2项目平面布置图</w:t>
      </w:r>
      <w:r>
        <w:tab/>
      </w:r>
      <w:r>
        <w:fldChar w:fldCharType="begin"/>
      </w:r>
      <w:r>
        <w:instrText xml:space="preserve"> PAGEREF _Toc15989 \h </w:instrText>
      </w:r>
      <w:r>
        <w:fldChar w:fldCharType="separate"/>
      </w:r>
      <w:r>
        <w:t>7</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_Toc24352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3.1.3环境保护目标分布</w:t>
      </w:r>
      <w:r>
        <w:tab/>
      </w:r>
      <w:r>
        <w:fldChar w:fldCharType="begin"/>
      </w:r>
      <w:r>
        <w:instrText xml:space="preserve"> PAGEREF _Toc24352 \h </w:instrText>
      </w:r>
      <w:r>
        <w:fldChar w:fldCharType="separate"/>
      </w:r>
      <w:r>
        <w:t>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_Toc19418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highlight w:val="none"/>
        </w:rPr>
        <w:t>3.2</w:t>
      </w:r>
      <w:r>
        <w:rPr>
          <w:rFonts w:hint="default" w:ascii="Times New Roman" w:hAnsi="Times New Roman" w:cs="Times New Roman"/>
          <w:highlight w:val="none"/>
          <w:lang w:eastAsia="zh-CN"/>
        </w:rPr>
        <w:t>主要</w:t>
      </w:r>
      <w:r>
        <w:rPr>
          <w:rFonts w:hint="default" w:ascii="Times New Roman" w:hAnsi="Times New Roman" w:cs="Times New Roman"/>
          <w:highlight w:val="none"/>
        </w:rPr>
        <w:t>建设内容</w:t>
      </w:r>
      <w:r>
        <w:tab/>
      </w:r>
      <w:r>
        <w:fldChar w:fldCharType="begin"/>
      </w:r>
      <w:r>
        <w:instrText xml:space="preserve"> PAGEREF _Toc19418 \h </w:instrText>
      </w:r>
      <w:r>
        <w:fldChar w:fldCharType="separate"/>
      </w:r>
      <w:r>
        <w:t>9</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_Toc23790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3.3主要设施设备</w:t>
      </w:r>
      <w:r>
        <w:tab/>
      </w:r>
      <w:r>
        <w:fldChar w:fldCharType="begin"/>
      </w:r>
      <w:r>
        <w:instrText xml:space="preserve"> PAGEREF _Toc23790 \h </w:instrText>
      </w:r>
      <w:r>
        <w:fldChar w:fldCharType="separate"/>
      </w:r>
      <w:r>
        <w:t>12</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_Toc6555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3.4进出水水质</w:t>
      </w:r>
      <w:r>
        <w:tab/>
      </w:r>
      <w:r>
        <w:fldChar w:fldCharType="begin"/>
      </w:r>
      <w:r>
        <w:instrText xml:space="preserve"> PAGEREF _Toc6555 \h </w:instrText>
      </w:r>
      <w:r>
        <w:fldChar w:fldCharType="separate"/>
      </w:r>
      <w:r>
        <w:t>15</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_Toc29379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3.</w:t>
      </w:r>
      <w:r>
        <w:rPr>
          <w:rFonts w:hint="eastAsia" w:cs="Times New Roman"/>
          <w:lang w:val="en-US" w:eastAsia="zh-CN"/>
        </w:rPr>
        <w:t>5</w:t>
      </w:r>
      <w:r>
        <w:rPr>
          <w:rFonts w:hint="default" w:ascii="Times New Roman" w:hAnsi="Times New Roman" w:cs="Times New Roman"/>
          <w:lang w:eastAsia="zh-CN"/>
        </w:rPr>
        <w:t>工艺流程及产污环节</w:t>
      </w:r>
      <w:r>
        <w:tab/>
      </w:r>
      <w:r>
        <w:fldChar w:fldCharType="begin"/>
      </w:r>
      <w:r>
        <w:instrText xml:space="preserve"> PAGEREF _Toc29379 \h </w:instrText>
      </w:r>
      <w:r>
        <w:fldChar w:fldCharType="separate"/>
      </w:r>
      <w:r>
        <w:t>17</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_Toc5109 </w:instrText>
      </w:r>
      <w:r>
        <w:rPr>
          <w:rFonts w:hint="default" w:ascii="Times New Roman" w:hAnsi="Times New Roman" w:eastAsia="宋体" w:cs="Times New Roman"/>
          <w:kern w:val="0"/>
          <w:szCs w:val="22"/>
        </w:rPr>
        <w:fldChar w:fldCharType="separate"/>
      </w:r>
      <w:r>
        <w:rPr>
          <w:rFonts w:hint="default" w:ascii="Times New Roman" w:hAnsi="Times New Roman" w:cs="Times New Roman"/>
          <w:szCs w:val="32"/>
          <w:highlight w:val="none"/>
        </w:rPr>
        <w:t>3.</w:t>
      </w:r>
      <w:r>
        <w:rPr>
          <w:rFonts w:hint="eastAsia" w:cs="Times New Roman"/>
          <w:szCs w:val="32"/>
          <w:highlight w:val="none"/>
          <w:lang w:val="en-US" w:eastAsia="zh-CN"/>
        </w:rPr>
        <w:t>6</w:t>
      </w:r>
      <w:r>
        <w:rPr>
          <w:rFonts w:hint="default" w:ascii="Times New Roman" w:hAnsi="Times New Roman" w:cs="Times New Roman"/>
          <w:szCs w:val="32"/>
          <w:highlight w:val="none"/>
        </w:rPr>
        <w:t>工程变动情况</w:t>
      </w:r>
      <w:r>
        <w:tab/>
      </w:r>
      <w:r>
        <w:fldChar w:fldCharType="begin"/>
      </w:r>
      <w:r>
        <w:instrText xml:space="preserve"> PAGEREF _Toc5109 \h </w:instrText>
      </w:r>
      <w:r>
        <w:fldChar w:fldCharType="separate"/>
      </w:r>
      <w:r>
        <w:t>20</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_Toc19195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4环境保护设施</w:t>
      </w:r>
      <w:r>
        <w:tab/>
      </w:r>
      <w:r>
        <w:fldChar w:fldCharType="begin"/>
      </w:r>
      <w:r>
        <w:instrText xml:space="preserve"> PAGEREF _Toc19195 \h </w:instrText>
      </w:r>
      <w:r>
        <w:fldChar w:fldCharType="separate"/>
      </w:r>
      <w:r>
        <w:t>22</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_Toc7050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4.1污染物治理/处置设施</w:t>
      </w:r>
      <w:r>
        <w:tab/>
      </w:r>
      <w:r>
        <w:fldChar w:fldCharType="begin"/>
      </w:r>
      <w:r>
        <w:instrText xml:space="preserve"> PAGEREF _Toc7050 \h </w:instrText>
      </w:r>
      <w:r>
        <w:fldChar w:fldCharType="separate"/>
      </w:r>
      <w:r>
        <w:t>22</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_Toc27429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28"/>
        </w:rPr>
        <w:t>4.1.1废水</w:t>
      </w:r>
      <w:r>
        <w:tab/>
      </w:r>
      <w:r>
        <w:fldChar w:fldCharType="begin"/>
      </w:r>
      <w:r>
        <w:instrText xml:space="preserve"> PAGEREF _Toc27429 \h </w:instrText>
      </w:r>
      <w:r>
        <w:fldChar w:fldCharType="separate"/>
      </w:r>
      <w:r>
        <w:t>22</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_Toc4591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28"/>
        </w:rPr>
        <w:t>4.1.2废气</w:t>
      </w:r>
      <w:r>
        <w:tab/>
      </w:r>
      <w:r>
        <w:fldChar w:fldCharType="begin"/>
      </w:r>
      <w:r>
        <w:instrText xml:space="preserve"> PAGEREF _Toc4591 \h </w:instrText>
      </w:r>
      <w:r>
        <w:fldChar w:fldCharType="separate"/>
      </w:r>
      <w:r>
        <w:t>23</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_Toc4213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28"/>
        </w:rPr>
        <w:t>4.1.3噪声</w:t>
      </w:r>
      <w:r>
        <w:tab/>
      </w:r>
      <w:r>
        <w:fldChar w:fldCharType="begin"/>
      </w:r>
      <w:r>
        <w:instrText xml:space="preserve"> PAGEREF _Toc4213 \h </w:instrText>
      </w:r>
      <w:r>
        <w:fldChar w:fldCharType="separate"/>
      </w:r>
      <w:r>
        <w:t>24</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_Toc24869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28"/>
        </w:rPr>
        <w:t>4.1.4固体废物</w:t>
      </w:r>
      <w:r>
        <w:tab/>
      </w:r>
      <w:r>
        <w:fldChar w:fldCharType="begin"/>
      </w:r>
      <w:r>
        <w:instrText xml:space="preserve"> PAGEREF _Toc24869 \h </w:instrText>
      </w:r>
      <w:r>
        <w:fldChar w:fldCharType="separate"/>
      </w:r>
      <w:r>
        <w:t>24</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_Toc23422 </w:instrText>
      </w:r>
      <w:r>
        <w:rPr>
          <w:rFonts w:hint="default" w:ascii="Times New Roman" w:hAnsi="Times New Roman" w:eastAsia="宋体" w:cs="Times New Roman"/>
          <w:kern w:val="0"/>
          <w:szCs w:val="22"/>
        </w:rPr>
        <w:fldChar w:fldCharType="separate"/>
      </w:r>
      <w:r>
        <w:rPr>
          <w:rFonts w:hint="default" w:ascii="Times New Roman" w:hAnsi="Times New Roman" w:cs="Times New Roman"/>
          <w:highlight w:val="none"/>
        </w:rPr>
        <w:t>4.2其他环境保护设施</w:t>
      </w:r>
      <w:r>
        <w:tab/>
      </w:r>
      <w:r>
        <w:fldChar w:fldCharType="begin"/>
      </w:r>
      <w:r>
        <w:instrText xml:space="preserve"> PAGEREF _Toc23422 \h </w:instrText>
      </w:r>
      <w:r>
        <w:fldChar w:fldCharType="separate"/>
      </w:r>
      <w:r>
        <w:t>25</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_Toc29610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4.2.1环境风险防范措施</w:t>
      </w:r>
      <w:r>
        <w:tab/>
      </w:r>
      <w:r>
        <w:fldChar w:fldCharType="begin"/>
      </w:r>
      <w:r>
        <w:instrText xml:space="preserve"> PAGEREF _Toc29610 \h </w:instrText>
      </w:r>
      <w:r>
        <w:fldChar w:fldCharType="separate"/>
      </w:r>
      <w:r>
        <w:t>25</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_Toc28719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napToGrid w:val="0"/>
          <w:szCs w:val="28"/>
        </w:rPr>
        <w:t>4.2.2规范化排污口、监测设施及在线监测装置</w:t>
      </w:r>
      <w:r>
        <w:tab/>
      </w:r>
      <w:r>
        <w:fldChar w:fldCharType="begin"/>
      </w:r>
      <w:r>
        <w:instrText xml:space="preserve"> PAGEREF _Toc28719 \h </w:instrText>
      </w:r>
      <w:r>
        <w:fldChar w:fldCharType="separate"/>
      </w:r>
      <w:r>
        <w:t>26</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_Toc23408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szCs w:val="28"/>
          <w:lang w:val="en-US" w:eastAsia="zh-CN"/>
        </w:rPr>
        <w:t>4.2.3环保投诉情况</w:t>
      </w:r>
      <w:r>
        <w:tab/>
      </w:r>
      <w:r>
        <w:fldChar w:fldCharType="begin"/>
      </w:r>
      <w:r>
        <w:instrText xml:space="preserve"> PAGEREF _Toc23408 \h </w:instrText>
      </w:r>
      <w:r>
        <w:fldChar w:fldCharType="separate"/>
      </w:r>
      <w:r>
        <w:t>26</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_Toc10098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4.3环保设施投资及“三同时”落实情况</w:t>
      </w:r>
      <w:r>
        <w:tab/>
      </w:r>
      <w:r>
        <w:fldChar w:fldCharType="begin"/>
      </w:r>
      <w:r>
        <w:instrText xml:space="preserve"> PAGEREF _Toc10098 \h </w:instrText>
      </w:r>
      <w:r>
        <w:fldChar w:fldCharType="separate"/>
      </w:r>
      <w:r>
        <w:t>26</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_Toc18829 </w:instrText>
      </w:r>
      <w:r>
        <w:rPr>
          <w:rFonts w:hint="default" w:ascii="Times New Roman" w:hAnsi="Times New Roman" w:eastAsia="宋体" w:cs="Times New Roman"/>
          <w:kern w:val="0"/>
          <w:szCs w:val="22"/>
        </w:rPr>
        <w:fldChar w:fldCharType="separate"/>
      </w:r>
      <w:r>
        <w:rPr>
          <w:rFonts w:hint="default" w:ascii="Times New Roman" w:hAnsi="Times New Roman" w:cs="Times New Roman"/>
          <w:spacing w:val="0"/>
          <w:w w:val="100"/>
        </w:rPr>
        <w:t>4.3.1项目环保投资明细</w:t>
      </w:r>
      <w:r>
        <w:tab/>
      </w:r>
      <w:r>
        <w:fldChar w:fldCharType="begin"/>
      </w:r>
      <w:r>
        <w:instrText xml:space="preserve"> PAGEREF _Toc18829 \h </w:instrText>
      </w:r>
      <w:r>
        <w:fldChar w:fldCharType="separate"/>
      </w:r>
      <w:r>
        <w:t>26</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_Toc650 </w:instrText>
      </w:r>
      <w:r>
        <w:rPr>
          <w:rFonts w:hint="default" w:ascii="Times New Roman" w:hAnsi="Times New Roman" w:eastAsia="宋体" w:cs="Times New Roman"/>
          <w:kern w:val="0"/>
          <w:szCs w:val="22"/>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.3.2“三同时”落实情况</w:t>
      </w:r>
      <w:r>
        <w:tab/>
      </w:r>
      <w:r>
        <w:fldChar w:fldCharType="begin"/>
      </w:r>
      <w:r>
        <w:instrText xml:space="preserve"> PAGEREF _Toc650 \h </w:instrText>
      </w:r>
      <w:r>
        <w:fldChar w:fldCharType="separate"/>
      </w:r>
      <w:r>
        <w:t>26</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_Toc9370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5</w:t>
      </w:r>
      <w:r>
        <w:rPr>
          <w:rFonts w:hint="default" w:ascii="Times New Roman" w:hAnsi="Times New Roman" w:cs="Times New Roman"/>
          <w:szCs w:val="30"/>
        </w:rPr>
        <w:t>建设项目环评报告</w:t>
      </w:r>
      <w:r>
        <w:rPr>
          <w:rFonts w:hint="eastAsia" w:ascii="Times New Roman" w:hAnsi="Times New Roman" w:cs="Times New Roman"/>
          <w:szCs w:val="30"/>
          <w:lang w:val="en-US" w:eastAsia="zh-CN"/>
        </w:rPr>
        <w:t>表</w:t>
      </w:r>
      <w:r>
        <w:rPr>
          <w:rFonts w:hint="default" w:ascii="Times New Roman" w:hAnsi="Times New Roman" w:cs="Times New Roman"/>
          <w:szCs w:val="30"/>
        </w:rPr>
        <w:t>的主要结论</w:t>
      </w:r>
      <w:r>
        <w:tab/>
      </w:r>
      <w:r>
        <w:fldChar w:fldCharType="begin"/>
      </w:r>
      <w:r>
        <w:instrText xml:space="preserve"> PAGEREF _Toc9370 \h </w:instrText>
      </w:r>
      <w:r>
        <w:fldChar w:fldCharType="separate"/>
      </w:r>
      <w:r>
        <w:t>28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_Toc5767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5.1建设项目环评报告</w:t>
      </w:r>
      <w:r>
        <w:rPr>
          <w:rFonts w:hint="eastAsia" w:ascii="Times New Roman" w:hAnsi="Times New Roman" w:cs="Times New Roman"/>
          <w:lang w:val="en-US" w:eastAsia="zh-CN"/>
        </w:rPr>
        <w:t>表</w:t>
      </w:r>
      <w:r>
        <w:rPr>
          <w:rFonts w:hint="default" w:ascii="Times New Roman" w:hAnsi="Times New Roman" w:cs="Times New Roman"/>
          <w:lang w:val="en-US" w:eastAsia="zh-CN"/>
        </w:rPr>
        <w:t>的主要结论及建议</w:t>
      </w:r>
      <w:r>
        <w:rPr>
          <w:rFonts w:hint="eastAsia" w:cs="Times New Roman"/>
          <w:lang w:val="en-US" w:eastAsia="zh-CN"/>
        </w:rPr>
        <w:t>（摘录）</w:t>
      </w:r>
      <w:r>
        <w:tab/>
      </w:r>
      <w:r>
        <w:fldChar w:fldCharType="begin"/>
      </w:r>
      <w:r>
        <w:instrText xml:space="preserve"> PAGEREF _Toc5767 \h </w:instrText>
      </w:r>
      <w:r>
        <w:fldChar w:fldCharType="separate"/>
      </w:r>
      <w:r>
        <w:t>28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_Toc15063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5.1.1</w:t>
      </w:r>
      <w:r>
        <w:rPr>
          <w:rFonts w:hint="default" w:ascii="Times New Roman" w:hAnsi="Times New Roman" w:eastAsia="宋体" w:cs="Times New Roman"/>
          <w:bCs w:val="0"/>
          <w:kern w:val="2"/>
          <w:lang w:val="en-US" w:eastAsia="zh-CN" w:bidi="ar-SA"/>
        </w:rPr>
        <w:t>结论</w:t>
      </w:r>
      <w:r>
        <w:rPr>
          <w:rFonts w:hint="default" w:ascii="Times New Roman" w:hAnsi="Times New Roman" w:cs="Times New Roman"/>
          <w:bCs w:val="0"/>
          <w:kern w:val="2"/>
          <w:lang w:val="en-US" w:eastAsia="zh-CN" w:bidi="ar-SA"/>
        </w:rPr>
        <w:t>及建议</w:t>
      </w:r>
      <w:r>
        <w:tab/>
      </w:r>
      <w:r>
        <w:fldChar w:fldCharType="begin"/>
      </w:r>
      <w:r>
        <w:instrText xml:space="preserve"> PAGEREF _Toc15063 \h </w:instrText>
      </w:r>
      <w:r>
        <w:fldChar w:fldCharType="separate"/>
      </w:r>
      <w:r>
        <w:t>28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_Toc6228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5.1.1.2</w:t>
      </w:r>
      <w:r>
        <w:rPr>
          <w:rFonts w:hint="default" w:ascii="Times New Roman" w:hAnsi="Times New Roman" w:eastAsia="宋体" w:cs="Times New Roman"/>
          <w:bCs w:val="0"/>
          <w:kern w:val="2"/>
          <w:lang w:val="en-US" w:eastAsia="zh-CN" w:bidi="ar-SA"/>
        </w:rPr>
        <w:t>项目与相关政策、规划的符合性</w:t>
      </w:r>
      <w:r>
        <w:tab/>
      </w:r>
      <w:r>
        <w:fldChar w:fldCharType="begin"/>
      </w:r>
      <w:r>
        <w:instrText xml:space="preserve"> PAGEREF _Toc6228 \h </w:instrText>
      </w:r>
      <w:r>
        <w:fldChar w:fldCharType="separate"/>
      </w:r>
      <w:r>
        <w:t>28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_Toc13958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5.1.1.3</w:t>
      </w:r>
      <w:r>
        <w:rPr>
          <w:rFonts w:hint="default" w:ascii="Times New Roman" w:hAnsi="Times New Roman" w:eastAsia="宋体" w:cs="Times New Roman"/>
          <w:bCs w:val="0"/>
          <w:kern w:val="2"/>
          <w:lang w:val="en-US" w:eastAsia="zh-CN" w:bidi="ar-SA"/>
        </w:rPr>
        <w:t>项目所处环境功能区、环境质量现状及存在的环境问题</w:t>
      </w:r>
      <w:r>
        <w:tab/>
      </w:r>
      <w:r>
        <w:fldChar w:fldCharType="begin"/>
      </w:r>
      <w:r>
        <w:instrText xml:space="preserve"> PAGEREF _Toc13958 \h </w:instrText>
      </w:r>
      <w:r>
        <w:fldChar w:fldCharType="separate"/>
      </w:r>
      <w:r>
        <w:t>28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_Toc13858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5.1.1.4</w:t>
      </w:r>
      <w:r>
        <w:rPr>
          <w:rFonts w:hint="default" w:ascii="Times New Roman" w:hAnsi="Times New Roman" w:eastAsia="宋体" w:cs="Times New Roman"/>
          <w:bCs w:val="0"/>
          <w:kern w:val="2"/>
          <w:lang w:val="en-US" w:eastAsia="zh-CN" w:bidi="ar-SA"/>
        </w:rPr>
        <w:t>营运期环境保护措施及环境影响</w:t>
      </w:r>
      <w:r>
        <w:tab/>
      </w:r>
      <w:r>
        <w:fldChar w:fldCharType="begin"/>
      </w:r>
      <w:r>
        <w:instrText xml:space="preserve"> PAGEREF _Toc13858 \h </w:instrText>
      </w:r>
      <w:r>
        <w:fldChar w:fldCharType="separate"/>
      </w:r>
      <w:r>
        <w:t>29</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_Toc28199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5.1.1.5</w:t>
      </w:r>
      <w:r>
        <w:rPr>
          <w:rFonts w:hint="default" w:ascii="Times New Roman" w:hAnsi="Times New Roman" w:eastAsia="宋体" w:cs="Times New Roman"/>
          <w:bCs w:val="0"/>
          <w:kern w:val="2"/>
          <w:lang w:val="en-US" w:eastAsia="zh-CN" w:bidi="ar-SA"/>
        </w:rPr>
        <w:t>环境风险评价结论</w:t>
      </w:r>
      <w:r>
        <w:tab/>
      </w:r>
      <w:r>
        <w:fldChar w:fldCharType="begin"/>
      </w:r>
      <w:r>
        <w:instrText xml:space="preserve"> PAGEREF _Toc28199 \h </w:instrText>
      </w:r>
      <w:r>
        <w:fldChar w:fldCharType="separate"/>
      </w:r>
      <w:r>
        <w:t>30</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_Toc4415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5.1.1.6</w:t>
      </w:r>
      <w:r>
        <w:rPr>
          <w:rFonts w:hint="default" w:ascii="Times New Roman" w:hAnsi="Times New Roman" w:eastAsia="宋体" w:cs="Times New Roman"/>
          <w:bCs w:val="0"/>
          <w:kern w:val="2"/>
          <w:lang w:val="en-US" w:eastAsia="zh-CN" w:bidi="ar-SA"/>
        </w:rPr>
        <w:t>总量控制</w:t>
      </w:r>
      <w:r>
        <w:tab/>
      </w:r>
      <w:r>
        <w:fldChar w:fldCharType="begin"/>
      </w:r>
      <w:r>
        <w:instrText xml:space="preserve"> PAGEREF _Toc4415 \h </w:instrText>
      </w:r>
      <w:r>
        <w:fldChar w:fldCharType="separate"/>
      </w:r>
      <w:r>
        <w:t>31</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_Toc14193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5.1.1.7</w:t>
      </w:r>
      <w:r>
        <w:rPr>
          <w:rFonts w:hint="default" w:ascii="Times New Roman" w:hAnsi="Times New Roman" w:eastAsia="宋体" w:cs="Times New Roman"/>
          <w:bCs w:val="0"/>
          <w:kern w:val="2"/>
          <w:lang w:val="en-US" w:eastAsia="zh-CN" w:bidi="ar-SA"/>
        </w:rPr>
        <w:t>环境管理与环境监测</w:t>
      </w:r>
      <w:r>
        <w:tab/>
      </w:r>
      <w:r>
        <w:fldChar w:fldCharType="begin"/>
      </w:r>
      <w:r>
        <w:instrText xml:space="preserve"> PAGEREF _Toc14193 \h </w:instrText>
      </w:r>
      <w:r>
        <w:fldChar w:fldCharType="separate"/>
      </w:r>
      <w:r>
        <w:t>31</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_Toc924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5.1.1.8</w:t>
      </w:r>
      <w:r>
        <w:rPr>
          <w:rFonts w:hint="default" w:ascii="Times New Roman" w:hAnsi="Times New Roman" w:eastAsia="宋体" w:cs="Times New Roman"/>
          <w:bCs w:val="0"/>
          <w:kern w:val="2"/>
          <w:lang w:val="en-US" w:eastAsia="zh-CN" w:bidi="ar-SA"/>
        </w:rPr>
        <w:t>环保投资及效益</w:t>
      </w:r>
      <w:r>
        <w:tab/>
      </w:r>
      <w:r>
        <w:fldChar w:fldCharType="begin"/>
      </w:r>
      <w:r>
        <w:instrText xml:space="preserve"> PAGEREF _Toc924 \h </w:instrText>
      </w:r>
      <w:r>
        <w:fldChar w:fldCharType="separate"/>
      </w:r>
      <w:r>
        <w:t>31</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_Toc23361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5.1.1.9</w:t>
      </w:r>
      <w:r>
        <w:rPr>
          <w:rFonts w:hint="default" w:ascii="Times New Roman" w:hAnsi="Times New Roman" w:eastAsia="宋体" w:cs="Times New Roman"/>
          <w:bCs w:val="0"/>
          <w:kern w:val="2"/>
          <w:lang w:val="en-US" w:eastAsia="zh-CN" w:bidi="ar-SA"/>
        </w:rPr>
        <w:t>综合结论</w:t>
      </w:r>
      <w:r>
        <w:tab/>
      </w:r>
      <w:r>
        <w:fldChar w:fldCharType="begin"/>
      </w:r>
      <w:r>
        <w:instrText xml:space="preserve"> PAGEREF _Toc23361 \h </w:instrText>
      </w:r>
      <w:r>
        <w:fldChar w:fldCharType="separate"/>
      </w:r>
      <w:r>
        <w:t>31</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_Toc30353 </w:instrText>
      </w:r>
      <w:r>
        <w:rPr>
          <w:rFonts w:hint="default" w:ascii="Times New Roman" w:hAnsi="Times New Roman" w:eastAsia="宋体" w:cs="Times New Roman"/>
          <w:kern w:val="0"/>
          <w:szCs w:val="22"/>
        </w:rPr>
        <w:fldChar w:fldCharType="separate"/>
      </w:r>
      <w:r>
        <w:rPr>
          <w:rFonts w:hint="default" w:ascii="Times New Roman" w:hAnsi="Times New Roman" w:cs="Times New Roman"/>
          <w:bCs w:val="0"/>
          <w:kern w:val="2"/>
          <w:lang w:val="en-US" w:eastAsia="zh-CN" w:bidi="ar-SA"/>
        </w:rPr>
        <w:t>5.1.2</w:t>
      </w:r>
      <w:r>
        <w:rPr>
          <w:rFonts w:hint="default" w:ascii="Times New Roman" w:hAnsi="Times New Roman" w:eastAsia="宋体" w:cs="Times New Roman"/>
          <w:bCs w:val="0"/>
          <w:kern w:val="2"/>
          <w:lang w:val="en-US" w:eastAsia="zh-CN" w:bidi="ar-SA"/>
        </w:rPr>
        <w:t>对项目的建议：</w:t>
      </w:r>
      <w:r>
        <w:tab/>
      </w:r>
      <w:r>
        <w:fldChar w:fldCharType="begin"/>
      </w:r>
      <w:r>
        <w:instrText xml:space="preserve"> PAGEREF _Toc30353 \h </w:instrText>
      </w:r>
      <w:r>
        <w:fldChar w:fldCharType="separate"/>
      </w:r>
      <w:r>
        <w:t>31</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_Toc31190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6验收执行标准</w:t>
      </w:r>
      <w:r>
        <w:tab/>
      </w:r>
      <w:r>
        <w:fldChar w:fldCharType="begin"/>
      </w:r>
      <w:r>
        <w:instrText xml:space="preserve"> PAGEREF _Toc31190 \h </w:instrText>
      </w:r>
      <w:r>
        <w:fldChar w:fldCharType="separate"/>
      </w:r>
      <w:r>
        <w:t>32</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_Toc31897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6.1</w:t>
      </w:r>
      <w:r>
        <w:rPr>
          <w:rFonts w:hint="default" w:ascii="Times New Roman" w:hAnsi="Times New Roman" w:cs="Times New Roman"/>
          <w:lang w:val="en-US" w:eastAsia="en-US"/>
        </w:rPr>
        <w:t>废水执行标准</w:t>
      </w:r>
      <w:r>
        <w:tab/>
      </w:r>
      <w:r>
        <w:fldChar w:fldCharType="begin"/>
      </w:r>
      <w:r>
        <w:instrText xml:space="preserve"> PAGEREF _Toc31897 \h </w:instrText>
      </w:r>
      <w:r>
        <w:fldChar w:fldCharType="separate"/>
      </w:r>
      <w:r>
        <w:t>32</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_Toc27151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6.2废气执行标准</w:t>
      </w:r>
      <w:r>
        <w:tab/>
      </w:r>
      <w:r>
        <w:fldChar w:fldCharType="begin"/>
      </w:r>
      <w:r>
        <w:instrText xml:space="preserve"> PAGEREF _Toc27151 \h </w:instrText>
      </w:r>
      <w:r>
        <w:fldChar w:fldCharType="separate"/>
      </w:r>
      <w:r>
        <w:t>32</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_Toc11806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6.3噪声执行标准</w:t>
      </w:r>
      <w:r>
        <w:tab/>
      </w:r>
      <w:r>
        <w:fldChar w:fldCharType="begin"/>
      </w:r>
      <w:r>
        <w:instrText xml:space="preserve"> PAGEREF _Toc11806 \h </w:instrText>
      </w:r>
      <w:r>
        <w:fldChar w:fldCharType="separate"/>
      </w:r>
      <w:r>
        <w:t>33</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_Toc13198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6.4固体废物污染管控要求</w:t>
      </w:r>
      <w:r>
        <w:tab/>
      </w:r>
      <w:r>
        <w:fldChar w:fldCharType="begin"/>
      </w:r>
      <w:r>
        <w:instrText xml:space="preserve"> PAGEREF _Toc13198 \h </w:instrText>
      </w:r>
      <w:r>
        <w:fldChar w:fldCharType="separate"/>
      </w:r>
      <w:r>
        <w:t>33</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_Toc2453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rPr>
        <w:t>6.</w:t>
      </w:r>
      <w:r>
        <w:rPr>
          <w:rFonts w:hint="default" w:ascii="Times New Roman" w:hAnsi="Times New Roman" w:cs="Times New Roman"/>
          <w:szCs w:val="30"/>
          <w:lang w:val="en-US" w:eastAsia="zh-CN"/>
        </w:rPr>
        <w:t>5</w:t>
      </w:r>
      <w:r>
        <w:rPr>
          <w:rFonts w:hint="default" w:ascii="Times New Roman" w:hAnsi="Times New Roman" w:eastAsia="宋体" w:cs="Times New Roman"/>
          <w:szCs w:val="30"/>
        </w:rPr>
        <w:t>总量控制指标</w:t>
      </w:r>
      <w:r>
        <w:tab/>
      </w:r>
      <w:r>
        <w:fldChar w:fldCharType="begin"/>
      </w:r>
      <w:r>
        <w:instrText xml:space="preserve"> PAGEREF _Toc2453 \h </w:instrText>
      </w:r>
      <w:r>
        <w:fldChar w:fldCharType="separate"/>
      </w:r>
      <w:r>
        <w:t>33</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_Toc742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7验收监测内容</w:t>
      </w:r>
      <w:r>
        <w:tab/>
      </w:r>
      <w:r>
        <w:fldChar w:fldCharType="begin"/>
      </w:r>
      <w:r>
        <w:instrText xml:space="preserve"> PAGEREF _Toc742 \h </w:instrText>
      </w:r>
      <w:r>
        <w:fldChar w:fldCharType="separate"/>
      </w:r>
      <w:r>
        <w:t>34</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_Toc22899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7.1废气达标排放监测</w:t>
      </w:r>
      <w:r>
        <w:tab/>
      </w:r>
      <w:r>
        <w:fldChar w:fldCharType="begin"/>
      </w:r>
      <w:r>
        <w:instrText xml:space="preserve"> PAGEREF _Toc22899 \h </w:instrText>
      </w:r>
      <w:r>
        <w:fldChar w:fldCharType="separate"/>
      </w:r>
      <w:r>
        <w:t>34</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_Toc12348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7.2废水达标排放监测</w:t>
      </w:r>
      <w:r>
        <w:tab/>
      </w:r>
      <w:r>
        <w:fldChar w:fldCharType="begin"/>
      </w:r>
      <w:r>
        <w:instrText xml:space="preserve"> PAGEREF _Toc12348 \h </w:instrText>
      </w:r>
      <w:r>
        <w:fldChar w:fldCharType="separate"/>
      </w:r>
      <w:r>
        <w:t>34</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_Toc30400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7.3厂界噪声达标监测</w:t>
      </w:r>
      <w:r>
        <w:tab/>
      </w:r>
      <w:r>
        <w:fldChar w:fldCharType="begin"/>
      </w:r>
      <w:r>
        <w:instrText xml:space="preserve"> PAGEREF _Toc30400 \h </w:instrText>
      </w:r>
      <w:r>
        <w:fldChar w:fldCharType="separate"/>
      </w:r>
      <w:r>
        <w:t>34</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_Toc29707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8质量保证和质量控制</w:t>
      </w:r>
      <w:r>
        <w:tab/>
      </w:r>
      <w:r>
        <w:fldChar w:fldCharType="begin"/>
      </w:r>
      <w:r>
        <w:instrText xml:space="preserve"> PAGEREF _Toc29707 \h </w:instrText>
      </w:r>
      <w:r>
        <w:fldChar w:fldCharType="separate"/>
      </w:r>
      <w:r>
        <w:t>36</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_Toc13653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8.1监测分析方法及检测仪器</w:t>
      </w:r>
      <w:r>
        <w:tab/>
      </w:r>
      <w:r>
        <w:fldChar w:fldCharType="begin"/>
      </w:r>
      <w:r>
        <w:instrText xml:space="preserve"> PAGEREF _Toc13653 \h </w:instrText>
      </w:r>
      <w:r>
        <w:fldChar w:fldCharType="separate"/>
      </w:r>
      <w:r>
        <w:t>36</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_Toc744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8.2人员资质</w:t>
      </w:r>
      <w:r>
        <w:tab/>
      </w:r>
      <w:r>
        <w:fldChar w:fldCharType="begin"/>
      </w:r>
      <w:r>
        <w:instrText xml:space="preserve"> PAGEREF _Toc744 \h </w:instrText>
      </w:r>
      <w:r>
        <w:fldChar w:fldCharType="separate"/>
      </w:r>
      <w:r>
        <w:t>37</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_Toc28428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8.</w:t>
      </w:r>
      <w:r>
        <w:rPr>
          <w:rFonts w:hint="default" w:ascii="Times New Roman" w:hAnsi="Times New Roman" w:cs="Times New Roman"/>
          <w:lang w:val="en-US" w:eastAsia="zh-CN"/>
        </w:rPr>
        <w:t>3</w:t>
      </w:r>
      <w:r>
        <w:rPr>
          <w:rFonts w:hint="default" w:ascii="Times New Roman" w:hAnsi="Times New Roman" w:cs="Times New Roman"/>
        </w:rPr>
        <w:t>气体监测分析过程中的质量保证和质量控制</w:t>
      </w:r>
      <w:r>
        <w:tab/>
      </w:r>
      <w:r>
        <w:fldChar w:fldCharType="begin"/>
      </w:r>
      <w:r>
        <w:instrText xml:space="preserve"> PAGEREF _Toc28428 \h </w:instrText>
      </w:r>
      <w:r>
        <w:fldChar w:fldCharType="separate"/>
      </w:r>
      <w:r>
        <w:t>38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_Toc20598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8.</w:t>
      </w:r>
      <w:r>
        <w:rPr>
          <w:rFonts w:hint="default" w:ascii="Times New Roman" w:hAnsi="Times New Roman" w:cs="Times New Roman"/>
          <w:lang w:val="en-US" w:eastAsia="zh-CN"/>
        </w:rPr>
        <w:t>4</w:t>
      </w:r>
      <w:r>
        <w:rPr>
          <w:rFonts w:hint="default" w:ascii="Times New Roman" w:hAnsi="Times New Roman" w:cs="Times New Roman"/>
        </w:rPr>
        <w:t>噪声监测分析过程中的质量保证和质量控制</w:t>
      </w:r>
      <w:r>
        <w:tab/>
      </w:r>
      <w:r>
        <w:fldChar w:fldCharType="begin"/>
      </w:r>
      <w:r>
        <w:instrText xml:space="preserve"> PAGEREF _Toc20598 \h </w:instrText>
      </w:r>
      <w:r>
        <w:fldChar w:fldCharType="separate"/>
      </w:r>
      <w:r>
        <w:t>38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_Toc3434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8.</w:t>
      </w:r>
      <w:r>
        <w:rPr>
          <w:rFonts w:hint="default" w:ascii="Times New Roman" w:hAnsi="Times New Roman" w:cs="Times New Roman"/>
          <w:lang w:val="en-US" w:eastAsia="zh-CN"/>
        </w:rPr>
        <w:t>5</w:t>
      </w:r>
      <w:r>
        <w:rPr>
          <w:rFonts w:hint="default" w:ascii="Times New Roman" w:hAnsi="Times New Roman" w:cs="Times New Roman"/>
        </w:rPr>
        <w:t>水质监测分析过程中的质量保证和质量控制</w:t>
      </w:r>
      <w:r>
        <w:tab/>
      </w:r>
      <w:r>
        <w:fldChar w:fldCharType="begin"/>
      </w:r>
      <w:r>
        <w:instrText xml:space="preserve"> PAGEREF _Toc3434 \h </w:instrText>
      </w:r>
      <w:r>
        <w:fldChar w:fldCharType="separate"/>
      </w:r>
      <w:r>
        <w:t>38</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_Toc31466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9验收监测结果</w:t>
      </w:r>
      <w:r>
        <w:tab/>
      </w:r>
      <w:r>
        <w:fldChar w:fldCharType="begin"/>
      </w:r>
      <w:r>
        <w:instrText xml:space="preserve"> PAGEREF _Toc31466 \h </w:instrText>
      </w:r>
      <w:r>
        <w:fldChar w:fldCharType="separate"/>
      </w:r>
      <w:r>
        <w:t>39</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_Toc11652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9.1生产工况</w:t>
      </w:r>
      <w:r>
        <w:tab/>
      </w:r>
      <w:r>
        <w:fldChar w:fldCharType="begin"/>
      </w:r>
      <w:r>
        <w:instrText xml:space="preserve"> PAGEREF _Toc11652 \h </w:instrText>
      </w:r>
      <w:r>
        <w:fldChar w:fldCharType="separate"/>
      </w:r>
      <w:r>
        <w:t>39</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_Toc11221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rPr>
        <w:t>9.2验收监测结果</w:t>
      </w:r>
      <w:r>
        <w:tab/>
      </w:r>
      <w:r>
        <w:fldChar w:fldCharType="begin"/>
      </w:r>
      <w:r>
        <w:instrText xml:space="preserve"> PAGEREF _Toc11221 \h </w:instrText>
      </w:r>
      <w:r>
        <w:fldChar w:fldCharType="separate"/>
      </w:r>
      <w:r>
        <w:t>39</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_Toc6197 </w:instrText>
      </w:r>
      <w:r>
        <w:rPr>
          <w:rFonts w:hint="default" w:ascii="Times New Roman" w:hAnsi="Times New Roman" w:eastAsia="宋体" w:cs="Times New Roman"/>
          <w:kern w:val="0"/>
          <w:szCs w:val="22"/>
        </w:rPr>
        <w:fldChar w:fldCharType="separate"/>
      </w:r>
      <w:r>
        <w:rPr>
          <w:rFonts w:hint="default" w:ascii="Times New Roman" w:hAnsi="Times New Roman" w:cs="Times New Roman"/>
          <w:szCs w:val="28"/>
          <w:lang w:val="en-US" w:eastAsia="zh-CN"/>
        </w:rPr>
        <w:t>9.2.1废水</w:t>
      </w:r>
      <w:r>
        <w:tab/>
      </w:r>
      <w:r>
        <w:fldChar w:fldCharType="begin"/>
      </w:r>
      <w:r>
        <w:instrText xml:space="preserve"> PAGEREF _Toc6197 \h </w:instrText>
      </w:r>
      <w:r>
        <w:fldChar w:fldCharType="separate"/>
      </w:r>
      <w:r>
        <w:t>39</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_Toc24586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28"/>
        </w:rPr>
        <w:t>9.2.</w:t>
      </w:r>
      <w:r>
        <w:rPr>
          <w:rFonts w:hint="default" w:ascii="Times New Roman" w:hAnsi="Times New Roman" w:cs="Times New Roman"/>
          <w:szCs w:val="28"/>
          <w:lang w:val="en-US" w:eastAsia="zh-CN"/>
        </w:rPr>
        <w:t>2</w:t>
      </w:r>
      <w:r>
        <w:rPr>
          <w:rFonts w:hint="default" w:ascii="Times New Roman" w:hAnsi="Times New Roman" w:eastAsia="宋体" w:cs="Times New Roman"/>
          <w:szCs w:val="28"/>
        </w:rPr>
        <w:t>废气</w:t>
      </w:r>
      <w:r>
        <w:tab/>
      </w:r>
      <w:r>
        <w:fldChar w:fldCharType="begin"/>
      </w:r>
      <w:r>
        <w:instrText xml:space="preserve"> PAGEREF _Toc24586 \h </w:instrText>
      </w:r>
      <w:r>
        <w:fldChar w:fldCharType="separate"/>
      </w:r>
      <w:r>
        <w:t>43</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_Toc22751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28"/>
        </w:rPr>
        <w:t>9.2.3厂界噪声</w:t>
      </w:r>
      <w:r>
        <w:tab/>
      </w:r>
      <w:r>
        <w:fldChar w:fldCharType="begin"/>
      </w:r>
      <w:r>
        <w:instrText xml:space="preserve"> PAGEREF _Toc22751 \h </w:instrText>
      </w:r>
      <w:r>
        <w:fldChar w:fldCharType="separate"/>
      </w:r>
      <w:r>
        <w:t>45</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_Toc22484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rPr>
        <w:t>9.3污染物排放总量核算</w:t>
      </w:r>
      <w:r>
        <w:tab/>
      </w:r>
      <w:r>
        <w:fldChar w:fldCharType="begin"/>
      </w:r>
      <w:r>
        <w:instrText xml:space="preserve"> PAGEREF _Toc22484 \h </w:instrText>
      </w:r>
      <w:r>
        <w:fldChar w:fldCharType="separate"/>
      </w:r>
      <w:r>
        <w:t>46</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_Toc20296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rPr>
        <w:t>9.4工程建设对环境的影响</w:t>
      </w:r>
      <w:r>
        <w:tab/>
      </w:r>
      <w:r>
        <w:fldChar w:fldCharType="begin"/>
      </w:r>
      <w:r>
        <w:instrText xml:space="preserve"> PAGEREF _Toc20296 \h </w:instrText>
      </w:r>
      <w:r>
        <w:fldChar w:fldCharType="separate"/>
      </w:r>
      <w:r>
        <w:t>46</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_Toc14821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10验收监测结论</w:t>
      </w:r>
      <w:r>
        <w:tab/>
      </w:r>
      <w:r>
        <w:fldChar w:fldCharType="begin"/>
      </w:r>
      <w:r>
        <w:instrText xml:space="preserve"> PAGEREF _Toc14821 \h </w:instrText>
      </w:r>
      <w:r>
        <w:fldChar w:fldCharType="separate"/>
      </w:r>
      <w:r>
        <w:t>48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_Toc15701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1</w:t>
      </w:r>
      <w:r>
        <w:rPr>
          <w:rFonts w:hint="default" w:ascii="Times New Roman" w:hAnsi="Times New Roman" w:cs="Times New Roman"/>
          <w:lang w:val="en-US" w:eastAsia="zh-CN"/>
        </w:rPr>
        <w:t>0</w:t>
      </w:r>
      <w:r>
        <w:rPr>
          <w:rFonts w:hint="default" w:ascii="Times New Roman" w:hAnsi="Times New Roman" w:cs="Times New Roman"/>
        </w:rPr>
        <w:t>.1</w:t>
      </w:r>
      <w:r>
        <w:rPr>
          <w:rFonts w:hint="default" w:ascii="Times New Roman" w:hAnsi="Times New Roman" w:cs="Times New Roman"/>
          <w:lang w:eastAsia="zh-CN"/>
        </w:rPr>
        <w:t>项目概况</w:t>
      </w:r>
      <w:r>
        <w:tab/>
      </w:r>
      <w:r>
        <w:fldChar w:fldCharType="begin"/>
      </w:r>
      <w:r>
        <w:instrText xml:space="preserve"> PAGEREF _Toc15701 \h </w:instrText>
      </w:r>
      <w:r>
        <w:fldChar w:fldCharType="separate"/>
      </w:r>
      <w:r>
        <w:t>48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_Toc1692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10.2</w:t>
      </w:r>
      <w:r>
        <w:rPr>
          <w:rFonts w:hint="default" w:ascii="Times New Roman" w:hAnsi="Times New Roman" w:cs="Times New Roman"/>
        </w:rPr>
        <w:t>环保设施调试运行效果</w:t>
      </w:r>
      <w:r>
        <w:tab/>
      </w:r>
      <w:r>
        <w:fldChar w:fldCharType="begin"/>
      </w:r>
      <w:r>
        <w:instrText xml:space="preserve"> PAGEREF _Toc1692 \h </w:instrText>
      </w:r>
      <w:r>
        <w:fldChar w:fldCharType="separate"/>
      </w:r>
      <w:r>
        <w:t>48</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_Toc6068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1</w:t>
      </w:r>
      <w:r>
        <w:rPr>
          <w:rFonts w:hint="default" w:ascii="Times New Roman" w:hAnsi="Times New Roman" w:cs="Times New Roman"/>
          <w:lang w:val="en-US" w:eastAsia="zh-CN"/>
        </w:rPr>
        <w:t>0</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.1环保设施处理效率监测结果</w:t>
      </w:r>
      <w:r>
        <w:tab/>
      </w:r>
      <w:r>
        <w:fldChar w:fldCharType="begin"/>
      </w:r>
      <w:r>
        <w:instrText xml:space="preserve"> PAGEREF _Toc6068 \h </w:instrText>
      </w:r>
      <w:r>
        <w:fldChar w:fldCharType="separate"/>
      </w:r>
      <w:r>
        <w:t>48</w:t>
      </w:r>
      <w:r>
        <w:fldChar w:fldCharType="end"/>
      </w:r>
      <w:r>
        <w:rPr>
          <w:rFonts w:hint="default" w:ascii="Times New Roman" w:hAnsi="Times New Roman" w:eastAsia="宋体" w:cs="Times New Roman"/>
          <w:color w:val="auto"/>
          <w:kern w:val="0"/>
          <w:szCs w:val="22"/>
        </w:rPr>
        <w:fldChar w:fldCharType="end"/>
      </w:r>
    </w:p>
    <w:p>
      <w:pPr>
        <w:pStyle w:val="1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_Toc9875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1</w:t>
      </w:r>
      <w:r>
        <w:rPr>
          <w:rFonts w:hint="default" w:ascii="Times New Roman" w:hAnsi="Times New Roman" w:cs="Times New Roman"/>
          <w:lang w:val="en-US" w:eastAsia="zh-CN"/>
        </w:rPr>
        <w:t>0</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.2污染物排放监测结果</w:t>
      </w:r>
      <w:r>
        <w:tab/>
      </w:r>
      <w:r>
        <w:fldChar w:fldCharType="begin"/>
      </w:r>
      <w:r>
        <w:instrText xml:space="preserve"> PAGEREF _Toc9875 \h </w:instrText>
      </w:r>
      <w:r>
        <w:fldChar w:fldCharType="separate"/>
      </w:r>
      <w:r>
        <w:t>48</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_Toc22705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szCs w:val="30"/>
        </w:rPr>
        <w:t>10.</w:t>
      </w:r>
      <w:r>
        <w:rPr>
          <w:rFonts w:hint="default" w:ascii="Times New Roman" w:hAnsi="Times New Roman" w:cs="Times New Roman"/>
          <w:szCs w:val="30"/>
          <w:lang w:val="en-US" w:eastAsia="zh-CN"/>
        </w:rPr>
        <w:t>3</w:t>
      </w:r>
      <w:r>
        <w:rPr>
          <w:rFonts w:hint="default" w:ascii="Times New Roman" w:hAnsi="Times New Roman" w:eastAsia="宋体" w:cs="Times New Roman"/>
          <w:szCs w:val="30"/>
        </w:rPr>
        <w:t>工程建设对环境的影响</w:t>
      </w:r>
      <w:r>
        <w:tab/>
      </w:r>
      <w:r>
        <w:fldChar w:fldCharType="begin"/>
      </w:r>
      <w:r>
        <w:instrText xml:space="preserve"> PAGEREF _Toc22705 \h </w:instrText>
      </w:r>
      <w:r>
        <w:fldChar w:fldCharType="separate"/>
      </w:r>
      <w:r>
        <w:t>49</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_Toc30361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10.4投诉情况</w:t>
      </w:r>
      <w:r>
        <w:tab/>
      </w:r>
      <w:r>
        <w:fldChar w:fldCharType="begin"/>
      </w:r>
      <w:r>
        <w:instrText xml:space="preserve"> PAGEREF _Toc30361 \h </w:instrText>
      </w:r>
      <w:r>
        <w:fldChar w:fldCharType="separate"/>
      </w:r>
      <w:r>
        <w:t>49</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_Toc20165 </w:instrText>
      </w:r>
      <w:r>
        <w:rPr>
          <w:rFonts w:hint="default" w:ascii="Times New Roman" w:hAnsi="Times New Roman" w:eastAsia="宋体" w:cs="Times New Roman"/>
          <w:kern w:val="0"/>
          <w:szCs w:val="22"/>
        </w:rPr>
        <w:fldChar w:fldCharType="separate"/>
      </w:r>
      <w:r>
        <w:rPr>
          <w:rFonts w:hint="default" w:ascii="Times New Roman" w:hAnsi="Times New Roman" w:cs="Times New Roman"/>
          <w:lang w:val="en-US" w:eastAsia="zh-CN"/>
        </w:rPr>
        <w:t>10.5验收结论</w:t>
      </w:r>
      <w:r>
        <w:tab/>
      </w:r>
      <w:r>
        <w:fldChar w:fldCharType="begin"/>
      </w:r>
      <w:r>
        <w:instrText xml:space="preserve"> PAGEREF _Toc20165 \h </w:instrText>
      </w:r>
      <w:r>
        <w:fldChar w:fldCharType="separate"/>
      </w:r>
      <w:r>
        <w:t>49</w:t>
      </w:r>
      <w:r>
        <w:fldChar w:fldCharType="end"/>
      </w:r>
      <w:r>
        <w:rPr>
          <w:rFonts w:hint="default" w:ascii="Times New Roman" w:hAnsi="Times New Roman" w:eastAsia="宋体" w:cs="Times New Roman"/>
          <w:color w:val="auto"/>
          <w:kern w:val="0"/>
          <w:szCs w:val="22"/>
        </w:rPr>
        <w:fldChar w:fldCharType="end"/>
      </w:r>
    </w:p>
    <w:p>
      <w:pPr>
        <w:pStyle w:val="26"/>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_Toc1158 </w:instrText>
      </w:r>
      <w:r>
        <w:rPr>
          <w:rFonts w:hint="default" w:ascii="Times New Roman" w:hAnsi="Times New Roman" w:eastAsia="宋体" w:cs="Times New Roman"/>
          <w:kern w:val="0"/>
          <w:szCs w:val="22"/>
        </w:rPr>
        <w:fldChar w:fldCharType="separate"/>
      </w:r>
      <w:r>
        <w:rPr>
          <w:rFonts w:hint="default" w:ascii="Times New Roman" w:hAnsi="Times New Roman" w:cs="Times New Roman"/>
        </w:rPr>
        <w:t>10.</w:t>
      </w:r>
      <w:r>
        <w:rPr>
          <w:rFonts w:hint="default" w:ascii="Times New Roman" w:hAnsi="Times New Roman" w:cs="Times New Roman"/>
          <w:lang w:val="en-US" w:eastAsia="zh-CN"/>
        </w:rPr>
        <w:t>6</w:t>
      </w:r>
      <w:r>
        <w:rPr>
          <w:rFonts w:hint="default" w:ascii="Times New Roman" w:hAnsi="Times New Roman" w:cs="Times New Roman"/>
        </w:rPr>
        <w:t>建议与要求</w:t>
      </w:r>
      <w:r>
        <w:tab/>
      </w:r>
      <w:r>
        <w:fldChar w:fldCharType="begin"/>
      </w:r>
      <w:r>
        <w:instrText xml:space="preserve"> PAGEREF _Toc1158 \h </w:instrText>
      </w:r>
      <w:r>
        <w:fldChar w:fldCharType="separate"/>
      </w:r>
      <w:r>
        <w:t>50</w:t>
      </w:r>
      <w:r>
        <w:fldChar w:fldCharType="end"/>
      </w:r>
      <w:r>
        <w:rPr>
          <w:rFonts w:hint="default" w:ascii="Times New Roman" w:hAnsi="Times New Roman" w:eastAsia="宋体" w:cs="Times New Roman"/>
          <w:color w:val="auto"/>
          <w:kern w:val="0"/>
          <w:szCs w:val="22"/>
        </w:rPr>
        <w:fldChar w:fldCharType="end"/>
      </w:r>
    </w:p>
    <w:p>
      <w:pPr>
        <w:pStyle w:val="24"/>
        <w:tabs>
          <w:tab w:val="right" w:leader="dot" w:pos="8391"/>
        </w:tabs>
      </w:pPr>
      <w:r>
        <w:rPr>
          <w:rFonts w:hint="default" w:ascii="Times New Roman" w:hAnsi="Times New Roman" w:eastAsia="宋体" w:cs="Times New Roman"/>
          <w:color w:val="auto"/>
          <w:kern w:val="0"/>
          <w:szCs w:val="22"/>
        </w:rPr>
        <w:fldChar w:fldCharType="begin"/>
      </w:r>
      <w:r>
        <w:rPr>
          <w:rFonts w:hint="default" w:ascii="Times New Roman" w:hAnsi="Times New Roman" w:eastAsia="宋体" w:cs="Times New Roman"/>
          <w:kern w:val="0"/>
          <w:szCs w:val="22"/>
        </w:rPr>
        <w:instrText xml:space="preserve"> HYPERLINK \l _Toc27816 </w:instrText>
      </w:r>
      <w:r>
        <w:rPr>
          <w:rFonts w:hint="default" w:ascii="Times New Roman" w:hAnsi="Times New Roman" w:eastAsia="宋体" w:cs="Times New Roman"/>
          <w:kern w:val="0"/>
          <w:szCs w:val="22"/>
        </w:rPr>
        <w:fldChar w:fldCharType="separate"/>
      </w:r>
      <w:r>
        <w:rPr>
          <w:rFonts w:hint="default" w:ascii="Times New Roman" w:hAnsi="Times New Roman" w:eastAsia="宋体" w:cs="Times New Roman"/>
        </w:rPr>
        <w:t>附图和附件</w:t>
      </w:r>
      <w:r>
        <w:tab/>
      </w:r>
      <w:r>
        <w:fldChar w:fldCharType="begin"/>
      </w:r>
      <w:r>
        <w:instrText xml:space="preserve"> PAGEREF _Toc27816 \h </w:instrText>
      </w:r>
      <w:r>
        <w:fldChar w:fldCharType="separate"/>
      </w:r>
      <w:r>
        <w:t>51</w:t>
      </w:r>
      <w:r>
        <w:fldChar w:fldCharType="end"/>
      </w:r>
      <w:r>
        <w:rPr>
          <w:rFonts w:hint="default" w:ascii="Times New Roman" w:hAnsi="Times New Roman" w:eastAsia="宋体" w:cs="Times New Roman"/>
          <w:color w:val="auto"/>
          <w:kern w:val="0"/>
          <w:szCs w:val="22"/>
        </w:rPr>
        <w:fldChar w:fldCharType="end"/>
      </w:r>
    </w:p>
    <w:p>
      <w:pPr>
        <w:adjustRightInd w:val="0"/>
        <w:snapToGrid w:val="0"/>
        <w:spacing w:after="200" w:line="360" w:lineRule="auto"/>
        <w:rPr>
          <w:rFonts w:hint="default" w:ascii="Times New Roman" w:hAnsi="Times New Roman" w:eastAsia="宋体" w:cs="Times New Roman"/>
          <w:color w:val="auto"/>
          <w:kern w:val="0"/>
          <w:sz w:val="28"/>
          <w:szCs w:val="22"/>
        </w:rPr>
        <w:sectPr>
          <w:headerReference r:id="rId9" w:type="default"/>
          <w:footerReference r:id="rId10" w:type="default"/>
          <w:footerReference r:id="rId11" w:type="even"/>
          <w:pgSz w:w="11907" w:h="16840"/>
          <w:pgMar w:top="1440" w:right="1531" w:bottom="1440" w:left="1531" w:header="851" w:footer="992" w:gutter="454"/>
          <w:pgBorders>
            <w:top w:val="none" w:sz="0" w:space="0"/>
            <w:left w:val="none" w:sz="0" w:space="0"/>
            <w:bottom w:val="none" w:sz="0" w:space="0"/>
            <w:right w:val="none" w:sz="0" w:space="0"/>
          </w:pgBorders>
          <w:pgNumType w:fmt="decimal" w:start="1"/>
          <w:cols w:space="720" w:num="1"/>
          <w:rtlGutter w:val="0"/>
          <w:docGrid w:type="lines" w:linePitch="320" w:charSpace="0"/>
        </w:sectPr>
      </w:pPr>
      <w:r>
        <w:rPr>
          <w:rFonts w:hint="default" w:ascii="Times New Roman" w:hAnsi="Times New Roman" w:eastAsia="宋体" w:cs="Times New Roman"/>
          <w:color w:val="auto"/>
          <w:kern w:val="0"/>
          <w:szCs w:val="22"/>
        </w:rPr>
        <w:fldChar w:fldCharType="end"/>
      </w:r>
    </w:p>
    <w:p>
      <w:pPr>
        <w:pStyle w:val="3"/>
        <w:bidi w:val="0"/>
        <w:rPr>
          <w:rFonts w:hint="default" w:ascii="Times New Roman" w:hAnsi="Times New Roman" w:cs="Times New Roman"/>
          <w:color w:val="auto"/>
        </w:rPr>
      </w:pPr>
      <w:bookmarkStart w:id="1" w:name="_Toc41"/>
      <w:bookmarkStart w:id="2" w:name="_Toc22242"/>
      <w:r>
        <w:rPr>
          <w:rFonts w:hint="default" w:ascii="Times New Roman" w:hAnsi="Times New Roman" w:cs="Times New Roman"/>
          <w:b/>
          <w:color w:val="auto"/>
          <w:sz w:val="30"/>
          <w:szCs w:val="30"/>
          <w:lang w:eastAsia="zh-CN"/>
        </w:rPr>
        <w:t>1</w:t>
      </w:r>
      <w:bookmarkEnd w:id="1"/>
      <w:r>
        <w:rPr>
          <w:rFonts w:hint="default" w:ascii="Times New Roman" w:hAnsi="Times New Roman" w:cs="Times New Roman"/>
          <w:color w:val="auto"/>
          <w:sz w:val="30"/>
          <w:szCs w:val="30"/>
          <w:lang w:eastAsia="zh-CN"/>
        </w:rPr>
        <w:t>项目概况</w:t>
      </w:r>
      <w:bookmarkEnd w:id="2"/>
    </w:p>
    <w:p>
      <w:pPr>
        <w:pStyle w:val="4"/>
        <w:rPr>
          <w:rFonts w:hint="default" w:ascii="Times New Roman" w:hAnsi="Times New Roman" w:eastAsia="宋体" w:cs="Times New Roman"/>
          <w:b/>
          <w:color w:val="auto"/>
          <w:kern w:val="2"/>
          <w:sz w:val="30"/>
          <w:szCs w:val="30"/>
          <w:highlight w:val="none"/>
          <w:lang w:val="en-US" w:eastAsia="zh-CN" w:bidi="ar-SA"/>
        </w:rPr>
      </w:pPr>
      <w:bookmarkStart w:id="3" w:name="_Toc31703"/>
      <w:bookmarkStart w:id="4" w:name="_Toc20039"/>
      <w:bookmarkStart w:id="5" w:name="_Hlk57642010"/>
      <w:bookmarkStart w:id="6" w:name="_Hlk29913134"/>
      <w:r>
        <w:rPr>
          <w:rFonts w:hint="default" w:ascii="Times New Roman" w:hAnsi="Times New Roman" w:eastAsia="宋体" w:cs="Times New Roman"/>
          <w:b/>
          <w:color w:val="auto"/>
          <w:kern w:val="2"/>
          <w:sz w:val="30"/>
          <w:szCs w:val="30"/>
          <w:highlight w:val="none"/>
          <w:lang w:val="en-US" w:eastAsia="zh-CN" w:bidi="ar-SA"/>
        </w:rPr>
        <w:t>1.1项目基本概况</w:t>
      </w:r>
      <w:bookmarkEnd w:id="3"/>
      <w:bookmarkEnd w:id="4"/>
    </w:p>
    <w:p>
      <w:pPr>
        <w:pStyle w:val="87"/>
        <w:ind w:firstLine="720" w:firstLineChars="3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随着国家对环境保护的重视，同时为响应荣昌区贯彻执行重庆市“碧水行动”和《三峡库区及其上游水污染防治规划（修订本）》、《长江经济带生态环境保护规划》、《荣昌区2019年濑溪河流域污染防治攻坚行动实施方案》文件精神，荣昌荣隆工业园污水处理厂</w:t>
      </w:r>
      <w:r>
        <w:rPr>
          <w:rFonts w:hint="default" w:ascii="Times New Roman" w:hAnsi="Times New Roman" w:eastAsia="宋体" w:cs="Times New Roman"/>
          <w:color w:val="auto"/>
          <w:lang w:val="en-US" w:eastAsia="zh-CN"/>
        </w:rPr>
        <w:t>进行了提标改造工程。</w:t>
      </w:r>
      <w:r>
        <w:rPr>
          <w:rFonts w:hint="default" w:ascii="Times New Roman" w:hAnsi="Times New Roman" w:cs="Times New Roman"/>
          <w:color w:val="auto"/>
          <w:lang w:val="en-US" w:eastAsia="zh-CN"/>
        </w:rPr>
        <w:t>荣昌荣隆工业园污水处理厂提标改造工程位于重庆市荣昌区荣隆工业园内，2019年12月重庆宏烨实业集团有限公司委托重庆集能环保技术咨询服务有限公司编制了《重庆宏烨实业集团有限公司荣昌荣隆工业园污水处理厂提标及工艺技改工程环境影响报告表》。2021年12月对该项目竣工验收，项目的实际建设内容和规模与环评基本一致。本次针对荣昌荣隆工业园污水处理厂提标及工艺技改工程项目进行验收。</w:t>
      </w:r>
    </w:p>
    <w:p>
      <w:pPr>
        <w:pStyle w:val="87"/>
        <w:ind w:firstLine="720" w:firstLineChars="30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荣昌荣隆工业园污水处理厂提标及工艺技改工程项目位于重庆市荣昌区荣隆工业园内，</w:t>
      </w:r>
      <w:r>
        <w:rPr>
          <w:rFonts w:hint="default" w:ascii="Times New Roman" w:hAnsi="Times New Roman" w:cs="Times New Roman"/>
          <w:color w:val="auto"/>
          <w:lang w:val="en-US" w:eastAsia="zh-CN"/>
        </w:rPr>
        <w:t>新增</w:t>
      </w:r>
      <w:r>
        <w:rPr>
          <w:rFonts w:hint="default" w:ascii="Times New Roman" w:hAnsi="Times New Roman" w:eastAsia="宋体" w:cs="Times New Roman"/>
          <w:color w:val="auto"/>
          <w:lang w:eastAsia="zh-CN"/>
        </w:rPr>
        <w:t>占地面积约</w:t>
      </w:r>
      <w:r>
        <w:rPr>
          <w:rFonts w:hint="default" w:ascii="Times New Roman" w:hAnsi="Times New Roman" w:cs="Times New Roman"/>
          <w:color w:val="auto"/>
          <w:lang w:val="en-US" w:eastAsia="zh-CN"/>
        </w:rPr>
        <w:t>3200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，项目总投资</w:t>
      </w:r>
      <w:r>
        <w:rPr>
          <w:rFonts w:hint="default" w:ascii="Times New Roman" w:hAnsi="Times New Roman" w:cs="Times New Roman"/>
          <w:color w:val="auto"/>
          <w:lang w:val="en-US" w:eastAsia="zh-CN"/>
        </w:rPr>
        <w:t>2830.38</w:t>
      </w:r>
      <w:r>
        <w:rPr>
          <w:rFonts w:hint="default" w:ascii="Times New Roman" w:hAnsi="Times New Roman" w:eastAsia="宋体" w:cs="Times New Roman"/>
          <w:color w:val="auto"/>
          <w:lang w:val="en-US" w:eastAsia="zh-CN"/>
        </w:rPr>
        <w:t>万元，主要建设内容为新增和改造部分污水处理池，将现有A</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/O</w:t>
      </w:r>
      <w:r>
        <w:rPr>
          <w:rFonts w:hint="default" w:ascii="Times New Roman" w:hAnsi="Times New Roman" w:cs="Times New Roman"/>
          <w:color w:val="auto"/>
          <w:lang w:val="en-US" w:eastAsia="zh-CN"/>
        </w:rPr>
        <w:t>工艺（</w:t>
      </w:r>
      <w:r>
        <w:rPr>
          <w:rFonts w:hint="default" w:ascii="Times New Roman" w:hAnsi="Times New Roman" w:eastAsia="宋体" w:cs="Times New Roman"/>
          <w:color w:val="auto"/>
          <w:lang w:val="en-US" w:eastAsia="zh-CN"/>
        </w:rPr>
        <w:t>具体为“粗格栅—调节池—细格栅—气浮—水解酸化池—A</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O生物池—二沉池—消毒</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”改为</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粗格栅—调节池—细格栅—混凝沉淀池—气浮—水解酸化池—厌氧+二级AO反应池—二沉池—深度絮凝沉淀过滤设备—消毒</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的组合处理工艺</w:t>
      </w:r>
      <w:r>
        <w:rPr>
          <w:rFonts w:hint="default" w:ascii="Times New Roman" w:hAnsi="Times New Roman" w:cs="Times New Roman"/>
          <w:color w:val="auto"/>
          <w:lang w:val="en-US" w:eastAsia="zh-CN"/>
        </w:rPr>
        <w:t>。提标改造后处理规模不变，为7500m³/d，</w:t>
      </w:r>
      <w:r>
        <w:rPr>
          <w:rFonts w:hint="default" w:ascii="Times New Roman" w:hAnsi="Times New Roman" w:eastAsia="宋体" w:cs="Times New Roman"/>
          <w:color w:val="auto"/>
          <w:lang w:val="en-US" w:eastAsia="zh-CN"/>
        </w:rPr>
        <w:t>出水水质执行《城镇污水处理厂污染物排放标准》（GB 18918-2002）一级A标</w:t>
      </w:r>
      <w:r>
        <w:rPr>
          <w:rFonts w:hint="default" w:ascii="Times New Roman" w:hAnsi="Times New Roman" w:eastAsia="宋体" w:cs="Times New Roman"/>
          <w:color w:val="auto"/>
          <w:lang w:eastAsia="zh-CN"/>
        </w:rPr>
        <w:t>。截至目前，项目已全面建成并完成通水。</w:t>
      </w:r>
    </w:p>
    <w:p>
      <w:pPr>
        <w:pStyle w:val="87"/>
        <w:ind w:firstLine="723" w:firstLineChars="300"/>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提标改造设计阶段建设内容与规模：</w:t>
      </w:r>
      <w:r>
        <w:rPr>
          <w:rFonts w:hint="default" w:ascii="Times New Roman" w:hAnsi="Times New Roman" w:eastAsia="宋体" w:cs="Times New Roman"/>
          <w:color w:val="auto"/>
          <w:lang w:eastAsia="zh-CN"/>
        </w:rPr>
        <w:t>项目位于</w:t>
      </w:r>
      <w:r>
        <w:rPr>
          <w:rFonts w:hint="default" w:ascii="Times New Roman" w:hAnsi="Times New Roman" w:cs="Times New Roman"/>
          <w:color w:val="auto"/>
          <w:lang w:eastAsia="zh-CN"/>
        </w:rPr>
        <w:t>重庆市荣昌区荣隆工业园内</w:t>
      </w:r>
      <w:r>
        <w:rPr>
          <w:rFonts w:hint="default" w:ascii="Times New Roman" w:hAnsi="Times New Roman" w:cs="Times New Roman"/>
          <w:color w:val="auto"/>
          <w:lang w:val="en-US" w:eastAsia="zh-CN"/>
        </w:rPr>
        <w:t>现有污水处理厂东侧</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新增</w:t>
      </w:r>
      <w:r>
        <w:rPr>
          <w:rFonts w:hint="default" w:ascii="Times New Roman" w:hAnsi="Times New Roman" w:eastAsia="宋体" w:cs="Times New Roman"/>
          <w:color w:val="auto"/>
          <w:lang w:eastAsia="zh-CN"/>
        </w:rPr>
        <w:t>占地面积约</w:t>
      </w:r>
      <w:r>
        <w:rPr>
          <w:rFonts w:hint="default" w:ascii="Times New Roman" w:hAnsi="Times New Roman" w:cs="Times New Roman"/>
          <w:color w:val="auto"/>
          <w:lang w:val="en-US" w:eastAsia="zh-CN"/>
        </w:rPr>
        <w:t>3200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cs="Times New Roman"/>
          <w:color w:val="auto"/>
          <w:vertAlign w:val="baseline"/>
          <w:lang w:val="en-US" w:eastAsia="zh-CN"/>
        </w:rPr>
        <w:t>。建设规模无变化，为7500m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vertAlign w:val="baseline"/>
          <w:lang w:val="en-US" w:eastAsia="zh-CN"/>
        </w:rPr>
        <w:t>/d。员工</w:t>
      </w:r>
      <w:r>
        <w:rPr>
          <w:rFonts w:hint="eastAsia" w:cs="Times New Roman"/>
          <w:color w:val="auto"/>
          <w:vertAlign w:val="baseline"/>
          <w:lang w:val="en-US" w:eastAsia="zh-CN"/>
        </w:rPr>
        <w:t>新增两人</w:t>
      </w:r>
      <w:r>
        <w:rPr>
          <w:rFonts w:hint="default" w:ascii="Times New Roman" w:hAnsi="Times New Roman" w:cs="Times New Roman"/>
          <w:color w:val="auto"/>
          <w:vertAlign w:val="baseline"/>
          <w:lang w:val="en-US" w:eastAsia="zh-CN"/>
        </w:rPr>
        <w:t>，为1</w:t>
      </w:r>
      <w:r>
        <w:rPr>
          <w:rFonts w:hint="eastAsia" w:cs="Times New Roman"/>
          <w:color w:val="auto"/>
          <w:vertAlign w:val="baseline"/>
          <w:lang w:val="en-US" w:eastAsia="zh-CN"/>
        </w:rPr>
        <w:t>2</w:t>
      </w:r>
      <w:r>
        <w:rPr>
          <w:rFonts w:hint="default" w:ascii="Times New Roman" w:hAnsi="Times New Roman" w:cs="Times New Roman"/>
          <w:color w:val="auto"/>
          <w:vertAlign w:val="baseline"/>
          <w:lang w:val="en-US" w:eastAsia="zh-CN"/>
        </w:rPr>
        <w:t>人。运营时间无变化，为356d/a，24h/d。本次提标改造只针对污水处理厂厂内改造，不涉及厂外排水管网工程和泵站，并依托现有排污口进行排污。</w:t>
      </w:r>
      <w:r>
        <w:rPr>
          <w:rFonts w:hint="default" w:ascii="Times New Roman" w:hAnsi="Times New Roman" w:eastAsia="宋体" w:cs="Times New Roman"/>
          <w:color w:val="auto"/>
          <w:vertAlign w:val="baseline"/>
          <w:lang w:val="en-US" w:eastAsia="zh-CN"/>
        </w:rPr>
        <w:t>新建构筑物为事故池、中间泵池、浮渣收集池、混凝沉淀池、气浮一体化设备、水解酸化池、中间水池和集泥池；利旧改造构筑物为生化池（将A</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vertAlign w:val="baseline"/>
          <w:lang w:val="en-US" w:eastAsia="zh-CN"/>
        </w:rPr>
        <w:t>O生物池改造为厌氧+二级AO反应池）；其余污水处理池和配套设施均利旧</w:t>
      </w:r>
      <w:r>
        <w:rPr>
          <w:rFonts w:hint="default" w:ascii="Times New Roman" w:hAnsi="Times New Roman" w:eastAsia="宋体" w:cs="Times New Roman"/>
          <w:color w:val="auto"/>
          <w:lang w:eastAsia="zh-CN"/>
        </w:rPr>
        <w:t>。</w:t>
      </w:r>
    </w:p>
    <w:p>
      <w:pPr>
        <w:pStyle w:val="87"/>
        <w:ind w:firstLine="723" w:firstLineChars="300"/>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eastAsia="zh-CN"/>
        </w:rPr>
        <w:t>项目实际建设内容与规模：</w:t>
      </w:r>
      <w:r>
        <w:rPr>
          <w:rFonts w:hint="default" w:ascii="Times New Roman" w:hAnsi="Times New Roman" w:cs="Times New Roman"/>
          <w:color w:val="auto"/>
          <w:spacing w:val="0"/>
          <w:w w:val="100"/>
        </w:rPr>
        <w:t>项目实际建设内容及规模与</w:t>
      </w:r>
      <w:r>
        <w:rPr>
          <w:rFonts w:hint="default" w:ascii="Times New Roman" w:hAnsi="Times New Roman" w:cs="Times New Roman"/>
          <w:color w:val="auto"/>
          <w:spacing w:val="0"/>
          <w:w w:val="100"/>
          <w:lang w:eastAsia="zh-CN"/>
        </w:rPr>
        <w:t>提标改造设计</w:t>
      </w:r>
      <w:r>
        <w:rPr>
          <w:rFonts w:hint="default" w:ascii="Times New Roman" w:hAnsi="Times New Roman" w:cs="Times New Roman"/>
          <w:color w:val="auto"/>
          <w:spacing w:val="0"/>
          <w:w w:val="100"/>
        </w:rPr>
        <w:t>阶段建设内容及规模基本一致，无重大变化。项目建设基本情况见表1.1-1。</w:t>
      </w:r>
    </w:p>
    <w:bookmarkEnd w:id="5"/>
    <w:p>
      <w:pPr>
        <w:pStyle w:val="103"/>
        <w:rPr>
          <w:rFonts w:hint="default" w:ascii="Times New Roman" w:hAnsi="Times New Roman" w:eastAsia="宋体" w:cs="Times New Roman"/>
          <w:color w:val="auto"/>
        </w:rPr>
      </w:pPr>
    </w:p>
    <w:p>
      <w:pPr>
        <w:pStyle w:val="103"/>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表1.1</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项目基本情况</w:t>
      </w:r>
      <w:r>
        <w:rPr>
          <w:rFonts w:hint="default" w:ascii="Times New Roman" w:hAnsi="Times New Roman" w:eastAsia="宋体" w:cs="Times New Roman"/>
          <w:color w:val="auto"/>
          <w:lang w:eastAsia="zh-CN"/>
        </w:rPr>
        <w:t>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4"/>
        <w:gridCol w:w="1539"/>
        <w:gridCol w:w="228"/>
        <w:gridCol w:w="908"/>
        <w:gridCol w:w="691"/>
        <w:gridCol w:w="170"/>
        <w:gridCol w:w="981"/>
        <w:gridCol w:w="141"/>
        <w:gridCol w:w="649"/>
        <w:gridCol w:w="363"/>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建设项目名称</w:t>
            </w:r>
          </w:p>
        </w:tc>
        <w:tc>
          <w:tcPr>
            <w:tcW w:w="3932" w:type="pct"/>
            <w:gridSpan w:val="10"/>
            <w:tcBorders>
              <w:top w:val="single" w:color="auto" w:sz="4" w:space="0"/>
              <w:left w:val="single" w:color="auto" w:sz="4" w:space="0"/>
              <w:bottom w:val="single" w:color="auto" w:sz="4" w:space="0"/>
              <w:right w:val="single" w:color="auto" w:sz="4" w:space="0"/>
            </w:tcBorders>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bCs/>
                <w:color w:val="auto"/>
                <w:kern w:val="0"/>
                <w:sz w:val="21"/>
                <w:szCs w:val="21"/>
                <w:lang w:eastAsia="zh-CN"/>
              </w:rPr>
              <w:t>荣昌荣隆工业园污水处理厂提标及工艺技改工程项目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tcBorders>
              <w:top w:val="single" w:color="auto" w:sz="4" w:space="0"/>
              <w:left w:val="single" w:color="auto" w:sz="4" w:space="0"/>
              <w:bottom w:val="single" w:color="auto" w:sz="4" w:space="0"/>
              <w:right w:val="single" w:color="auto" w:sz="4" w:space="0"/>
            </w:tcBorders>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建设地点</w:t>
            </w:r>
          </w:p>
        </w:tc>
        <w:tc>
          <w:tcPr>
            <w:tcW w:w="3932" w:type="pct"/>
            <w:gridSpan w:val="10"/>
            <w:tcBorders>
              <w:top w:val="single" w:color="auto" w:sz="4" w:space="0"/>
              <w:left w:val="single" w:color="auto" w:sz="4" w:space="0"/>
              <w:bottom w:val="single" w:color="auto" w:sz="4" w:space="0"/>
              <w:right w:val="single" w:color="auto" w:sz="4" w:space="0"/>
            </w:tcBorders>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重庆市荣昌区荣隆工业园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项目中心坐标</w:t>
            </w:r>
          </w:p>
        </w:tc>
        <w:tc>
          <w:tcPr>
            <w:tcW w:w="975" w:type="pct"/>
            <w:gridSpan w:val="2"/>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经度</w:t>
            </w:r>
          </w:p>
        </w:tc>
        <w:tc>
          <w:tcPr>
            <w:tcW w:w="976" w:type="pct"/>
            <w:gridSpan w:val="3"/>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105.444825</w:t>
            </w:r>
          </w:p>
        </w:tc>
        <w:tc>
          <w:tcPr>
            <w:tcW w:w="977" w:type="pct"/>
            <w:gridSpan w:val="3"/>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纬度</w:t>
            </w:r>
          </w:p>
        </w:tc>
        <w:tc>
          <w:tcPr>
            <w:tcW w:w="1003" w:type="pct"/>
            <w:gridSpan w:val="2"/>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29.396104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业主单位名称</w:t>
            </w:r>
          </w:p>
        </w:tc>
        <w:tc>
          <w:tcPr>
            <w:tcW w:w="3932" w:type="pct"/>
            <w:gridSpan w:val="10"/>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荣昌荣隆工业园污水处理厂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联系人</w:t>
            </w:r>
          </w:p>
        </w:tc>
        <w:tc>
          <w:tcPr>
            <w:tcW w:w="1476" w:type="pct"/>
            <w:gridSpan w:val="3"/>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唐老师</w:t>
            </w:r>
          </w:p>
        </w:tc>
        <w:tc>
          <w:tcPr>
            <w:tcW w:w="1094" w:type="pct"/>
            <w:gridSpan w:val="4"/>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联系电话</w:t>
            </w:r>
          </w:p>
        </w:tc>
        <w:tc>
          <w:tcPr>
            <w:tcW w:w="1361" w:type="pct"/>
            <w:gridSpan w:val="3"/>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18183175075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建设项目性质</w:t>
            </w:r>
          </w:p>
        </w:tc>
        <w:tc>
          <w:tcPr>
            <w:tcW w:w="3932" w:type="pct"/>
            <w:gridSpan w:val="10"/>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□新建□改扩建</w:t>
            </w:r>
            <w:r>
              <w:rPr>
                <w:rFonts w:hint="default"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行业类别</w:t>
            </w:r>
          </w:p>
        </w:tc>
        <w:tc>
          <w:tcPr>
            <w:tcW w:w="3932" w:type="pct"/>
            <w:gridSpan w:val="10"/>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D4620污水处理及其再生利用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开工时间</w:t>
            </w:r>
          </w:p>
        </w:tc>
        <w:tc>
          <w:tcPr>
            <w:tcW w:w="1476" w:type="pct"/>
            <w:gridSpan w:val="3"/>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highlight w:val="none"/>
                <w:lang w:val="en-US" w:eastAsia="zh-CN"/>
              </w:rPr>
              <w:t>2020</w:t>
            </w:r>
            <w:r>
              <w:rPr>
                <w:rFonts w:hint="default" w:ascii="Times New Roman" w:hAnsi="Times New Roman" w:eastAsia="宋体" w:cs="Times New Roman"/>
                <w:bCs/>
                <w:color w:val="auto"/>
                <w:kern w:val="0"/>
                <w:sz w:val="21"/>
                <w:szCs w:val="21"/>
                <w:highlight w:val="none"/>
                <w:lang w:val="en-US" w:eastAsia="zh-CN"/>
              </w:rPr>
              <w:t>年</w:t>
            </w:r>
            <w:r>
              <w:rPr>
                <w:rFonts w:hint="default" w:ascii="Times New Roman" w:hAnsi="Times New Roman" w:cs="Times New Roman"/>
                <w:bCs/>
                <w:color w:val="auto"/>
                <w:kern w:val="0"/>
                <w:sz w:val="21"/>
                <w:szCs w:val="21"/>
                <w:highlight w:val="none"/>
                <w:lang w:val="en-US" w:eastAsia="zh-CN"/>
              </w:rPr>
              <w:t>10月17号</w:t>
            </w:r>
          </w:p>
        </w:tc>
        <w:tc>
          <w:tcPr>
            <w:tcW w:w="1016" w:type="pct"/>
            <w:gridSpan w:val="3"/>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试运行时间</w:t>
            </w:r>
          </w:p>
        </w:tc>
        <w:tc>
          <w:tcPr>
            <w:tcW w:w="1439" w:type="pct"/>
            <w:gridSpan w:val="4"/>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202</w:t>
            </w:r>
            <w:r>
              <w:rPr>
                <w:rFonts w:hint="default" w:ascii="Times New Roman" w:hAnsi="Times New Roman"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lang w:val="en-US" w:eastAsia="zh-CN"/>
              </w:rPr>
              <w:t>年</w:t>
            </w:r>
            <w:r>
              <w:rPr>
                <w:rFonts w:hint="default" w:ascii="Times New Roman" w:hAnsi="Times New Roman" w:cs="Times New Roman"/>
                <w:color w:val="auto"/>
                <w:kern w:val="0"/>
                <w:sz w:val="21"/>
                <w:szCs w:val="21"/>
                <w:highlight w:val="none"/>
                <w:lang w:val="en-US" w:eastAsia="zh-CN"/>
              </w:rPr>
              <w:t>11</w:t>
            </w:r>
            <w:r>
              <w:rPr>
                <w:rFonts w:hint="default" w:ascii="Times New Roman" w:hAnsi="Times New Roman" w:eastAsia="宋体" w:cs="Times New Roman"/>
                <w:color w:val="auto"/>
                <w:kern w:val="0"/>
                <w:sz w:val="21"/>
                <w:szCs w:val="21"/>
                <w:highlight w:val="none"/>
                <w:lang w:val="en-US" w:eastAsia="zh-CN"/>
              </w:rPr>
              <w:t>月</w:t>
            </w:r>
            <w:r>
              <w:rPr>
                <w:rFonts w:hint="default" w:ascii="Times New Roman" w:hAnsi="Times New Roman" w:cs="Times New Roman"/>
                <w:color w:val="auto"/>
                <w:kern w:val="0"/>
                <w:sz w:val="21"/>
                <w:szCs w:val="21"/>
                <w:highlight w:val="none"/>
                <w:lang w:val="en-US" w:eastAsia="zh-CN"/>
              </w:rPr>
              <w:t>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提标改造设计</w:t>
            </w:r>
            <w:r>
              <w:rPr>
                <w:rFonts w:hint="default" w:ascii="Times New Roman" w:hAnsi="Times New Roman" w:eastAsia="宋体" w:cs="Times New Roman"/>
                <w:color w:val="auto"/>
                <w:kern w:val="0"/>
                <w:sz w:val="21"/>
                <w:szCs w:val="21"/>
              </w:rPr>
              <w:t>处理能力</w:t>
            </w:r>
          </w:p>
        </w:tc>
        <w:tc>
          <w:tcPr>
            <w:tcW w:w="3932" w:type="pct"/>
            <w:gridSpan w:val="10"/>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rPr>
            </w:pPr>
            <w:r>
              <w:rPr>
                <w:rFonts w:hint="default" w:ascii="Times New Roman" w:hAnsi="Times New Roman" w:cs="Times New Roman"/>
                <w:bCs/>
                <w:color w:val="auto"/>
                <w:kern w:val="0"/>
                <w:sz w:val="21"/>
                <w:szCs w:val="21"/>
                <w:lang w:val="en-US" w:eastAsia="zh-CN"/>
              </w:rPr>
              <w:t>处理规模为7500</w:t>
            </w:r>
            <w:r>
              <w:rPr>
                <w:rFonts w:hint="default" w:ascii="Times New Roman" w:hAnsi="Times New Roman" w:eastAsia="宋体" w:cs="Times New Roman"/>
                <w:bCs/>
                <w:color w:val="auto"/>
                <w:kern w:val="0"/>
                <w:sz w:val="21"/>
                <w:szCs w:val="21"/>
              </w:rPr>
              <w:t>m</w:t>
            </w:r>
            <w:r>
              <w:rPr>
                <w:rFonts w:hint="default" w:ascii="Times New Roman" w:hAnsi="Times New Roman" w:eastAsia="宋体" w:cs="Times New Roman"/>
                <w:bCs/>
                <w:color w:val="auto"/>
                <w:kern w:val="0"/>
                <w:sz w:val="21"/>
                <w:szCs w:val="21"/>
                <w:vertAlign w:val="superscript"/>
              </w:rPr>
              <w:t>3</w:t>
            </w:r>
            <w:r>
              <w:rPr>
                <w:rFonts w:hint="default" w:ascii="Times New Roman" w:hAnsi="Times New Roman" w:eastAsia="宋体" w:cs="Times New Roman"/>
                <w:bCs/>
                <w:color w:val="auto"/>
                <w:kern w:val="0"/>
                <w:sz w:val="21"/>
                <w:szCs w:val="21"/>
              </w:rPr>
              <w:t>/d，出水</w:t>
            </w:r>
            <w:r>
              <w:rPr>
                <w:rFonts w:hint="default" w:ascii="Times New Roman" w:hAnsi="Times New Roman" w:eastAsia="宋体" w:cs="Times New Roman"/>
                <w:bCs/>
                <w:color w:val="auto"/>
                <w:kern w:val="0"/>
                <w:sz w:val="21"/>
                <w:szCs w:val="21"/>
                <w:lang w:eastAsia="zh-CN"/>
              </w:rPr>
              <w:t>水质达</w:t>
            </w:r>
            <w:r>
              <w:rPr>
                <w:rFonts w:hint="default" w:ascii="Times New Roman" w:hAnsi="Times New Roman" w:eastAsia="宋体" w:cs="Times New Roman"/>
                <w:bCs/>
                <w:color w:val="auto"/>
                <w:kern w:val="0"/>
                <w:sz w:val="21"/>
                <w:szCs w:val="21"/>
              </w:rPr>
              <w:t>《城镇污水处理厂污染物排放标准》</w:t>
            </w:r>
          </w:p>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（GB18918-2002）一级</w:t>
            </w:r>
            <w:r>
              <w:rPr>
                <w:rFonts w:hint="default" w:ascii="Times New Roman" w:hAnsi="Times New Roman" w:eastAsia="宋体" w:cs="Times New Roman"/>
                <w:bCs/>
                <w:color w:val="auto"/>
                <w:kern w:val="0"/>
                <w:sz w:val="21"/>
                <w:szCs w:val="21"/>
                <w:lang w:val="en-US" w:eastAsia="zh-CN"/>
              </w:rPr>
              <w:t>A</w:t>
            </w:r>
            <w:r>
              <w:rPr>
                <w:rFonts w:hint="default" w:ascii="Times New Roman" w:hAnsi="Times New Roman" w:eastAsia="宋体" w:cs="Times New Roman"/>
                <w:bCs/>
                <w:color w:val="auto"/>
                <w:kern w:val="0"/>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实际</w:t>
            </w:r>
            <w:r>
              <w:rPr>
                <w:rFonts w:hint="default" w:ascii="Times New Roman" w:hAnsi="Times New Roman" w:eastAsia="宋体" w:cs="Times New Roman"/>
                <w:color w:val="auto"/>
                <w:kern w:val="0"/>
                <w:sz w:val="21"/>
                <w:szCs w:val="21"/>
              </w:rPr>
              <w:t>处理能力</w:t>
            </w:r>
          </w:p>
        </w:tc>
        <w:tc>
          <w:tcPr>
            <w:tcW w:w="3932" w:type="pct"/>
            <w:gridSpan w:val="10"/>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eastAsia="zh-CN"/>
              </w:rPr>
              <w:t>提标改造后处理规模为</w:t>
            </w:r>
            <w:r>
              <w:rPr>
                <w:rFonts w:hint="default" w:ascii="Times New Roman" w:hAnsi="Times New Roman" w:cs="Times New Roman"/>
                <w:bCs/>
                <w:color w:val="auto"/>
                <w:kern w:val="0"/>
                <w:sz w:val="21"/>
                <w:szCs w:val="21"/>
                <w:lang w:val="en-US" w:eastAsia="zh-CN"/>
              </w:rPr>
              <w:t>7500</w:t>
            </w:r>
            <w:r>
              <w:rPr>
                <w:rFonts w:hint="default" w:ascii="Times New Roman" w:hAnsi="Times New Roman" w:eastAsia="宋体" w:cs="Times New Roman"/>
                <w:bCs/>
                <w:color w:val="auto"/>
                <w:kern w:val="0"/>
                <w:sz w:val="21"/>
                <w:szCs w:val="21"/>
                <w:lang w:val="en-US" w:eastAsia="zh-CN"/>
              </w:rPr>
              <w:t>万</w:t>
            </w:r>
            <w:r>
              <w:rPr>
                <w:rFonts w:hint="default" w:ascii="Times New Roman" w:hAnsi="Times New Roman" w:eastAsia="宋体" w:cs="Times New Roman"/>
                <w:bCs/>
                <w:color w:val="auto"/>
                <w:kern w:val="0"/>
                <w:sz w:val="21"/>
                <w:szCs w:val="21"/>
              </w:rPr>
              <w:t>m</w:t>
            </w:r>
            <w:r>
              <w:rPr>
                <w:rFonts w:hint="default" w:ascii="Times New Roman" w:hAnsi="Times New Roman" w:eastAsia="宋体" w:cs="Times New Roman"/>
                <w:bCs/>
                <w:color w:val="auto"/>
                <w:kern w:val="0"/>
                <w:sz w:val="21"/>
                <w:szCs w:val="21"/>
                <w:vertAlign w:val="superscript"/>
              </w:rPr>
              <w:t>3</w:t>
            </w:r>
            <w:r>
              <w:rPr>
                <w:rFonts w:hint="default" w:ascii="Times New Roman" w:hAnsi="Times New Roman" w:eastAsia="宋体" w:cs="Times New Roman"/>
                <w:bCs/>
                <w:color w:val="auto"/>
                <w:kern w:val="0"/>
                <w:sz w:val="21"/>
                <w:szCs w:val="21"/>
              </w:rPr>
              <w:t>/d，出水</w:t>
            </w:r>
            <w:r>
              <w:rPr>
                <w:rFonts w:hint="default" w:ascii="Times New Roman" w:hAnsi="Times New Roman" w:eastAsia="宋体" w:cs="Times New Roman"/>
                <w:bCs/>
                <w:color w:val="auto"/>
                <w:kern w:val="0"/>
                <w:sz w:val="21"/>
                <w:szCs w:val="21"/>
                <w:lang w:eastAsia="zh-CN"/>
              </w:rPr>
              <w:t>水质达</w:t>
            </w:r>
            <w:r>
              <w:rPr>
                <w:rFonts w:hint="default" w:ascii="Times New Roman" w:hAnsi="Times New Roman" w:eastAsia="宋体" w:cs="Times New Roman"/>
                <w:bCs/>
                <w:color w:val="auto"/>
                <w:kern w:val="0"/>
                <w:sz w:val="21"/>
                <w:szCs w:val="21"/>
              </w:rPr>
              <w:t>《城镇污水处理厂污染物排放标准》（GB18918-2002）一级</w:t>
            </w:r>
            <w:r>
              <w:rPr>
                <w:rFonts w:hint="default" w:ascii="Times New Roman" w:hAnsi="Times New Roman" w:eastAsia="宋体" w:cs="Times New Roman"/>
                <w:bCs/>
                <w:color w:val="auto"/>
                <w:kern w:val="0"/>
                <w:sz w:val="21"/>
                <w:szCs w:val="21"/>
                <w:lang w:val="en-US" w:eastAsia="zh-CN"/>
              </w:rPr>
              <w:t>A</w:t>
            </w:r>
            <w:r>
              <w:rPr>
                <w:rFonts w:hint="default" w:ascii="Times New Roman" w:hAnsi="Times New Roman" w:eastAsia="宋体" w:cs="Times New Roman"/>
                <w:bCs/>
                <w:color w:val="auto"/>
                <w:kern w:val="0"/>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highlight w:val="yellow"/>
              </w:rPr>
            </w:pPr>
            <w:r>
              <w:rPr>
                <w:rFonts w:hint="default" w:ascii="Times New Roman" w:hAnsi="Times New Roman" w:cs="Times New Roman"/>
                <w:color w:val="auto"/>
                <w:kern w:val="0"/>
                <w:sz w:val="21"/>
                <w:szCs w:val="21"/>
                <w:highlight w:val="none"/>
                <w:lang w:val="en-US" w:eastAsia="zh-CN"/>
              </w:rPr>
              <w:t>提标改造</w:t>
            </w:r>
            <w:r>
              <w:rPr>
                <w:rFonts w:hint="default" w:ascii="Times New Roman" w:hAnsi="Times New Roman" w:eastAsia="宋体" w:cs="Times New Roman"/>
                <w:color w:val="auto"/>
                <w:kern w:val="0"/>
                <w:sz w:val="21"/>
                <w:szCs w:val="21"/>
                <w:highlight w:val="none"/>
              </w:rPr>
              <w:t>建设内容</w:t>
            </w:r>
          </w:p>
        </w:tc>
        <w:tc>
          <w:tcPr>
            <w:tcW w:w="3932" w:type="pct"/>
            <w:gridSpan w:val="10"/>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kern w:val="0"/>
                <w:sz w:val="21"/>
                <w:szCs w:val="21"/>
              </w:rPr>
            </w:pPr>
            <w:r>
              <w:rPr>
                <w:rFonts w:hint="default" w:ascii="Times New Roman" w:hAnsi="Times New Roman" w:cs="Times New Roman"/>
                <w:bCs/>
                <w:color w:val="auto"/>
                <w:kern w:val="0"/>
                <w:sz w:val="21"/>
                <w:szCs w:val="21"/>
                <w:lang w:eastAsia="zh-CN"/>
              </w:rPr>
              <w:t>新建</w:t>
            </w:r>
            <w:r>
              <w:rPr>
                <w:rFonts w:hint="default" w:ascii="Times New Roman" w:hAnsi="Times New Roman" w:cs="Times New Roman"/>
                <w:bCs/>
                <w:color w:val="auto"/>
                <w:kern w:val="0"/>
                <w:sz w:val="21"/>
                <w:szCs w:val="21"/>
                <w:lang w:val="en-US" w:eastAsia="zh-CN"/>
              </w:rPr>
              <w:t>中间泵池、絮凝池、沉淀池、气浮设备平台（二层）、浮渣池、水解酸化池、深度处理组合池、深度絮凝沉淀过滤设备基础、事故池、加药设备房</w:t>
            </w:r>
            <w:r>
              <w:rPr>
                <w:rFonts w:hint="default" w:ascii="Times New Roman" w:hAnsi="Times New Roman" w:eastAsia="宋体" w:cs="Times New Roman"/>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highlight w:val="yellow"/>
                <w:lang w:eastAsia="zh-CN"/>
              </w:rPr>
            </w:pPr>
            <w:r>
              <w:rPr>
                <w:rFonts w:hint="default" w:ascii="Times New Roman" w:hAnsi="Times New Roman" w:eastAsia="宋体" w:cs="Times New Roman"/>
                <w:color w:val="auto"/>
                <w:kern w:val="0"/>
                <w:sz w:val="21"/>
                <w:szCs w:val="21"/>
                <w:highlight w:val="none"/>
                <w:lang w:eastAsia="zh-CN"/>
              </w:rPr>
              <w:t>实际建设内容</w:t>
            </w:r>
          </w:p>
        </w:tc>
        <w:tc>
          <w:tcPr>
            <w:tcW w:w="7127" w:type="dxa"/>
            <w:gridSpan w:val="10"/>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Cs/>
                <w:color w:val="auto"/>
                <w:kern w:val="0"/>
                <w:sz w:val="21"/>
                <w:szCs w:val="21"/>
                <w:highlight w:val="yellow"/>
                <w:lang w:val="en-US" w:eastAsia="zh-CN" w:bidi="ar-SA"/>
              </w:rPr>
            </w:pPr>
            <w:r>
              <w:rPr>
                <w:rFonts w:hint="default" w:ascii="Times New Roman" w:hAnsi="Times New Roman" w:cs="Times New Roman"/>
                <w:bCs/>
                <w:color w:val="auto"/>
                <w:kern w:val="0"/>
                <w:sz w:val="21"/>
                <w:szCs w:val="21"/>
                <w:lang w:eastAsia="zh-CN"/>
              </w:rPr>
              <w:t>新建</w:t>
            </w:r>
            <w:r>
              <w:rPr>
                <w:rFonts w:hint="default" w:ascii="Times New Roman" w:hAnsi="Times New Roman" w:cs="Times New Roman"/>
                <w:bCs/>
                <w:color w:val="auto"/>
                <w:kern w:val="0"/>
                <w:sz w:val="21"/>
                <w:szCs w:val="21"/>
                <w:lang w:val="en-US" w:eastAsia="zh-CN"/>
              </w:rPr>
              <w:t>中间泵池、混凝池、沉淀池、气浮设备平台（二层）、浮渣池、水解酸化池、深度处理组合池、深度絮凝沉淀过滤设备基础、事故池、加药设备房</w:t>
            </w:r>
            <w:r>
              <w:rPr>
                <w:rFonts w:hint="default" w:ascii="Times New Roman" w:hAnsi="Times New Roman" w:eastAsia="宋体" w:cs="Times New Roman"/>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7"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总投资</w:t>
            </w:r>
          </w:p>
        </w:tc>
        <w:tc>
          <w:tcPr>
            <w:tcW w:w="849"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cs="Times New Roman"/>
                <w:bCs/>
                <w:color w:val="auto"/>
                <w:kern w:val="0"/>
                <w:sz w:val="21"/>
                <w:szCs w:val="21"/>
                <w:lang w:val="en-US" w:eastAsia="zh-CN"/>
              </w:rPr>
              <w:t>2830.38</w:t>
            </w:r>
            <w:r>
              <w:rPr>
                <w:rFonts w:hint="default" w:ascii="Times New Roman" w:hAnsi="Times New Roman" w:eastAsia="宋体" w:cs="Times New Roman"/>
                <w:color w:val="auto"/>
                <w:kern w:val="0"/>
                <w:sz w:val="21"/>
                <w:szCs w:val="21"/>
              </w:rPr>
              <w:t>万元</w:t>
            </w:r>
          </w:p>
        </w:tc>
        <w:tc>
          <w:tcPr>
            <w:tcW w:w="1008" w:type="pct"/>
            <w:gridSpan w:val="3"/>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color w:val="auto"/>
                <w:kern w:val="0"/>
                <w:sz w:val="21"/>
                <w:szCs w:val="21"/>
                <w:lang w:val="en-US" w:eastAsia="zh-CN"/>
              </w:rPr>
              <w:t>环保投资</w:t>
            </w:r>
          </w:p>
        </w:tc>
        <w:tc>
          <w:tcPr>
            <w:tcW w:w="712" w:type="pct"/>
            <w:gridSpan w:val="3"/>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27万元</w:t>
            </w:r>
          </w:p>
        </w:tc>
        <w:tc>
          <w:tcPr>
            <w:tcW w:w="558" w:type="pct"/>
            <w:gridSpan w:val="2"/>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比例</w:t>
            </w:r>
          </w:p>
        </w:tc>
        <w:tc>
          <w:tcPr>
            <w:tcW w:w="803" w:type="pct"/>
            <w:noWrap w:val="0"/>
            <w:vAlign w:val="center"/>
          </w:tcPr>
          <w:p>
            <w:pPr>
              <w:pStyle w:val="99"/>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0.95%</w:t>
            </w:r>
          </w:p>
        </w:tc>
      </w:tr>
    </w:tbl>
    <w:p>
      <w:pPr>
        <w:pStyle w:val="4"/>
        <w:rPr>
          <w:rFonts w:hint="default" w:ascii="Times New Roman" w:hAnsi="Times New Roman" w:eastAsia="宋体" w:cs="Times New Roman"/>
          <w:color w:val="auto"/>
          <w:lang w:eastAsia="zh-CN"/>
        </w:rPr>
      </w:pPr>
      <w:bookmarkStart w:id="7" w:name="_Toc26464"/>
      <w:bookmarkStart w:id="8" w:name="_Toc26063"/>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2</w:t>
      </w:r>
      <w:bookmarkEnd w:id="7"/>
      <w:r>
        <w:rPr>
          <w:rFonts w:hint="default" w:ascii="Times New Roman" w:hAnsi="Times New Roman" w:eastAsia="宋体" w:cs="Times New Roman"/>
          <w:color w:val="auto"/>
          <w:lang w:eastAsia="zh-CN"/>
        </w:rPr>
        <w:t>验收工作由来</w:t>
      </w:r>
      <w:bookmarkEnd w:id="8"/>
    </w:p>
    <w:p>
      <w:pPr>
        <w:pStyle w:val="8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2014年中煤科工集团重庆设计研究院有限公司编制完成《荣昌县荣隆工业园污水处理工程建设项目环境影响报告书》，并取得荣昌区环境保护局下达的批复（渝（荣）环准[2014]151号）。根据污水处理厂环评报告及批复的相关要求，污水处理厂采用A</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/O处理工艺，出水水质执行《城镇污水处理厂污染物排放标准》（GB18918-2002）一级B标准，纳污水水体为濑溪河。2019年6月通过了环保竣工验收（设计处理规模7500</w:t>
      </w:r>
      <w:r>
        <w:rPr>
          <w:rFonts w:hint="eastAsia" w:cs="Times New Roman"/>
          <w:color w:val="auto"/>
          <w:lang w:val="en-US" w:eastAsia="zh-CN"/>
        </w:rPr>
        <w:t>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/d，验收期间处理规模1500t/d）。</w:t>
      </w:r>
    </w:p>
    <w:p>
      <w:pPr>
        <w:pStyle w:val="87"/>
        <w:ind w:firstLine="480"/>
        <w:rPr>
          <w:rFonts w:hint="default" w:cs="Times New Roman"/>
          <w:color w:val="auto"/>
          <w:lang w:val="en-US" w:eastAsia="zh-CN"/>
        </w:rPr>
      </w:pPr>
      <w:r>
        <w:rPr>
          <w:rFonts w:hint="default" w:ascii="Times New Roman" w:hAnsi="Times New Roman" w:cs="Times New Roman"/>
          <w:color w:val="auto"/>
          <w:lang w:val="en-US" w:eastAsia="zh-CN"/>
        </w:rPr>
        <w:t>2017年重庆港力环保股份有限公司编制完成《荣昌区荣隆台湾工业园污水处理厂工程入河排污口设置论证报告》，并取得荣昌区水务局下达的批复（荣水务发[2017]170号），根据该报告及批复，</w:t>
      </w:r>
      <w:r>
        <w:rPr>
          <w:rFonts w:hint="eastAsia" w:cs="Times New Roman"/>
          <w:color w:val="auto"/>
          <w:lang w:val="en-US" w:eastAsia="zh-CN"/>
        </w:rPr>
        <w:t>工程入河排污口设置在污水处理厂厂区东南侧直线距离约8.5km处，位于濑溪河右岸，排放方式为连续排放。</w:t>
      </w:r>
    </w:p>
    <w:p>
      <w:pPr>
        <w:pStyle w:val="8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庆宏烨实业集团有限公司根据重庆市荣昌区发展和改革委员会关于荣隆工业园污水处理厂提标及工艺技改工程立项的批复，拟将荣隆工业园污水处理厂尾水排放标准提标至《城镇污水处理厂污染物排放标准》一级A标后排入濑溪河。</w:t>
      </w:r>
    </w:p>
    <w:p>
      <w:pPr>
        <w:pStyle w:val="8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2019年12月集能环保技术咨询服务有限公司编制完成《重庆宏烨实业集团有限公司荣昌荣隆工业园污水处理厂提标及工艺技改工程环境影响报告表》</w:t>
      </w:r>
      <w:r>
        <w:rPr>
          <w:rFonts w:hint="eastAsia" w:cs="Times New Roman"/>
          <w:color w:val="auto"/>
          <w:lang w:val="en-US" w:eastAsia="zh-CN"/>
        </w:rPr>
        <w:t>并经专家评审形成评审意见</w:t>
      </w:r>
      <w:r>
        <w:rPr>
          <w:rFonts w:hint="default" w:ascii="Times New Roman" w:hAnsi="Times New Roman" w:cs="Times New Roman"/>
          <w:color w:val="auto"/>
          <w:lang w:val="en-US" w:eastAsia="zh-CN"/>
        </w:rPr>
        <w:t>。该项目由重庆宏烨实业集团有限公司施工建设，2020年10月17日开始建设，预处理系统2021年8月投入使用，2021年11月20日设备整体试运行。</w:t>
      </w:r>
    </w:p>
    <w:p>
      <w:pPr>
        <w:pStyle w:val="87"/>
        <w:ind w:firstLine="48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2022</w:t>
      </w:r>
      <w:r>
        <w:rPr>
          <w:rFonts w:hint="default" w:ascii="Times New Roman" w:hAnsi="Times New Roman" w:cs="Times New Roman"/>
          <w:color w:val="auto"/>
          <w:highlight w:val="none"/>
          <w:lang w:val="en-US" w:eastAsia="zh-CN"/>
        </w:rPr>
        <w:t>年</w:t>
      </w:r>
      <w:r>
        <w:rPr>
          <w:rFonts w:hint="eastAsia" w:cs="Times New Roman"/>
          <w:color w:val="auto"/>
          <w:highlight w:val="none"/>
          <w:lang w:val="en-US" w:eastAsia="zh-CN"/>
        </w:rPr>
        <w:t>9</w:t>
      </w:r>
      <w:r>
        <w:rPr>
          <w:rFonts w:hint="default" w:ascii="Times New Roman" w:hAnsi="Times New Roman" w:cs="Times New Roman"/>
          <w:color w:val="auto"/>
          <w:highlight w:val="none"/>
          <w:lang w:val="en-US" w:eastAsia="zh-CN"/>
        </w:rPr>
        <w:t>月</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日，荣昌荣隆工业园污水处理厂取得排污许可证，证书编号：</w:t>
      </w:r>
      <w:r>
        <w:rPr>
          <w:rFonts w:hint="eastAsia" w:cs="Times New Roman"/>
          <w:color w:val="auto"/>
          <w:highlight w:val="none"/>
          <w:lang w:val="en-US" w:eastAsia="zh-CN"/>
        </w:rPr>
        <w:t>915001076635719127010V</w:t>
      </w:r>
      <w:r>
        <w:rPr>
          <w:rFonts w:hint="default" w:ascii="Times New Roman" w:hAnsi="Times New Roman" w:cs="Times New Roman"/>
          <w:color w:val="auto"/>
          <w:highlight w:val="none"/>
          <w:lang w:val="en-US" w:eastAsia="zh-CN"/>
        </w:rPr>
        <w:t>。</w:t>
      </w:r>
    </w:p>
    <w:p>
      <w:pPr>
        <w:pStyle w:val="87"/>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为了确定提标改造工程项目达到竣工验收标准，重庆惠能标普科技有限公司受重庆宏烨集团有限公司委托，组织对荣昌荣隆工业园污水处理厂提标及工艺技改工程项目进行竣工验收。</w:t>
      </w:r>
    </w:p>
    <w:p>
      <w:pPr>
        <w:pStyle w:val="87"/>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建设项目环境保护管理条例》（国务院令682号）、《关于规范建设单位自主开展建设项目竣工环境保护验收的通知》（环办环评函[2017]1235号）等文件的相关要求和规定，重庆惠能标普科技有限公司启动荣昌荣隆工业园污水处理厂提标及工艺技改工程项目竣工环保验收工作。</w:t>
      </w:r>
    </w:p>
    <w:p>
      <w:pPr>
        <w:pStyle w:val="87"/>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启动后，重庆惠能标普科技有限公司于2021年12月起组织专业技术人员对项目进行了现场踏勘和资料收集调研工作，并于2021年12月13日-2021年12月14日对该项目的废气、废水和噪声进行了现场验收检测。根据现场调查情况，结合该项目废气、废水、噪声监测结果，以《建设项目竣工环境保护验收技术指南污染影响类》等的相关要求，编制完成了《荣昌荣隆工业园污水处理厂提标及工艺技改工程项目竣工环境保护验收监测报告》。</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本次验收报告编制的工作程序见图1.2-1。</w:t>
      </w:r>
    </w:p>
    <w:p>
      <w:pPr>
        <w:pStyle w:val="87"/>
        <w:ind w:left="0" w:leftChars="0" w:firstLine="0" w:firstLineChars="0"/>
        <w:rPr>
          <w:rFonts w:hint="default" w:ascii="Times New Roman" w:hAnsi="Times New Roman" w:eastAsia="宋体" w:cs="Times New Roman"/>
          <w:color w:val="auto"/>
        </w:rPr>
      </w:pPr>
      <w:r>
        <w:rPr>
          <w:rFonts w:hint="default" w:ascii="Times New Roman" w:hAnsi="Times New Roman" w:cs="Times New Roman"/>
          <w:color w:val="auto"/>
          <w:spacing w:val="0"/>
          <w:w w:val="100"/>
        </w:rPr>
        <w:drawing>
          <wp:inline distT="0" distB="0" distL="114300" distR="114300">
            <wp:extent cx="5555615" cy="5815965"/>
            <wp:effectExtent l="0" t="0" r="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15"/>
                    <a:stretch>
                      <a:fillRect/>
                    </a:stretch>
                  </pic:blipFill>
                  <pic:spPr>
                    <a:xfrm>
                      <a:off x="0" y="0"/>
                      <a:ext cx="5555615" cy="5815965"/>
                    </a:xfrm>
                    <a:prstGeom prst="rect">
                      <a:avLst/>
                    </a:prstGeom>
                    <a:noFill/>
                    <a:ln>
                      <a:noFill/>
                    </a:ln>
                  </pic:spPr>
                </pic:pic>
              </a:graphicData>
            </a:graphic>
          </wp:inline>
        </w:drawing>
      </w:r>
    </w:p>
    <w:p>
      <w:pPr>
        <w:pStyle w:val="87"/>
        <w:ind w:left="0" w:leftChars="0" w:firstLine="0" w:firstLineChars="0"/>
        <w:rPr>
          <w:rFonts w:hint="default" w:ascii="Times New Roman" w:hAnsi="Times New Roman" w:eastAsia="宋体"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1829435</wp:posOffset>
                </wp:positionH>
                <wp:positionV relativeFrom="paragraph">
                  <wp:posOffset>5216525</wp:posOffset>
                </wp:positionV>
                <wp:extent cx="1844040" cy="251460"/>
                <wp:effectExtent l="4445" t="4445" r="10795" b="18415"/>
                <wp:wrapNone/>
                <wp:docPr id="10" name="文本框 10"/>
                <wp:cNvGraphicFramePr/>
                <a:graphic xmlns:a="http://schemas.openxmlformats.org/drawingml/2006/main">
                  <a:graphicData uri="http://schemas.microsoft.com/office/word/2010/wordprocessingShape">
                    <wps:wsp>
                      <wps:cNvSpPr txBox="1"/>
                      <wps:spPr>
                        <a:xfrm>
                          <a:off x="2809240" y="6092825"/>
                          <a:ext cx="1844040" cy="251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登记相关信息并建立档案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05pt;margin-top:410.75pt;height:19.8pt;width:145.2pt;z-index:251664384;mso-width-relative:page;mso-height-relative:page;" fillcolor="#FFFFFF [3201]" filled="t" stroked="t" coordsize="21600,21600" o:gfxdata="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xUdcAAAALAQAADwAAAAAAAAABACAAAAAiAAAAZHJzL2Rvd25yZXYueG1sUEsBAhQAFAAA&#10;AAgAh07iQG87AltiAgAAxQQAAA4AAAAAAAAAAQAgAAAAJgEAAGRycy9lMm9Eb2MueG1sUEsFBgAA&#10;AAAGAAYAWQEAAPoFAAAAAA==&#10;">
                <v:fill on="t" focussize="0,0"/>
                <v:stroke weight="0.5pt" color="#000000 [3204]" joinstyle="round"/>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登记相关信息并建立档案</w:t>
                      </w:r>
                    </w:p>
                  </w:txbxContent>
                </v:textbox>
              </v:shape>
            </w:pict>
          </mc:Fallback>
        </mc:AlternateContent>
      </w:r>
      <w:r>
        <w:rPr>
          <w:rFonts w:hint="default" w:ascii="Times New Roman" w:hAnsi="Times New Roman" w:cs="Times New Roman"/>
          <w:color w:val="auto"/>
          <w:spacing w:val="0"/>
          <w:w w:val="100"/>
        </w:rPr>
        <w:drawing>
          <wp:inline distT="0" distB="0" distL="114300" distR="114300">
            <wp:extent cx="5615305" cy="5521960"/>
            <wp:effectExtent l="0" t="0" r="0" b="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16"/>
                    <a:stretch>
                      <a:fillRect/>
                    </a:stretch>
                  </pic:blipFill>
                  <pic:spPr>
                    <a:xfrm>
                      <a:off x="0" y="0"/>
                      <a:ext cx="5615305" cy="5521960"/>
                    </a:xfrm>
                    <a:prstGeom prst="rect">
                      <a:avLst/>
                    </a:prstGeom>
                    <a:noFill/>
                    <a:ln>
                      <a:noFill/>
                    </a:ln>
                  </pic:spPr>
                </pic:pic>
              </a:graphicData>
            </a:graphic>
          </wp:inline>
        </w:drawing>
      </w:r>
    </w:p>
    <w:p>
      <w:pPr>
        <w:ind w:firstLine="482"/>
        <w:jc w:val="center"/>
        <w:rPr>
          <w:rFonts w:hint="default" w:ascii="Times New Roman" w:hAnsi="Times New Roman" w:cs="Times New Roman"/>
          <w:b/>
          <w:color w:val="auto"/>
          <w:spacing w:val="0"/>
          <w:w w:val="100"/>
        </w:rPr>
      </w:pPr>
      <w:r>
        <w:rPr>
          <w:rFonts w:hint="default" w:ascii="Times New Roman" w:hAnsi="Times New Roman" w:cs="Times New Roman"/>
          <w:b/>
          <w:color w:val="auto"/>
          <w:spacing w:val="0"/>
          <w:w w:val="100"/>
          <w:sz w:val="24"/>
          <w:szCs w:val="24"/>
        </w:rPr>
        <w:t>图1.2-1验收报告编制的工作程序</w:t>
      </w:r>
      <w:r>
        <w:rPr>
          <w:rFonts w:hint="default" w:ascii="Times New Roman" w:hAnsi="Times New Roman" w:cs="Times New Roman"/>
          <w:b/>
          <w:color w:val="auto"/>
          <w:spacing w:val="0"/>
          <w:w w:val="100"/>
        </w:rPr>
        <w:t>图</w:t>
      </w:r>
    </w:p>
    <w:p>
      <w:pPr>
        <w:pStyle w:val="4"/>
        <w:bidi w:val="0"/>
        <w:rPr>
          <w:rFonts w:hint="default" w:ascii="Times New Roman" w:hAnsi="Times New Roman" w:cs="Times New Roman"/>
          <w:color w:val="auto"/>
        </w:rPr>
      </w:pPr>
      <w:bookmarkStart w:id="9" w:name="_Toc26301"/>
      <w:bookmarkStart w:id="10" w:name="_Toc19532"/>
      <w:r>
        <w:rPr>
          <w:rFonts w:hint="default" w:ascii="Times New Roman" w:hAnsi="Times New Roman" w:cs="Times New Roman"/>
          <w:color w:val="auto"/>
        </w:rPr>
        <w:t>1.3验收范围与内容</w:t>
      </w:r>
      <w:bookmarkEnd w:id="9"/>
      <w:bookmarkEnd w:id="10"/>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本次竣工环境保护验收范围</w:t>
      </w:r>
      <w:r>
        <w:rPr>
          <w:rFonts w:hint="default" w:ascii="Times New Roman" w:hAnsi="Times New Roman" w:eastAsia="宋体" w:cs="Times New Roman"/>
          <w:color w:val="auto"/>
          <w:lang w:eastAsia="zh-CN"/>
        </w:rPr>
        <w:t>为：</w:t>
      </w:r>
      <w:r>
        <w:rPr>
          <w:rFonts w:hint="default" w:ascii="Times New Roman" w:hAnsi="Times New Roman" w:cs="Times New Roman"/>
          <w:color w:val="auto"/>
          <w:lang w:eastAsia="zh-CN"/>
        </w:rPr>
        <w:t>荣昌荣隆工业园污水处理厂提标及工艺技改工程项目</w:t>
      </w:r>
      <w:r>
        <w:rPr>
          <w:rFonts w:hint="default" w:ascii="Times New Roman" w:hAnsi="Times New Roman" w:eastAsia="宋体" w:cs="Times New Roman"/>
          <w:color w:val="auto"/>
        </w:rPr>
        <w:t>相应的主体工程和配套的环保工程。</w:t>
      </w:r>
    </w:p>
    <w:bookmarkEnd w:id="6"/>
    <w:p>
      <w:pPr>
        <w:pStyle w:val="3"/>
        <w:rPr>
          <w:rFonts w:hint="default" w:ascii="Times New Roman" w:hAnsi="Times New Roman" w:eastAsia="宋体" w:cs="Times New Roman"/>
          <w:color w:val="auto"/>
        </w:rPr>
        <w:sectPr>
          <w:footerReference r:id="rId12" w:type="default"/>
          <w:pgSz w:w="11907" w:h="16840"/>
          <w:pgMar w:top="1440" w:right="1531" w:bottom="1440" w:left="1531" w:header="850" w:footer="992" w:gutter="0"/>
          <w:pgBorders>
            <w:top w:val="none" w:sz="0" w:space="0"/>
            <w:left w:val="none" w:sz="0" w:space="0"/>
            <w:bottom w:val="none" w:sz="0" w:space="0"/>
            <w:right w:val="none" w:sz="0" w:space="0"/>
          </w:pgBorders>
          <w:pgNumType w:fmt="decimal" w:start="1"/>
          <w:cols w:space="720" w:num="1"/>
          <w:rtlGutter w:val="0"/>
          <w:docGrid w:linePitch="299" w:charSpace="0"/>
        </w:sectPr>
      </w:pPr>
    </w:p>
    <w:p>
      <w:pPr>
        <w:pStyle w:val="3"/>
        <w:rPr>
          <w:rFonts w:hint="default" w:ascii="Times New Roman" w:hAnsi="Times New Roman" w:eastAsia="宋体" w:cs="Times New Roman"/>
          <w:color w:val="auto"/>
        </w:rPr>
      </w:pPr>
      <w:bookmarkStart w:id="11" w:name="_Toc19695"/>
      <w:bookmarkStart w:id="12" w:name="_Toc2896"/>
      <w:r>
        <w:rPr>
          <w:rFonts w:hint="default" w:ascii="Times New Roman" w:hAnsi="Times New Roman" w:eastAsia="宋体" w:cs="Times New Roman"/>
          <w:color w:val="auto"/>
          <w:sz w:val="30"/>
          <w:szCs w:val="30"/>
        </w:rPr>
        <w:t>2验收依据</w:t>
      </w:r>
      <w:bookmarkEnd w:id="11"/>
      <w:bookmarkEnd w:id="12"/>
    </w:p>
    <w:p>
      <w:pPr>
        <w:pStyle w:val="4"/>
        <w:rPr>
          <w:rFonts w:hint="default" w:ascii="Times New Roman" w:hAnsi="Times New Roman" w:eastAsia="宋体" w:cs="Times New Roman"/>
          <w:color w:val="auto"/>
        </w:rPr>
      </w:pPr>
      <w:bookmarkStart w:id="13" w:name="_Toc27273"/>
      <w:bookmarkStart w:id="14" w:name="_Toc28084"/>
      <w:r>
        <w:rPr>
          <w:rFonts w:hint="default" w:ascii="Times New Roman" w:hAnsi="Times New Roman" w:eastAsia="宋体" w:cs="Times New Roman"/>
          <w:color w:val="auto"/>
          <w:sz w:val="30"/>
          <w:szCs w:val="30"/>
        </w:rPr>
        <w:t>2.1法律、法规</w:t>
      </w:r>
      <w:bookmarkEnd w:id="13"/>
      <w:bookmarkEnd w:id="14"/>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(1)《中华人民共和国环境保护法》(2015年1月1日起施行)；</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(2)《中华人民共和国环境影响评价法》(2018年12月29日修订)；</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(3)《中华人民共和国水污染防治法》(2018年1月1起施行)；</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(4)《中华人民共和国大气污染防治法》(2018年12月26日修订)；</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(5)《中华人民共和国环境噪声污染防治法》(2018年12月29日修订)；</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(6)《中华人民共和国固体废物污染环境防治法》(2020年修订)。</w:t>
      </w:r>
    </w:p>
    <w:p>
      <w:pPr>
        <w:pStyle w:val="4"/>
        <w:rPr>
          <w:rFonts w:hint="default" w:ascii="Times New Roman" w:hAnsi="Times New Roman" w:eastAsia="宋体" w:cs="Times New Roman"/>
          <w:color w:val="auto"/>
        </w:rPr>
      </w:pPr>
      <w:bookmarkStart w:id="15" w:name="_Toc10448"/>
      <w:bookmarkStart w:id="16" w:name="_Toc17313"/>
      <w:r>
        <w:rPr>
          <w:rFonts w:hint="default" w:ascii="Times New Roman" w:hAnsi="Times New Roman" w:eastAsia="宋体" w:cs="Times New Roman"/>
          <w:color w:val="auto"/>
          <w:sz w:val="30"/>
          <w:szCs w:val="30"/>
        </w:rPr>
        <w:t>2.2验收技术规范</w:t>
      </w:r>
      <w:bookmarkEnd w:id="15"/>
      <w:bookmarkEnd w:id="16"/>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(1)《建设项目环境保护管理条例》(2017年10月1日起施行)；</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(2)《建设项目竣工环境保护验收暂行办法》(国环规环评〔2017〕4号)；</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(3)《突发环境事件应急预案管理暂行办法》</w:t>
      </w:r>
      <w:r>
        <w:rPr>
          <w:rFonts w:hint="default" w:ascii="Times New Roman" w:hAnsi="Times New Roman" w:cs="Times New Roman"/>
          <w:color w:val="auto"/>
          <w:lang w:eastAsia="zh-CN"/>
        </w:rPr>
        <w:t>（</w:t>
      </w:r>
      <w:r>
        <w:rPr>
          <w:rFonts w:hint="default" w:ascii="Times New Roman" w:hAnsi="Times New Roman" w:eastAsia="宋体" w:cs="Times New Roman"/>
          <w:color w:val="auto"/>
        </w:rPr>
        <w:t>环发[2010]113号</w:t>
      </w:r>
      <w:r>
        <w:rPr>
          <w:rFonts w:hint="default" w:ascii="Times New Roman" w:hAnsi="Times New Roman" w:cs="Times New Roman"/>
          <w:color w:val="auto"/>
          <w:lang w:eastAsia="zh-CN"/>
        </w:rPr>
        <w:t>）</w:t>
      </w:r>
      <w:r>
        <w:rPr>
          <w:rFonts w:hint="default" w:ascii="Times New Roman" w:hAnsi="Times New Roman" w:eastAsia="宋体" w:cs="Times New Roman"/>
          <w:color w:val="auto"/>
        </w:rPr>
        <w:t>；</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(4)《国务院关于印发水污染防治行动计划的通知》(国发[2015]17号)；</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(5)《建设项目竣工环境保护验收技术指南污染影响类》(生态环境部公告2018年第9号)。</w:t>
      </w:r>
    </w:p>
    <w:p>
      <w:pPr>
        <w:pStyle w:val="4"/>
        <w:rPr>
          <w:rFonts w:hint="default" w:ascii="Times New Roman" w:hAnsi="Times New Roman" w:eastAsia="宋体" w:cs="Times New Roman"/>
          <w:color w:val="auto"/>
          <w:highlight w:val="none"/>
        </w:rPr>
      </w:pPr>
      <w:bookmarkStart w:id="17" w:name="_Toc16955"/>
      <w:bookmarkStart w:id="18" w:name="_Toc7530"/>
      <w:r>
        <w:rPr>
          <w:rFonts w:hint="default" w:ascii="Times New Roman" w:hAnsi="Times New Roman" w:eastAsia="宋体" w:cs="Times New Roman"/>
          <w:color w:val="auto"/>
          <w:sz w:val="30"/>
          <w:szCs w:val="30"/>
          <w:highlight w:val="none"/>
        </w:rPr>
        <w:t>2.3工程技术文件及批复文件</w:t>
      </w:r>
      <w:bookmarkEnd w:id="17"/>
      <w:bookmarkEnd w:id="18"/>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cs="Times New Roman"/>
          <w:color w:val="auto"/>
          <w:lang w:val="en-US" w:eastAsia="zh-CN"/>
        </w:rPr>
        <w:t>荣昌县荣隆工业园污水处理工程建设项目环境影响报告书</w:t>
      </w:r>
      <w:r>
        <w:rPr>
          <w:rFonts w:hint="default" w:ascii="Times New Roman" w:hAnsi="Times New Roman" w:eastAsia="宋体" w:cs="Times New Roman"/>
          <w:color w:val="auto"/>
        </w:rPr>
        <w:t>》，</w:t>
      </w:r>
      <w:r>
        <w:rPr>
          <w:rFonts w:hint="default" w:ascii="Times New Roman" w:hAnsi="Times New Roman" w:cs="Times New Roman"/>
          <w:color w:val="auto"/>
          <w:lang w:val="en-US" w:eastAsia="zh-CN"/>
        </w:rPr>
        <w:t>中煤科工集团重庆设计研究院</w:t>
      </w:r>
      <w:r>
        <w:rPr>
          <w:rFonts w:hint="default" w:ascii="Times New Roman" w:hAnsi="Times New Roman" w:eastAsia="宋体" w:cs="Times New Roman"/>
          <w:color w:val="auto"/>
        </w:rPr>
        <w:t>；</w:t>
      </w:r>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cs="Times New Roman"/>
          <w:color w:val="auto"/>
          <w:lang w:val="en-US" w:eastAsia="zh-CN"/>
        </w:rPr>
        <w:t>荣昌区荣隆台湾工业园污水处理厂工程入河排污口设置论证报告</w:t>
      </w:r>
      <w:r>
        <w:rPr>
          <w:rFonts w:hint="default" w:ascii="Times New Roman" w:hAnsi="Times New Roman" w:eastAsia="宋体" w:cs="Times New Roman"/>
          <w:color w:val="auto"/>
        </w:rPr>
        <w:t>》，</w:t>
      </w:r>
      <w:r>
        <w:rPr>
          <w:rFonts w:hint="default" w:ascii="Times New Roman" w:hAnsi="Times New Roman" w:cs="Times New Roman"/>
          <w:color w:val="auto"/>
          <w:lang w:val="en-US" w:eastAsia="zh-CN"/>
        </w:rPr>
        <w:t>重庆港力环保科技有限公司</w:t>
      </w:r>
      <w:r>
        <w:rPr>
          <w:rFonts w:hint="default" w:ascii="Times New Roman" w:hAnsi="Times New Roman" w:eastAsia="宋体" w:cs="Times New Roman"/>
          <w:color w:val="auto"/>
        </w:rPr>
        <w:t>；</w:t>
      </w:r>
    </w:p>
    <w:p>
      <w:pPr>
        <w:pStyle w:val="87"/>
        <w:ind w:firstLine="480"/>
        <w:rPr>
          <w:rFonts w:hint="default" w:ascii="Times New Roman" w:hAnsi="Times New Roman" w:cs="Times New Roman"/>
          <w:color w:val="auto"/>
          <w:lang w:val="en-US" w:eastAsia="zh-CN"/>
        </w:rPr>
      </w:pPr>
      <w:r>
        <w:rPr>
          <w:rFonts w:hint="default" w:ascii="Times New Roman" w:hAnsi="Times New Roman" w:eastAsia="宋体" w:cs="Times New Roman"/>
          <w:color w:val="auto"/>
        </w:rPr>
        <w:t>(3)</w:t>
      </w:r>
      <w:r>
        <w:rPr>
          <w:rFonts w:hint="default" w:ascii="Times New Roman" w:hAnsi="Times New Roman" w:cs="Times New Roman"/>
          <w:color w:val="auto"/>
          <w:lang w:val="en-US" w:eastAsia="zh-CN"/>
        </w:rPr>
        <w:t>《重庆宏烨实业集团有限公司荣昌荣隆工业园污水处理厂提标及工艺技改工程环境影响报告表》，重庆集能环保技术咨询服务有限公司；</w:t>
      </w:r>
    </w:p>
    <w:p>
      <w:pPr>
        <w:pStyle w:val="87"/>
        <w:ind w:firstLine="480"/>
        <w:rPr>
          <w:rFonts w:hint="default" w:ascii="Times New Roman" w:hAnsi="Times New Roman" w:cs="Times New Roman"/>
          <w:color w:val="auto"/>
          <w:spacing w:val="0"/>
          <w:w w:val="100"/>
          <w:szCs w:val="26"/>
          <w:highlight w:val="yellow"/>
          <w:lang w:val="en-US" w:eastAsia="zh-CN"/>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spacing w:val="0"/>
          <w:w w:val="100"/>
          <w:highlight w:val="none"/>
          <w:lang w:val="en-GB"/>
        </w:rPr>
        <w:t>验收检测报告（</w:t>
      </w:r>
      <w:r>
        <w:rPr>
          <w:rFonts w:hint="default" w:ascii="Times New Roman" w:hAnsi="Times New Roman" w:cs="Times New Roman"/>
          <w:color w:val="auto"/>
          <w:spacing w:val="0"/>
          <w:w w:val="100"/>
          <w:szCs w:val="26"/>
          <w:highlight w:val="none"/>
          <w:lang w:val="en-US" w:eastAsia="zh-CN"/>
        </w:rPr>
        <w:t>渝惠科</w:t>
      </w:r>
      <w:r>
        <w:rPr>
          <w:rFonts w:hint="default" w:ascii="Times New Roman" w:hAnsi="Times New Roman" w:eastAsia="宋体" w:cs="Times New Roman"/>
          <w:color w:val="auto"/>
          <w:spacing w:val="0"/>
          <w:w w:val="100"/>
          <w:szCs w:val="26"/>
          <w:highlight w:val="none"/>
          <w:lang w:val="en-US" w:eastAsia="zh-CN"/>
        </w:rPr>
        <w:t>[环监]（2021）YS011号</w:t>
      </w:r>
      <w:r>
        <w:rPr>
          <w:rFonts w:hint="default" w:ascii="Times New Roman" w:hAnsi="Times New Roman" w:cs="Times New Roman"/>
          <w:color w:val="auto"/>
          <w:spacing w:val="0"/>
          <w:w w:val="100"/>
          <w:szCs w:val="26"/>
          <w:highlight w:val="none"/>
          <w:lang w:val="en-US" w:eastAsia="zh-CN"/>
        </w:rPr>
        <w:t>）；重庆惠能标普科技有限公司；</w:t>
      </w:r>
    </w:p>
    <w:p>
      <w:pPr>
        <w:pStyle w:val="87"/>
        <w:ind w:firstLine="480"/>
        <w:rPr>
          <w:rFonts w:hint="default" w:ascii="Times New Roman" w:hAnsi="Times New Roman" w:cs="Times New Roman"/>
          <w:color w:val="auto"/>
          <w:spacing w:val="0"/>
          <w:w w:val="100"/>
          <w:szCs w:val="26"/>
          <w:lang w:val="en-US" w:eastAsia="zh-CN"/>
        </w:rPr>
      </w:pPr>
      <w:r>
        <w:rPr>
          <w:rFonts w:hint="default" w:ascii="Times New Roman" w:hAnsi="Times New Roman" w:cs="Times New Roman"/>
          <w:color w:val="auto"/>
          <w:lang w:val="en-US" w:eastAsia="zh-CN"/>
        </w:rPr>
        <w:t>(5)</w:t>
      </w:r>
      <w:r>
        <w:rPr>
          <w:rFonts w:hint="default" w:ascii="Times New Roman" w:hAnsi="Times New Roman" w:cs="Times New Roman"/>
          <w:color w:val="auto"/>
          <w:spacing w:val="0"/>
          <w:w w:val="100"/>
          <w:szCs w:val="26"/>
          <w:lang w:val="en-US" w:eastAsia="zh-CN"/>
        </w:rPr>
        <w:t>其他相关资料。</w:t>
      </w:r>
    </w:p>
    <w:p>
      <w:pPr>
        <w:pStyle w:val="3"/>
        <w:rPr>
          <w:rFonts w:hint="default" w:ascii="Times New Roman" w:hAnsi="Times New Roman" w:eastAsia="宋体" w:cs="Times New Roman"/>
          <w:color w:val="auto"/>
        </w:rPr>
        <w:sectPr>
          <w:pgSz w:w="11907" w:h="16840"/>
          <w:pgMar w:top="1440" w:right="1531" w:bottom="1440" w:left="1531" w:header="907" w:footer="851" w:gutter="0"/>
          <w:pgBorders>
            <w:top w:val="none" w:sz="0" w:space="0"/>
            <w:left w:val="none" w:sz="0" w:space="0"/>
            <w:bottom w:val="none" w:sz="0" w:space="0"/>
            <w:right w:val="none" w:sz="0" w:space="0"/>
          </w:pgBorders>
          <w:pgNumType w:fmt="decimal"/>
          <w:cols w:space="720" w:num="1"/>
          <w:rtlGutter w:val="0"/>
          <w:docGrid w:linePitch="299" w:charSpace="0"/>
        </w:sectPr>
      </w:pPr>
    </w:p>
    <w:p>
      <w:pPr>
        <w:pStyle w:val="3"/>
        <w:rPr>
          <w:rFonts w:hint="default" w:ascii="Times New Roman" w:hAnsi="Times New Roman" w:eastAsia="宋体" w:cs="Times New Roman"/>
          <w:color w:val="auto"/>
          <w:sz w:val="30"/>
          <w:szCs w:val="30"/>
        </w:rPr>
      </w:pPr>
      <w:bookmarkStart w:id="19" w:name="_Toc7738"/>
      <w:bookmarkStart w:id="20" w:name="_Toc20754"/>
      <w:r>
        <w:rPr>
          <w:rFonts w:hint="default" w:ascii="Times New Roman" w:hAnsi="Times New Roman" w:eastAsia="宋体" w:cs="Times New Roman"/>
          <w:color w:val="auto"/>
          <w:sz w:val="30"/>
          <w:szCs w:val="30"/>
        </w:rPr>
        <w:t>3项目建设</w:t>
      </w:r>
      <w:r>
        <w:rPr>
          <w:rFonts w:hint="default" w:ascii="Times New Roman" w:hAnsi="Times New Roman" w:cs="Times New Roman"/>
          <w:color w:val="auto"/>
          <w:sz w:val="30"/>
          <w:szCs w:val="30"/>
          <w:lang w:val="en-US" w:eastAsia="zh-CN"/>
        </w:rPr>
        <w:t>情</w:t>
      </w:r>
      <w:r>
        <w:rPr>
          <w:rFonts w:hint="default" w:ascii="Times New Roman" w:hAnsi="Times New Roman" w:eastAsia="宋体" w:cs="Times New Roman"/>
          <w:color w:val="auto"/>
          <w:sz w:val="30"/>
          <w:szCs w:val="30"/>
        </w:rPr>
        <w:t>况</w:t>
      </w:r>
      <w:bookmarkEnd w:id="19"/>
      <w:bookmarkEnd w:id="20"/>
    </w:p>
    <w:p>
      <w:pPr>
        <w:pStyle w:val="4"/>
        <w:rPr>
          <w:rFonts w:hint="default" w:ascii="Times New Roman" w:hAnsi="Times New Roman" w:cs="Times New Roman"/>
          <w:color w:val="auto"/>
          <w:sz w:val="30"/>
          <w:szCs w:val="30"/>
        </w:rPr>
      </w:pPr>
      <w:bookmarkStart w:id="21" w:name="_Toc11034"/>
      <w:bookmarkStart w:id="22" w:name="_Toc14346"/>
      <w:r>
        <w:rPr>
          <w:rFonts w:hint="default" w:ascii="Times New Roman" w:hAnsi="Times New Roman" w:cs="Times New Roman"/>
          <w:color w:val="auto"/>
          <w:sz w:val="30"/>
          <w:szCs w:val="30"/>
        </w:rPr>
        <w:t>3.1</w:t>
      </w:r>
      <w:r>
        <w:rPr>
          <w:rFonts w:hint="default" w:ascii="Times New Roman" w:hAnsi="Times New Roman" w:cs="Times New Roman"/>
          <w:color w:val="auto"/>
          <w:sz w:val="30"/>
          <w:szCs w:val="30"/>
          <w:lang w:eastAsia="zh-CN"/>
        </w:rPr>
        <w:t>项目</w:t>
      </w:r>
      <w:r>
        <w:rPr>
          <w:rFonts w:hint="default" w:ascii="Times New Roman" w:hAnsi="Times New Roman" w:cs="Times New Roman"/>
          <w:color w:val="auto"/>
          <w:sz w:val="30"/>
          <w:szCs w:val="30"/>
        </w:rPr>
        <w:t>地理位置</w:t>
      </w:r>
      <w:bookmarkEnd w:id="21"/>
      <w:r>
        <w:rPr>
          <w:rFonts w:hint="default" w:ascii="Times New Roman" w:hAnsi="Times New Roman" w:cs="Times New Roman"/>
          <w:color w:val="auto"/>
          <w:sz w:val="30"/>
          <w:szCs w:val="30"/>
        </w:rPr>
        <w:t>及平面布置</w:t>
      </w:r>
      <w:bookmarkEnd w:id="22"/>
    </w:p>
    <w:p>
      <w:pPr>
        <w:pStyle w:val="5"/>
        <w:bidi w:val="0"/>
        <w:rPr>
          <w:rFonts w:hint="default" w:ascii="Times New Roman" w:hAnsi="Times New Roman" w:cs="Times New Roman"/>
          <w:color w:val="auto"/>
        </w:rPr>
      </w:pPr>
      <w:bookmarkStart w:id="23" w:name="_Toc67414427"/>
      <w:bookmarkStart w:id="24" w:name="_Toc19996"/>
      <w:bookmarkStart w:id="25" w:name="_Toc417"/>
      <w:r>
        <w:rPr>
          <w:rFonts w:hint="default" w:ascii="Times New Roman" w:hAnsi="Times New Roman" w:cs="Times New Roman"/>
          <w:color w:val="auto"/>
        </w:rPr>
        <w:t>3.1.1</w:t>
      </w:r>
      <w:r>
        <w:rPr>
          <w:rFonts w:hint="default" w:ascii="Times New Roman" w:hAnsi="Times New Roman" w:cs="Times New Roman"/>
          <w:color w:val="auto"/>
          <w:lang w:eastAsia="zh-CN"/>
        </w:rPr>
        <w:t>项目</w:t>
      </w:r>
      <w:r>
        <w:rPr>
          <w:rFonts w:hint="default" w:ascii="Times New Roman" w:hAnsi="Times New Roman" w:cs="Times New Roman"/>
          <w:color w:val="auto"/>
        </w:rPr>
        <w:t>地理位置</w:t>
      </w:r>
      <w:bookmarkEnd w:id="23"/>
      <w:bookmarkEnd w:id="24"/>
      <w:bookmarkEnd w:id="25"/>
    </w:p>
    <w:p>
      <w:pPr>
        <w:pStyle w:val="87"/>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荣昌县位于重庆市西部，地处四川、重庆两地接壤处，距重庆市区88.5km，距成都市区246km。地理坐标介于东经105°17′至105°44′，北纬29°15′至29°41′之间。成渝铁路、成渝公路、成渝高速公路横贯全境，内（江）大（足）高速公路途经荣昌县吴家镇境内，交通便利。</w:t>
      </w:r>
    </w:p>
    <w:p>
      <w:pPr>
        <w:pStyle w:val="87"/>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荣隆工业园位于荣昌区荣隆镇玉久村境内，成渝高速公路荣隆下道口旁，东以广盘路为界，南接成渝高速公路，西至安荣路。</w:t>
      </w:r>
    </w:p>
    <w:p>
      <w:pPr>
        <w:pStyle w:val="87"/>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本项目厂区位于荣隆工业园最西侧，场中心坐标为105.444825°E，29.396104°N。</w:t>
      </w:r>
    </w:p>
    <w:p>
      <w:pPr>
        <w:pStyle w:val="87"/>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项目地理位置详见附图3.1-1。</w:t>
      </w:r>
    </w:p>
    <w:p>
      <w:pPr>
        <w:pStyle w:val="87"/>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59264" behindDoc="0" locked="0" layoutInCell="1" allowOverlap="1">
                <wp:simplePos x="0" y="0"/>
                <wp:positionH relativeFrom="column">
                  <wp:posOffset>-307340</wp:posOffset>
                </wp:positionH>
                <wp:positionV relativeFrom="paragraph">
                  <wp:posOffset>31750</wp:posOffset>
                </wp:positionV>
                <wp:extent cx="6025515" cy="4103370"/>
                <wp:effectExtent l="0" t="0" r="9525" b="11430"/>
                <wp:wrapNone/>
                <wp:docPr id="78" name="文本框 78"/>
                <wp:cNvGraphicFramePr/>
                <a:graphic xmlns:a="http://schemas.openxmlformats.org/drawingml/2006/main">
                  <a:graphicData uri="http://schemas.microsoft.com/office/word/2010/wordprocessingShape">
                    <wps:wsp>
                      <wps:cNvSpPr txBox="1"/>
                      <wps:spPr>
                        <a:xfrm>
                          <a:off x="908050" y="4640580"/>
                          <a:ext cx="6025515" cy="41033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5876925" cy="3930015"/>
                                  <wp:effectExtent l="0" t="0" r="5715" b="1905"/>
                                  <wp:docPr id="76" name="图片 1" descr="附图-- 01-彩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附图-- 01-彩4 (1)"/>
                                          <pic:cNvPicPr>
                                            <a:picLocks noChangeAspect="1"/>
                                          </pic:cNvPicPr>
                                        </pic:nvPicPr>
                                        <pic:blipFill>
                                          <a:blip r:embed="rId17"/>
                                          <a:stretch>
                                            <a:fillRect/>
                                          </a:stretch>
                                        </pic:blipFill>
                                        <pic:spPr>
                                          <a:xfrm>
                                            <a:off x="0" y="0"/>
                                            <a:ext cx="5876925" cy="3930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pt;margin-top:2.5pt;height:323.1pt;width:474.45pt;z-index:251659264;mso-width-relative:page;mso-height-relative:page;" fillcolor="#FFFFFF [3201]" filled="t" stroked="f" coordsize="21600,21600" o:gfxdata="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kKtnR&#10;1QAAAAkBAAAPAAAAAAAAAAEAIAAAACIAAABkcnMvZG93bnJldi54bWxQSwECFAAUAAAACACHTuJA&#10;VBhkJ10CAACdBAAADgAAAAAAAAABACAAAAAkAQAAZHJzL2Uyb0RvYy54bWxQSwUGAAAAAAYABgBZ&#10;AQAA8wUAAAAA&#10;">
                <v:fill on="t" focussize="0,0"/>
                <v:stroke on="f" weight="0.5pt"/>
                <v:imagedata o:title=""/>
                <o:lock v:ext="edit" aspectratio="f"/>
                <v:textbox>
                  <w:txbxContent>
                    <w:p>
                      <w:r>
                        <w:rPr>
                          <w:rFonts w:hint="eastAsia"/>
                        </w:rPr>
                        <w:drawing>
                          <wp:inline distT="0" distB="0" distL="114300" distR="114300">
                            <wp:extent cx="5876925" cy="3930015"/>
                            <wp:effectExtent l="0" t="0" r="5715" b="1905"/>
                            <wp:docPr id="76" name="图片 1" descr="附图-- 01-彩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附图-- 01-彩4 (1)"/>
                                    <pic:cNvPicPr>
                                      <a:picLocks noChangeAspect="1"/>
                                    </pic:cNvPicPr>
                                  </pic:nvPicPr>
                                  <pic:blipFill>
                                    <a:blip r:embed="rId17"/>
                                    <a:stretch>
                                      <a:fillRect/>
                                    </a:stretch>
                                  </pic:blipFill>
                                  <pic:spPr>
                                    <a:xfrm>
                                      <a:off x="0" y="0"/>
                                      <a:ext cx="5876925" cy="3930015"/>
                                    </a:xfrm>
                                    <a:prstGeom prst="rect">
                                      <a:avLst/>
                                    </a:prstGeom>
                                    <a:noFill/>
                                    <a:ln>
                                      <a:noFill/>
                                    </a:ln>
                                  </pic:spPr>
                                </pic:pic>
                              </a:graphicData>
                            </a:graphic>
                          </wp:inline>
                        </w:drawing>
                      </w:r>
                    </w:p>
                  </w:txbxContent>
                </v:textbox>
              </v:shape>
            </w:pict>
          </mc:Fallback>
        </mc:AlternateContent>
      </w: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1673225</wp:posOffset>
                </wp:positionH>
                <wp:positionV relativeFrom="paragraph">
                  <wp:posOffset>3175</wp:posOffset>
                </wp:positionV>
                <wp:extent cx="1530985" cy="281940"/>
                <wp:effectExtent l="4445" t="4445" r="19050" b="18415"/>
                <wp:wrapNone/>
                <wp:docPr id="79" name="文本框 79"/>
                <wp:cNvGraphicFramePr/>
                <a:graphic xmlns:a="http://schemas.openxmlformats.org/drawingml/2006/main">
                  <a:graphicData uri="http://schemas.microsoft.com/office/word/2010/wordprocessingShape">
                    <wps:wsp>
                      <wps:cNvSpPr txBox="1"/>
                      <wps:spPr>
                        <a:xfrm>
                          <a:off x="2630170" y="5918200"/>
                          <a:ext cx="1530985" cy="281940"/>
                        </a:xfrm>
                        <a:prstGeom prst="rect">
                          <a:avLst/>
                        </a:prstGeom>
                        <a:solidFill>
                          <a:schemeClr val="bg1">
                            <a:lumMod val="85000"/>
                          </a:schemeClr>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荣隆工业园污水处理厂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75pt;margin-top:0.25pt;height:22.2pt;width:120.55pt;z-index:251660288;mso-width-relative:page;mso-height-relative:page;" fillcolor="#D9D9D9 [2732]" filled="t" stroked="t" coordsize="21600,21600" o:gfxdata="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WfTnrXAAAABwEAAA8AAAAAAAAAAQAgAAAAIgAA&#10;AGRycy9kb3ducmV2LnhtbFBLAQIUABQAAAAIAIdO4kCVkXJPewIAAOgEAAAOAAAAAAAAAAEAIAAA&#10;ACYBAABkcnMvZTJvRG9jLnhtbFBLBQYAAAAABgAGAFkBAAATBgAAAAA=&#10;">
                <v:fill on="t" focussize="0,0"/>
                <v:stroke weight="0.5pt" color="#FFFFFF [3212]" joinstyle="round"/>
                <v:imagedata o:title=""/>
                <o:lock v:ext="edit" aspectratio="f"/>
                <v:textbox>
                  <w:txbxContent>
                    <w:p>
                      <w:pPr>
                        <w:rPr>
                          <w:rFonts w:hint="default" w:eastAsia="宋体"/>
                          <w:lang w:val="en-US" w:eastAsia="zh-CN"/>
                        </w:rPr>
                      </w:pPr>
                      <w:r>
                        <w:rPr>
                          <w:rFonts w:hint="eastAsia"/>
                          <w:lang w:val="en-US" w:eastAsia="zh-CN"/>
                        </w:rPr>
                        <w:t>荣隆工业园污水处理厂</w:t>
                      </w:r>
                    </w:p>
                  </w:txbxContent>
                </v:textbox>
              </v:shape>
            </w:pict>
          </mc:Fallback>
        </mc:AlternateContent>
      </w: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2176145</wp:posOffset>
                </wp:positionH>
                <wp:positionV relativeFrom="paragraph">
                  <wp:posOffset>36830</wp:posOffset>
                </wp:positionV>
                <wp:extent cx="958850" cy="328295"/>
                <wp:effectExtent l="6350" t="6350" r="10160" b="61595"/>
                <wp:wrapNone/>
                <wp:docPr id="82" name="文本框 82"/>
                <wp:cNvGraphicFramePr/>
                <a:graphic xmlns:a="http://schemas.openxmlformats.org/drawingml/2006/main">
                  <a:graphicData uri="http://schemas.microsoft.com/office/word/2010/wordprocessingShape">
                    <wps:wsp>
                      <wps:cNvSpPr txBox="1"/>
                      <wps:spPr>
                        <a:xfrm>
                          <a:off x="3346450" y="7194550"/>
                          <a:ext cx="958850" cy="328295"/>
                        </a:xfrm>
                        <a:prstGeom prst="wedgeRoundRectCallout">
                          <a:avLst/>
                        </a:prstGeom>
                        <a:solidFill>
                          <a:schemeClr val="bg1">
                            <a:lumMod val="85000"/>
                          </a:schemeClr>
                        </a:solidFill>
                        <a:ln w="12700" cmpd="sng">
                          <a:solidFill>
                            <a:schemeClr val="bg1"/>
                          </a:solid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排污口位置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62" type="#_x0000_t62" style="position:absolute;left:0pt;margin-left:171.35pt;margin-top:2.9pt;height:25.85pt;width:75.5pt;z-index:251662336;mso-width-relative:page;mso-height-relative:page;" fillcolor="#D9D9D9 [2732]" filled="t" stroked="t" coordsize="21600,21600" o:gfxdata="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RT6ck&#10;1wAAAAgBAAAPAAAAAAAAAAEAIAAAACIAAABkcnMvZG93bnJldi54bWxQSwECFAAUAAAACACHTuJA&#10;nKoIbZQCAAAdBQAADgAAAAAAAAABACAAAAAmAQAAZHJzL2Uyb0RvYy54bWxQSwUGAAAAAAYABgBZ&#10;AQAALAYAAAAA&#10;" adj="6300,24300,14400">
                <v:fill on="t" focussize="0,0"/>
                <v:stroke weight="1pt" color="#FFFFFF [3212]" joinstyle="round"/>
                <v:imagedata o:title=""/>
                <o:lock v:ext="edit" aspectratio="f"/>
                <v:textbox>
                  <w:txbxContent>
                    <w:p>
                      <w:pPr>
                        <w:rPr>
                          <w:rFonts w:hint="eastAsia" w:eastAsia="宋体"/>
                          <w:lang w:val="en-US" w:eastAsia="zh-CN"/>
                        </w:rPr>
                      </w:pPr>
                      <w:r>
                        <w:rPr>
                          <w:rFonts w:hint="eastAsia"/>
                          <w:lang w:val="en-US" w:eastAsia="zh-CN"/>
                        </w:rPr>
                        <w:t>排污口位置</w:t>
                      </w:r>
                    </w:p>
                  </w:txbxContent>
                </v:textbox>
              </v:shape>
            </w:pict>
          </mc:Fallback>
        </mc:AlternateContent>
      </w:r>
    </w:p>
    <w:p>
      <w:pPr>
        <w:pStyle w:val="87"/>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2419985</wp:posOffset>
                </wp:positionH>
                <wp:positionV relativeFrom="paragraph">
                  <wp:posOffset>170815</wp:posOffset>
                </wp:positionV>
                <wp:extent cx="83820" cy="99060"/>
                <wp:effectExtent l="12700" t="12700" r="25400" b="25400"/>
                <wp:wrapNone/>
                <wp:docPr id="80" name="等腰三角形 80"/>
                <wp:cNvGraphicFramePr/>
                <a:graphic xmlns:a="http://schemas.openxmlformats.org/drawingml/2006/main">
                  <a:graphicData uri="http://schemas.microsoft.com/office/word/2010/wordprocessingShape">
                    <wps:wsp>
                      <wps:cNvSpPr/>
                      <wps:spPr>
                        <a:xfrm>
                          <a:off x="3384550" y="7453630"/>
                          <a:ext cx="83820" cy="9906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0.55pt;margin-top:13.45pt;height:7.8pt;width:6.6pt;z-index:251661312;v-text-anchor:middle;mso-width-relative:page;mso-height-relative:page;" fillcolor="#4F81BD [3204]" filled="t" stroked="t" coordsize="21600,21600" o:gfxdata="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E0Y2NcAAAAJAQAADwAAAAAAAAABACAAAAAiAAAAZHJzL2Rvd25yZXYueG1sUEsBAhQAFAAAAAgA&#10;h07iQI149h6YAgAAFgUAAA4AAAAAAAAAAQAgAAAAJgEAAGRycy9lMm9Eb2MueG1sUEsFBgAAAAAG&#10;AAYAWQEAADAGAAAAAA==&#10;" adj="10800">
                <v:fill on="t" focussize="0,0"/>
                <v:stroke weight="2pt" color="#385D8A [3204]" joinstyle="round"/>
                <v:imagedata o:title=""/>
                <o:lock v:ext="edit" aspectratio="f"/>
              </v:shape>
            </w:pict>
          </mc:Fallback>
        </mc:AlternateContent>
      </w: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cs="Times New Roman"/>
          <w:color w:val="auto"/>
        </w:rPr>
      </w:pPr>
    </w:p>
    <w:p>
      <w:pPr>
        <w:pStyle w:val="87"/>
        <w:bidi w:val="0"/>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图3.1-1项目地理位置图</w:t>
      </w:r>
    </w:p>
    <w:p>
      <w:pPr>
        <w:pStyle w:val="5"/>
        <w:bidi w:val="0"/>
        <w:rPr>
          <w:rFonts w:hint="default" w:ascii="Times New Roman" w:hAnsi="Times New Roman" w:cs="Times New Roman"/>
          <w:color w:val="auto"/>
          <w:lang w:val="en-US" w:eastAsia="zh-CN"/>
        </w:rPr>
      </w:pPr>
      <w:bookmarkStart w:id="26" w:name="_Toc15989"/>
      <w:r>
        <w:rPr>
          <w:rFonts w:hint="default" w:ascii="Times New Roman" w:hAnsi="Times New Roman" w:cs="Times New Roman"/>
          <w:color w:val="auto"/>
          <w:lang w:val="en-US" w:eastAsia="zh-CN"/>
        </w:rPr>
        <w:t>3.1.2项目平面布置图</w:t>
      </w:r>
      <w:bookmarkEnd w:id="26"/>
    </w:p>
    <w:p>
      <w:pPr>
        <w:pStyle w:val="87"/>
        <w:bidi w:val="0"/>
        <w:rPr>
          <w:rFonts w:hint="default" w:ascii="Times New Roman" w:hAnsi="Times New Roman" w:cs="Times New Roman"/>
          <w:color w:val="auto"/>
          <w:lang w:val="en-US" w:eastAsia="zh-CN"/>
        </w:rPr>
      </w:pPr>
      <w:r>
        <w:rPr>
          <w:rFonts w:hint="default" w:ascii="Times New Roman" w:hAnsi="Times New Roman" w:cs="Times New Roman"/>
          <w:color w:val="auto"/>
        </w:rPr>
        <w:t>项目布置功能分区明确，工艺流程简短、顺畅，构筑物布置紧凑，且满足各构筑物的施工、设备安装和竖向布管要求，同时与现有工程实现了很好的衔接；厂区道路规整，交通顺畅，综合考虑了人流、消防及车行要求</w:t>
      </w:r>
      <w:r>
        <w:rPr>
          <w:rFonts w:hint="default" w:ascii="Times New Roman" w:hAnsi="Times New Roman" w:cs="Times New Roman"/>
          <w:color w:val="auto"/>
          <w:lang w:eastAsia="zh-CN"/>
        </w:rPr>
        <w:t>，平面布置见图</w:t>
      </w:r>
      <w:r>
        <w:rPr>
          <w:rFonts w:hint="default" w:ascii="Times New Roman" w:hAnsi="Times New Roman" w:cs="Times New Roman"/>
          <w:color w:val="auto"/>
          <w:lang w:val="en-US" w:eastAsia="zh-CN"/>
        </w:rPr>
        <w:t>3.1-2。</w:t>
      </w:r>
    </w:p>
    <w:p>
      <w:pPr>
        <w:pStyle w:val="87"/>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114300" distR="114300">
            <wp:extent cx="5614670" cy="4615815"/>
            <wp:effectExtent l="0" t="0" r="8890" b="1905"/>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8"/>
                    <a:stretch>
                      <a:fillRect/>
                    </a:stretch>
                  </pic:blipFill>
                  <pic:spPr>
                    <a:xfrm>
                      <a:off x="0" y="0"/>
                      <a:ext cx="5614670" cy="4615815"/>
                    </a:xfrm>
                    <a:prstGeom prst="rect">
                      <a:avLst/>
                    </a:prstGeom>
                    <a:noFill/>
                    <a:ln>
                      <a:noFill/>
                    </a:ln>
                  </pic:spPr>
                </pic:pic>
              </a:graphicData>
            </a:graphic>
          </wp:inline>
        </w:drawing>
      </w:r>
    </w:p>
    <w:p>
      <w:pPr>
        <w:pStyle w:val="87"/>
        <w:ind w:firstLine="482"/>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表3.1-2项目平面布置图</w:t>
      </w:r>
    </w:p>
    <w:p>
      <w:pPr>
        <w:pStyle w:val="5"/>
        <w:bidi w:val="0"/>
        <w:rPr>
          <w:rFonts w:hint="default" w:ascii="Times New Roman" w:hAnsi="Times New Roman" w:cs="Times New Roman"/>
          <w:color w:val="auto"/>
          <w:lang w:val="en-US" w:eastAsia="zh-CN"/>
        </w:rPr>
      </w:pPr>
      <w:bookmarkStart w:id="27" w:name="_Toc24352"/>
      <w:r>
        <w:rPr>
          <w:rFonts w:hint="default" w:ascii="Times New Roman" w:hAnsi="Times New Roman" w:cs="Times New Roman"/>
          <w:color w:val="auto"/>
          <w:lang w:val="en-US" w:eastAsia="zh-CN"/>
        </w:rPr>
        <w:t>3.1.3环境保护目标分布</w:t>
      </w:r>
      <w:bookmarkEnd w:id="27"/>
    </w:p>
    <w:p>
      <w:pPr>
        <w:pStyle w:val="87"/>
        <w:bidi w:val="0"/>
        <w:rPr>
          <w:rFonts w:hint="default" w:ascii="Times New Roman" w:hAnsi="Times New Roman" w:cs="Times New Roman"/>
          <w:color w:val="auto"/>
        </w:rPr>
      </w:pPr>
      <w:r>
        <w:rPr>
          <w:rFonts w:hint="default" w:ascii="Times New Roman" w:hAnsi="Times New Roman" w:cs="Times New Roman"/>
          <w:color w:val="auto"/>
        </w:rPr>
        <w:t>本项目新增占地3200m</w:t>
      </w:r>
      <w:r>
        <w:rPr>
          <w:rFonts w:hint="default" w:ascii="Times New Roman" w:hAnsi="Times New Roman" w:cs="Times New Roman"/>
          <w:color w:val="auto"/>
          <w:vertAlign w:val="superscript"/>
        </w:rPr>
        <w:t>2</w:t>
      </w:r>
      <w:r>
        <w:rPr>
          <w:rFonts w:hint="default" w:ascii="Times New Roman" w:hAnsi="Times New Roman" w:cs="Times New Roman"/>
          <w:color w:val="auto"/>
        </w:rPr>
        <w:t>，新增占地位于工业园区内，所在区域为城市生态系统，所在地周边无自然保护区、无重要文物保护单位。经调查，本项目所在地未发现珍稀动植物、名木古树，无珍稀保护动物分布。</w:t>
      </w:r>
    </w:p>
    <w:p>
      <w:pPr>
        <w:pStyle w:val="87"/>
        <w:bidi w:val="0"/>
        <w:rPr>
          <w:rFonts w:hint="default" w:ascii="Times New Roman" w:hAnsi="Times New Roman" w:cs="Times New Roman"/>
          <w:b/>
          <w:bCs/>
          <w:color w:val="auto"/>
        </w:rPr>
      </w:pPr>
      <w:r>
        <w:rPr>
          <w:rFonts w:hint="default" w:ascii="Times New Roman" w:hAnsi="Times New Roman" w:cs="Times New Roman"/>
          <w:b/>
          <w:bCs/>
          <w:color w:val="auto"/>
        </w:rPr>
        <w:t>主要环境保护目标：</w:t>
      </w:r>
    </w:p>
    <w:p>
      <w:pPr>
        <w:pStyle w:val="8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本项目位于工业园区边界处，因此周边分布有零散的散居农户，本项目占地范围无自然保护区、风景名胜区、森林公园、地质公园和文物保护单位等，未发现珍稀和保护性动植物等</w:t>
      </w:r>
      <w:r>
        <w:rPr>
          <w:rFonts w:hint="default" w:ascii="Times New Roman" w:hAnsi="Times New Roman" w:cs="Times New Roman"/>
          <w:color w:val="auto"/>
          <w:lang w:eastAsia="zh-CN"/>
        </w:rPr>
        <w:t>，</w:t>
      </w:r>
      <w:r>
        <w:rPr>
          <w:rFonts w:hint="default" w:ascii="Times New Roman" w:hAnsi="Times New Roman" w:cs="Times New Roman"/>
          <w:color w:val="auto"/>
        </w:rPr>
        <w:t>项目周边主要环境保护目标统计见表3.1-1。</w:t>
      </w:r>
      <w:r>
        <w:rPr>
          <w:rFonts w:hint="default" w:ascii="Times New Roman" w:hAnsi="Times New Roman" w:cs="Times New Roman"/>
          <w:color w:val="auto"/>
          <w:lang w:val="en-US" w:eastAsia="zh-CN"/>
        </w:rPr>
        <w:t>评价使用标准见表3.1-2。验收阶段无变化。</w:t>
      </w:r>
    </w:p>
    <w:p>
      <w:pPr>
        <w:pStyle w:val="87"/>
        <w:bidi w:val="0"/>
        <w:jc w:val="center"/>
        <w:rPr>
          <w:rFonts w:hint="default" w:ascii="Times New Roman" w:hAnsi="Times New Roman" w:cs="Times New Roman"/>
          <w:color w:val="auto"/>
        </w:rPr>
      </w:pPr>
    </w:p>
    <w:p>
      <w:pPr>
        <w:pStyle w:val="87"/>
        <w:bidi w:val="0"/>
        <w:jc w:val="center"/>
        <w:rPr>
          <w:rFonts w:hint="default" w:ascii="Times New Roman" w:hAnsi="Times New Roman" w:cs="Times New Roman"/>
          <w:color w:val="auto"/>
        </w:rPr>
      </w:pPr>
      <w:r>
        <w:rPr>
          <w:rFonts w:hint="default" w:ascii="Times New Roman" w:hAnsi="Times New Roman" w:cs="Times New Roman"/>
          <w:color w:val="auto"/>
        </w:rPr>
        <w:t>表3.1-1周边环境保护目标统计表</w:t>
      </w:r>
    </w:p>
    <w:tbl>
      <w:tblPr>
        <w:tblStyle w:val="33"/>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459"/>
        <w:gridCol w:w="697"/>
        <w:gridCol w:w="892"/>
        <w:gridCol w:w="1426"/>
        <w:gridCol w:w="1203"/>
        <w:gridCol w:w="1027"/>
        <w:gridCol w:w="878"/>
        <w:gridCol w:w="800"/>
        <w:gridCol w:w="9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00" w:type="pct"/>
            <w:vMerge w:val="restart"/>
            <w:shd w:val="clear" w:color="auto" w:fill="auto"/>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环境影响要素</w:t>
            </w:r>
          </w:p>
        </w:tc>
        <w:tc>
          <w:tcPr>
            <w:tcW w:w="253" w:type="pct"/>
            <w:vMerge w:val="restart"/>
            <w:shd w:val="clear" w:color="auto" w:fill="auto"/>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876" w:type="pct"/>
            <w:gridSpan w:val="2"/>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坐标</w:t>
            </w:r>
          </w:p>
        </w:tc>
        <w:tc>
          <w:tcPr>
            <w:tcW w:w="786" w:type="pct"/>
            <w:vMerge w:val="restart"/>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保护对象</w:t>
            </w:r>
          </w:p>
        </w:tc>
        <w:tc>
          <w:tcPr>
            <w:tcW w:w="663" w:type="pct"/>
            <w:vMerge w:val="restart"/>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保护内容</w:t>
            </w:r>
          </w:p>
        </w:tc>
        <w:tc>
          <w:tcPr>
            <w:tcW w:w="566" w:type="pct"/>
            <w:vMerge w:val="restart"/>
            <w:shd w:val="clear" w:color="auto" w:fill="auto"/>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相对厂址方位</w:t>
            </w:r>
          </w:p>
        </w:tc>
        <w:tc>
          <w:tcPr>
            <w:tcW w:w="484" w:type="pct"/>
            <w:vMerge w:val="restart"/>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相对距离</w:t>
            </w:r>
          </w:p>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p>
        </w:tc>
        <w:tc>
          <w:tcPr>
            <w:tcW w:w="441" w:type="pct"/>
            <w:vMerge w:val="restart"/>
            <w:shd w:val="clear" w:color="auto" w:fill="auto"/>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与主导风的相对方位</w:t>
            </w:r>
          </w:p>
        </w:tc>
        <w:tc>
          <w:tcPr>
            <w:tcW w:w="526" w:type="pct"/>
            <w:vMerge w:val="restart"/>
            <w:shd w:val="clear" w:color="auto" w:fill="auto"/>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0" w:type="pct"/>
            <w:vMerge w:val="continue"/>
            <w:shd w:val="clear" w:color="auto" w:fill="auto"/>
            <w:vAlign w:val="center"/>
          </w:tcPr>
          <w:p>
            <w:pPr>
              <w:pStyle w:val="149"/>
              <w:rPr>
                <w:rFonts w:hint="default" w:ascii="Times New Roman" w:hAnsi="Times New Roman" w:eastAsia="宋体" w:cs="Times New Roman"/>
                <w:b/>
                <w:bCs/>
                <w:color w:val="auto"/>
                <w:sz w:val="21"/>
                <w:szCs w:val="21"/>
              </w:rPr>
            </w:pPr>
          </w:p>
        </w:tc>
        <w:tc>
          <w:tcPr>
            <w:tcW w:w="253" w:type="pct"/>
            <w:vMerge w:val="continue"/>
            <w:shd w:val="clear" w:color="auto" w:fill="auto"/>
            <w:vAlign w:val="center"/>
          </w:tcPr>
          <w:p>
            <w:pPr>
              <w:pStyle w:val="149"/>
              <w:rPr>
                <w:rFonts w:hint="default" w:ascii="Times New Roman" w:hAnsi="Times New Roman" w:eastAsia="宋体" w:cs="Times New Roman"/>
                <w:b/>
                <w:bCs/>
                <w:color w:val="auto"/>
                <w:sz w:val="21"/>
                <w:szCs w:val="21"/>
              </w:rPr>
            </w:pPr>
          </w:p>
        </w:tc>
        <w:tc>
          <w:tcPr>
            <w:tcW w:w="384" w:type="pct"/>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491" w:type="pct"/>
            <w:vAlign w:val="center"/>
          </w:tcPr>
          <w:p>
            <w:pPr>
              <w:pStyle w:val="1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786" w:type="pct"/>
            <w:vMerge w:val="continue"/>
            <w:vAlign w:val="center"/>
          </w:tcPr>
          <w:p>
            <w:pPr>
              <w:pStyle w:val="149"/>
              <w:rPr>
                <w:rFonts w:hint="default" w:ascii="Times New Roman" w:hAnsi="Times New Roman" w:eastAsia="宋体" w:cs="Times New Roman"/>
                <w:b/>
                <w:bCs/>
                <w:color w:val="auto"/>
                <w:sz w:val="21"/>
                <w:szCs w:val="21"/>
              </w:rPr>
            </w:pPr>
          </w:p>
        </w:tc>
        <w:tc>
          <w:tcPr>
            <w:tcW w:w="663" w:type="pct"/>
            <w:vMerge w:val="continue"/>
            <w:vAlign w:val="center"/>
          </w:tcPr>
          <w:p>
            <w:pPr>
              <w:pStyle w:val="149"/>
              <w:rPr>
                <w:rFonts w:hint="default" w:ascii="Times New Roman" w:hAnsi="Times New Roman" w:eastAsia="宋体" w:cs="Times New Roman"/>
                <w:b/>
                <w:bCs/>
                <w:color w:val="auto"/>
                <w:sz w:val="21"/>
                <w:szCs w:val="21"/>
              </w:rPr>
            </w:pPr>
          </w:p>
        </w:tc>
        <w:tc>
          <w:tcPr>
            <w:tcW w:w="566" w:type="pct"/>
            <w:vMerge w:val="continue"/>
            <w:shd w:val="clear" w:color="auto" w:fill="auto"/>
            <w:vAlign w:val="center"/>
          </w:tcPr>
          <w:p>
            <w:pPr>
              <w:pStyle w:val="149"/>
              <w:rPr>
                <w:rFonts w:hint="default" w:ascii="Times New Roman" w:hAnsi="Times New Roman" w:eastAsia="宋体" w:cs="Times New Roman"/>
                <w:b/>
                <w:bCs/>
                <w:color w:val="auto"/>
                <w:sz w:val="21"/>
                <w:szCs w:val="21"/>
              </w:rPr>
            </w:pPr>
          </w:p>
        </w:tc>
        <w:tc>
          <w:tcPr>
            <w:tcW w:w="484" w:type="pct"/>
            <w:vMerge w:val="continue"/>
            <w:vAlign w:val="center"/>
          </w:tcPr>
          <w:p>
            <w:pPr>
              <w:pStyle w:val="149"/>
              <w:rPr>
                <w:rFonts w:hint="default" w:ascii="Times New Roman" w:hAnsi="Times New Roman" w:eastAsia="宋体" w:cs="Times New Roman"/>
                <w:b/>
                <w:bCs/>
                <w:color w:val="auto"/>
                <w:sz w:val="21"/>
                <w:szCs w:val="21"/>
              </w:rPr>
            </w:pPr>
          </w:p>
        </w:tc>
        <w:tc>
          <w:tcPr>
            <w:tcW w:w="441" w:type="pct"/>
            <w:vMerge w:val="continue"/>
            <w:shd w:val="clear" w:color="auto" w:fill="auto"/>
            <w:vAlign w:val="center"/>
          </w:tcPr>
          <w:p>
            <w:pPr>
              <w:pStyle w:val="149"/>
              <w:rPr>
                <w:rFonts w:hint="default" w:ascii="Times New Roman" w:hAnsi="Times New Roman" w:eastAsia="宋体" w:cs="Times New Roman"/>
                <w:b/>
                <w:bCs/>
                <w:color w:val="auto"/>
                <w:sz w:val="21"/>
                <w:szCs w:val="21"/>
              </w:rPr>
            </w:pPr>
          </w:p>
        </w:tc>
        <w:tc>
          <w:tcPr>
            <w:tcW w:w="526" w:type="pct"/>
            <w:vMerge w:val="continue"/>
            <w:shd w:val="clear" w:color="auto" w:fill="auto"/>
            <w:vAlign w:val="center"/>
          </w:tcPr>
          <w:p>
            <w:pPr>
              <w:pStyle w:val="149"/>
              <w:rPr>
                <w:rFonts w:hint="default" w:ascii="Times New Roman" w:hAnsi="Times New Roman" w:eastAsia="宋体" w:cs="Times New Roman"/>
                <w:b/>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00" w:type="pct"/>
            <w:vMerge w:val="restar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环境空气、噪声和风险</w:t>
            </w:r>
          </w:p>
        </w:tc>
        <w:tc>
          <w:tcPr>
            <w:tcW w:w="253"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w:t>
            </w:r>
          </w:p>
        </w:tc>
        <w:tc>
          <w:tcPr>
            <w:tcW w:w="49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w:t>
            </w:r>
          </w:p>
        </w:tc>
        <w:tc>
          <w:tcPr>
            <w:tcW w:w="786"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1#散居农户</w:t>
            </w:r>
          </w:p>
        </w:tc>
        <w:tc>
          <w:tcPr>
            <w:tcW w:w="663"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3户6人</w:t>
            </w:r>
          </w:p>
        </w:tc>
        <w:tc>
          <w:tcPr>
            <w:tcW w:w="56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西北</w:t>
            </w:r>
          </w:p>
        </w:tc>
        <w:tc>
          <w:tcPr>
            <w:tcW w:w="4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41"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侧风向</w:t>
            </w:r>
          </w:p>
        </w:tc>
        <w:tc>
          <w:tcPr>
            <w:tcW w:w="526" w:type="pct"/>
            <w:vMerge w:val="restar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环境空气二类功能区，声 环境2类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00"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c>
          <w:tcPr>
            <w:tcW w:w="253"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49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786"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2#散居农户</w:t>
            </w:r>
          </w:p>
        </w:tc>
        <w:tc>
          <w:tcPr>
            <w:tcW w:w="663"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1户3人</w:t>
            </w:r>
          </w:p>
        </w:tc>
        <w:tc>
          <w:tcPr>
            <w:tcW w:w="56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西南</w:t>
            </w:r>
          </w:p>
        </w:tc>
        <w:tc>
          <w:tcPr>
            <w:tcW w:w="4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41"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p>
        </w:tc>
        <w:tc>
          <w:tcPr>
            <w:tcW w:w="526"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00"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c>
          <w:tcPr>
            <w:tcW w:w="253"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-198</w:t>
            </w:r>
          </w:p>
        </w:tc>
        <w:tc>
          <w:tcPr>
            <w:tcW w:w="49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w:t>
            </w:r>
          </w:p>
        </w:tc>
        <w:tc>
          <w:tcPr>
            <w:tcW w:w="786"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3#散居农户</w:t>
            </w:r>
          </w:p>
        </w:tc>
        <w:tc>
          <w:tcPr>
            <w:tcW w:w="663"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3户5人</w:t>
            </w:r>
          </w:p>
        </w:tc>
        <w:tc>
          <w:tcPr>
            <w:tcW w:w="56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西南</w:t>
            </w:r>
          </w:p>
        </w:tc>
        <w:tc>
          <w:tcPr>
            <w:tcW w:w="4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w:t>
            </w:r>
          </w:p>
        </w:tc>
        <w:tc>
          <w:tcPr>
            <w:tcW w:w="441"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w:t>
            </w:r>
          </w:p>
        </w:tc>
        <w:tc>
          <w:tcPr>
            <w:tcW w:w="526"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00"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c>
          <w:tcPr>
            <w:tcW w:w="253"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49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-253</w:t>
            </w:r>
          </w:p>
        </w:tc>
        <w:tc>
          <w:tcPr>
            <w:tcW w:w="786"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4#散居农户</w:t>
            </w:r>
          </w:p>
        </w:tc>
        <w:tc>
          <w:tcPr>
            <w:tcW w:w="663"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5户10人</w:t>
            </w:r>
          </w:p>
        </w:tc>
        <w:tc>
          <w:tcPr>
            <w:tcW w:w="56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4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w:t>
            </w:r>
          </w:p>
        </w:tc>
        <w:tc>
          <w:tcPr>
            <w:tcW w:w="441"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侧风向</w:t>
            </w:r>
          </w:p>
        </w:tc>
        <w:tc>
          <w:tcPr>
            <w:tcW w:w="526"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00"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c>
          <w:tcPr>
            <w:tcW w:w="253"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149</w:t>
            </w:r>
          </w:p>
        </w:tc>
        <w:tc>
          <w:tcPr>
            <w:tcW w:w="49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786"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5#散居农户</w:t>
            </w:r>
          </w:p>
        </w:tc>
        <w:tc>
          <w:tcPr>
            <w:tcW w:w="663"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4户7人</w:t>
            </w:r>
          </w:p>
        </w:tc>
        <w:tc>
          <w:tcPr>
            <w:tcW w:w="56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东北</w:t>
            </w:r>
          </w:p>
        </w:tc>
        <w:tc>
          <w:tcPr>
            <w:tcW w:w="4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441"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上风向</w:t>
            </w:r>
          </w:p>
        </w:tc>
        <w:tc>
          <w:tcPr>
            <w:tcW w:w="526"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00" w:type="pct"/>
            <w:vMerge w:val="restar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环境空气和风险</w:t>
            </w:r>
          </w:p>
        </w:tc>
        <w:tc>
          <w:tcPr>
            <w:tcW w:w="253"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-368</w:t>
            </w:r>
          </w:p>
        </w:tc>
        <w:tc>
          <w:tcPr>
            <w:tcW w:w="49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w:t>
            </w:r>
          </w:p>
        </w:tc>
        <w:tc>
          <w:tcPr>
            <w:tcW w:w="786"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6#散居农户</w:t>
            </w:r>
          </w:p>
        </w:tc>
        <w:tc>
          <w:tcPr>
            <w:tcW w:w="663"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7户20人</w:t>
            </w:r>
          </w:p>
        </w:tc>
        <w:tc>
          <w:tcPr>
            <w:tcW w:w="56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4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355</w:t>
            </w:r>
          </w:p>
        </w:tc>
        <w:tc>
          <w:tcPr>
            <w:tcW w:w="441"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侧风向</w:t>
            </w:r>
          </w:p>
        </w:tc>
        <w:tc>
          <w:tcPr>
            <w:tcW w:w="526" w:type="pct"/>
            <w:vMerge w:val="restar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环境空气二类功能区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00"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c>
          <w:tcPr>
            <w:tcW w:w="253"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-442</w:t>
            </w:r>
          </w:p>
        </w:tc>
        <w:tc>
          <w:tcPr>
            <w:tcW w:w="49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275</w:t>
            </w:r>
          </w:p>
        </w:tc>
        <w:tc>
          <w:tcPr>
            <w:tcW w:w="786"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7#散居农户</w:t>
            </w:r>
          </w:p>
        </w:tc>
        <w:tc>
          <w:tcPr>
            <w:tcW w:w="663"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6户15人</w:t>
            </w:r>
          </w:p>
        </w:tc>
        <w:tc>
          <w:tcPr>
            <w:tcW w:w="56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西北</w:t>
            </w:r>
          </w:p>
        </w:tc>
        <w:tc>
          <w:tcPr>
            <w:tcW w:w="4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375</w:t>
            </w:r>
          </w:p>
        </w:tc>
        <w:tc>
          <w:tcPr>
            <w:tcW w:w="441"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侧风向</w:t>
            </w:r>
          </w:p>
        </w:tc>
        <w:tc>
          <w:tcPr>
            <w:tcW w:w="526"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00"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c>
          <w:tcPr>
            <w:tcW w:w="253"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-238</w:t>
            </w:r>
          </w:p>
        </w:tc>
        <w:tc>
          <w:tcPr>
            <w:tcW w:w="49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-476</w:t>
            </w:r>
          </w:p>
        </w:tc>
        <w:tc>
          <w:tcPr>
            <w:tcW w:w="786"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8#散居农户</w:t>
            </w:r>
          </w:p>
        </w:tc>
        <w:tc>
          <w:tcPr>
            <w:tcW w:w="663"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10户22人</w:t>
            </w:r>
          </w:p>
        </w:tc>
        <w:tc>
          <w:tcPr>
            <w:tcW w:w="56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西北</w:t>
            </w:r>
          </w:p>
        </w:tc>
        <w:tc>
          <w:tcPr>
            <w:tcW w:w="4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340</w:t>
            </w:r>
          </w:p>
        </w:tc>
        <w:tc>
          <w:tcPr>
            <w:tcW w:w="441"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侧风向</w:t>
            </w:r>
          </w:p>
        </w:tc>
        <w:tc>
          <w:tcPr>
            <w:tcW w:w="526" w:type="pct"/>
            <w:vMerge w:val="continue"/>
            <w:shd w:val="clear" w:color="auto" w:fill="auto"/>
            <w:vAlign w:val="center"/>
          </w:tcPr>
          <w:p>
            <w:pPr>
              <w:pStyle w:val="149"/>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400"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253"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3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91"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86"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濑溪河</w:t>
            </w:r>
          </w:p>
        </w:tc>
        <w:tc>
          <w:tcPr>
            <w:tcW w:w="663"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Ⅲ类水体</w:t>
            </w:r>
          </w:p>
        </w:tc>
        <w:tc>
          <w:tcPr>
            <w:tcW w:w="56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w:t>
            </w:r>
          </w:p>
        </w:tc>
        <w:tc>
          <w:tcPr>
            <w:tcW w:w="484" w:type="pct"/>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85000</w:t>
            </w:r>
          </w:p>
        </w:tc>
        <w:tc>
          <w:tcPr>
            <w:tcW w:w="441"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26" w:type="pct"/>
            <w:shd w:val="clear" w:color="auto" w:fill="auto"/>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r>
              <w:rPr>
                <w:rFonts w:hint="default" w:ascii="Times New Roman" w:hAnsi="Times New Roman" w:eastAsia="宋体" w:cs="Times New Roman"/>
                <w:bCs/>
                <w:color w:val="auto"/>
                <w:sz w:val="21"/>
                <w:szCs w:val="21"/>
              </w:rPr>
              <w:t>Ⅲ</w:t>
            </w:r>
            <w:r>
              <w:rPr>
                <w:rFonts w:hint="default" w:ascii="Times New Roman" w:hAnsi="Times New Roman" w:eastAsia="宋体" w:cs="Times New Roman"/>
                <w:color w:val="auto"/>
                <w:sz w:val="21"/>
                <w:szCs w:val="21"/>
              </w:rPr>
              <w:t>类</w:t>
            </w:r>
          </w:p>
        </w:tc>
      </w:tr>
    </w:tbl>
    <w:p>
      <w:pPr>
        <w:pStyle w:val="87"/>
        <w:bidi w:val="0"/>
        <w:jc w:val="center"/>
        <w:rPr>
          <w:rFonts w:hint="default" w:ascii="Times New Roman" w:hAnsi="Times New Roman" w:cs="Times New Roman"/>
          <w:color w:val="auto"/>
        </w:rPr>
      </w:pPr>
    </w:p>
    <w:p>
      <w:pPr>
        <w:pStyle w:val="8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表3.1-</w:t>
      </w:r>
      <w:r>
        <w:rPr>
          <w:rFonts w:hint="default" w:ascii="Times New Roman" w:hAnsi="Times New Roman" w:cs="Times New Roman"/>
          <w:color w:val="auto"/>
          <w:lang w:val="en-US" w:eastAsia="zh-CN"/>
        </w:rPr>
        <w:t>2评价使用标准</w:t>
      </w:r>
    </w:p>
    <w:tbl>
      <w:tblPr>
        <w:tblStyle w:val="33"/>
        <w:tblpPr w:leftFromText="180" w:rightFromText="180" w:vertAnchor="text" w:tblpXSpec="center" w:tblpY="1"/>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922"/>
        <w:gridCol w:w="2049"/>
        <w:gridCol w:w="1462"/>
        <w:gridCol w:w="1317"/>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center"/>
          </w:tcPr>
          <w:p>
            <w:pPr>
              <w:adjustRightInd w:val="0"/>
              <w:spacing w:line="4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分类</w:t>
            </w:r>
          </w:p>
        </w:tc>
        <w:tc>
          <w:tcPr>
            <w:tcW w:w="1922" w:type="dxa"/>
            <w:vAlign w:val="center"/>
          </w:tcPr>
          <w:p>
            <w:pPr>
              <w:adjustRightInd w:val="0"/>
              <w:spacing w:line="4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大气</w:t>
            </w:r>
          </w:p>
        </w:tc>
        <w:tc>
          <w:tcPr>
            <w:tcW w:w="2049" w:type="dxa"/>
            <w:vAlign w:val="center"/>
          </w:tcPr>
          <w:p>
            <w:pPr>
              <w:adjustRightInd w:val="0"/>
              <w:spacing w:line="4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地表水</w:t>
            </w:r>
          </w:p>
        </w:tc>
        <w:tc>
          <w:tcPr>
            <w:tcW w:w="1462" w:type="dxa"/>
            <w:vAlign w:val="center"/>
          </w:tcPr>
          <w:p>
            <w:pPr>
              <w:adjustRightInd w:val="0"/>
              <w:spacing w:line="4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地下水</w:t>
            </w:r>
          </w:p>
        </w:tc>
        <w:tc>
          <w:tcPr>
            <w:tcW w:w="1317" w:type="dxa"/>
            <w:vAlign w:val="center"/>
          </w:tcPr>
          <w:p>
            <w:pPr>
              <w:adjustRightInd w:val="0"/>
              <w:spacing w:line="4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噪声</w:t>
            </w:r>
          </w:p>
        </w:tc>
        <w:tc>
          <w:tcPr>
            <w:tcW w:w="1311" w:type="dxa"/>
            <w:vAlign w:val="center"/>
          </w:tcPr>
          <w:p>
            <w:pPr>
              <w:adjustRightInd w:val="0"/>
              <w:spacing w:line="4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9" w:hRule="atLeast"/>
        </w:trPr>
        <w:tc>
          <w:tcPr>
            <w:tcW w:w="999" w:type="dxa"/>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环境质量标准</w:t>
            </w:r>
          </w:p>
        </w:tc>
        <w:tc>
          <w:tcPr>
            <w:tcW w:w="1922" w:type="dxa"/>
            <w:vAlign w:val="center"/>
          </w:tcPr>
          <w:p>
            <w:pPr>
              <w:pStyle w:val="149"/>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《环境空气质量标准》（GB3095-2012）二级、《环境影响评价技术导则 大气环境》（HJ2.2-2018）附录D其他污染物空气质量浓度参考限值</w:t>
            </w:r>
          </w:p>
        </w:tc>
        <w:tc>
          <w:tcPr>
            <w:tcW w:w="2049" w:type="dxa"/>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《地表水环境质量标准》（GH3838-2002）Ⅲ类标准</w:t>
            </w:r>
          </w:p>
        </w:tc>
        <w:tc>
          <w:tcPr>
            <w:tcW w:w="1462" w:type="dxa"/>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《地下水质量标准》（GB/T14848-2017）Ⅲ类标准</w:t>
            </w:r>
          </w:p>
        </w:tc>
        <w:tc>
          <w:tcPr>
            <w:tcW w:w="1317" w:type="dxa"/>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《声环境质量标准》（GB3096-2008）3类标准</w:t>
            </w:r>
          </w:p>
        </w:tc>
        <w:tc>
          <w:tcPr>
            <w:tcW w:w="1311" w:type="dxa"/>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《土壤环境质量 建设用地土壤污染风险管控标准》（GB36600-2018）中第二类用地筛选值</w:t>
            </w:r>
          </w:p>
        </w:tc>
      </w:tr>
    </w:tbl>
    <w:p>
      <w:pPr>
        <w:pStyle w:val="87"/>
        <w:bidi w:val="0"/>
        <w:jc w:val="center"/>
        <w:rPr>
          <w:rFonts w:hint="default" w:ascii="Times New Roman" w:hAnsi="Times New Roman" w:cs="Times New Roman"/>
          <w:color w:val="auto"/>
          <w:lang w:val="en-US" w:eastAsia="zh-CN"/>
        </w:rPr>
      </w:pPr>
    </w:p>
    <w:p>
      <w:pPr>
        <w:pStyle w:val="4"/>
        <w:bidi w:val="0"/>
        <w:rPr>
          <w:rFonts w:hint="default" w:ascii="Times New Roman" w:hAnsi="Times New Roman" w:cs="Times New Roman"/>
          <w:color w:val="auto"/>
          <w:highlight w:val="none"/>
        </w:rPr>
      </w:pPr>
      <w:bookmarkStart w:id="28" w:name="_Toc19418"/>
      <w:bookmarkStart w:id="29" w:name="_Toc20151"/>
      <w:r>
        <w:rPr>
          <w:rFonts w:hint="default" w:ascii="Times New Roman" w:hAnsi="Times New Roman" w:cs="Times New Roman"/>
          <w:color w:val="auto"/>
          <w:highlight w:val="none"/>
        </w:rPr>
        <w:t>3.2</w:t>
      </w:r>
      <w:r>
        <w:rPr>
          <w:rFonts w:hint="default" w:ascii="Times New Roman" w:hAnsi="Times New Roman" w:cs="Times New Roman"/>
          <w:color w:val="auto"/>
          <w:highlight w:val="none"/>
          <w:lang w:eastAsia="zh-CN"/>
        </w:rPr>
        <w:t>主要</w:t>
      </w:r>
      <w:r>
        <w:rPr>
          <w:rFonts w:hint="default" w:ascii="Times New Roman" w:hAnsi="Times New Roman" w:cs="Times New Roman"/>
          <w:color w:val="auto"/>
          <w:highlight w:val="none"/>
        </w:rPr>
        <w:t>建设内容</w:t>
      </w:r>
      <w:bookmarkEnd w:id="28"/>
      <w:bookmarkEnd w:id="29"/>
    </w:p>
    <w:p>
      <w:pPr>
        <w:pStyle w:val="87"/>
        <w:ind w:firstLine="480"/>
        <w:rPr>
          <w:rFonts w:hint="default" w:ascii="Times New Roman" w:hAnsi="Times New Roman" w:cs="Times New Roman"/>
          <w:color w:val="auto"/>
        </w:rPr>
      </w:pPr>
      <w:r>
        <w:rPr>
          <w:rFonts w:hint="default" w:ascii="Times New Roman" w:hAnsi="Times New Roman" w:cs="Times New Roman"/>
          <w:color w:val="auto"/>
        </w:rPr>
        <w:t>项目名称：荣昌荣隆工业园污水处理厂提标及工艺技改工程</w:t>
      </w:r>
    </w:p>
    <w:p>
      <w:pPr>
        <w:pStyle w:val="87"/>
        <w:ind w:firstLine="480"/>
        <w:rPr>
          <w:rFonts w:hint="default" w:ascii="Times New Roman" w:hAnsi="Times New Roman" w:cs="Times New Roman"/>
          <w:color w:val="auto"/>
        </w:rPr>
      </w:pPr>
      <w:r>
        <w:rPr>
          <w:rFonts w:hint="default" w:ascii="Times New Roman" w:hAnsi="Times New Roman" w:cs="Times New Roman"/>
          <w:color w:val="auto"/>
        </w:rPr>
        <w:t>建设地点：现有污水处理厂东侧</w:t>
      </w:r>
    </w:p>
    <w:p>
      <w:pPr>
        <w:pStyle w:val="87"/>
        <w:ind w:firstLine="480"/>
        <w:rPr>
          <w:rFonts w:hint="default" w:ascii="Times New Roman" w:hAnsi="Times New Roman" w:cs="Times New Roman"/>
          <w:color w:val="auto"/>
        </w:rPr>
      </w:pPr>
      <w:r>
        <w:rPr>
          <w:rFonts w:hint="default" w:ascii="Times New Roman" w:hAnsi="Times New Roman" w:cs="Times New Roman"/>
          <w:color w:val="auto"/>
        </w:rPr>
        <w:t>建设性质：技改</w:t>
      </w:r>
    </w:p>
    <w:p>
      <w:pPr>
        <w:pStyle w:val="87"/>
        <w:ind w:firstLine="480"/>
        <w:rPr>
          <w:rFonts w:hint="default" w:ascii="Times New Roman" w:hAnsi="Times New Roman" w:cs="Times New Roman"/>
          <w:color w:val="auto"/>
        </w:rPr>
      </w:pPr>
      <w:r>
        <w:rPr>
          <w:rFonts w:hint="default" w:ascii="Times New Roman" w:hAnsi="Times New Roman" w:cs="Times New Roman"/>
          <w:color w:val="auto"/>
        </w:rPr>
        <w:t>占地面积：新增占地3200m</w:t>
      </w:r>
      <w:r>
        <w:rPr>
          <w:rFonts w:hint="default" w:ascii="Times New Roman" w:hAnsi="Times New Roman" w:cs="Times New Roman"/>
          <w:color w:val="auto"/>
          <w:vertAlign w:val="superscript"/>
        </w:rPr>
        <w:t>2</w:t>
      </w:r>
    </w:p>
    <w:p>
      <w:pPr>
        <w:pStyle w:val="87"/>
        <w:ind w:firstLine="480"/>
        <w:rPr>
          <w:rFonts w:hint="default" w:ascii="Times New Roman" w:hAnsi="Times New Roman" w:cs="Times New Roman"/>
          <w:color w:val="auto"/>
        </w:rPr>
      </w:pPr>
      <w:r>
        <w:rPr>
          <w:rFonts w:hint="default" w:ascii="Times New Roman" w:hAnsi="Times New Roman" w:cs="Times New Roman"/>
          <w:color w:val="auto"/>
        </w:rPr>
        <w:t>建设规模：技改前后无变化，7500m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pStyle w:val="87"/>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员工人数：</w:t>
      </w:r>
      <w:r>
        <w:rPr>
          <w:rFonts w:hint="default" w:ascii="Times New Roman" w:hAnsi="Times New Roman" w:cs="Times New Roman"/>
          <w:color w:val="auto"/>
          <w:lang w:val="en-US" w:eastAsia="zh-CN"/>
        </w:rPr>
        <w:t>技改后增加2人，为12人</w:t>
      </w:r>
    </w:p>
    <w:p>
      <w:pPr>
        <w:pStyle w:val="87"/>
        <w:ind w:firstLine="480"/>
        <w:rPr>
          <w:rFonts w:hint="default" w:ascii="Times New Roman" w:hAnsi="Times New Roman" w:cs="Times New Roman"/>
          <w:color w:val="auto"/>
        </w:rPr>
      </w:pPr>
      <w:r>
        <w:rPr>
          <w:rFonts w:hint="default" w:ascii="Times New Roman" w:hAnsi="Times New Roman" w:cs="Times New Roman"/>
          <w:color w:val="auto"/>
        </w:rPr>
        <w:t>运营时间：技改前后无变化，365d/a，24h/d</w:t>
      </w:r>
    </w:p>
    <w:p>
      <w:pPr>
        <w:pStyle w:val="87"/>
        <w:ind w:firstLine="480"/>
        <w:rPr>
          <w:rFonts w:hint="default" w:ascii="Times New Roman" w:hAnsi="Times New Roman" w:cs="Times New Roman"/>
          <w:color w:val="auto"/>
        </w:rPr>
      </w:pPr>
      <w:r>
        <w:rPr>
          <w:rFonts w:hint="default" w:ascii="Times New Roman" w:hAnsi="Times New Roman" w:cs="Times New Roman"/>
          <w:color w:val="auto"/>
        </w:rPr>
        <w:t>技改总投资：2830.38万元</w:t>
      </w:r>
    </w:p>
    <w:p>
      <w:pPr>
        <w:pStyle w:val="87"/>
        <w:ind w:firstLine="480"/>
        <w:rPr>
          <w:rFonts w:hint="default" w:ascii="Times New Roman" w:hAnsi="Times New Roman" w:cs="Times New Roman"/>
          <w:color w:val="auto"/>
        </w:rPr>
      </w:pPr>
      <w:r>
        <w:rPr>
          <w:rFonts w:hint="default" w:ascii="Times New Roman" w:hAnsi="Times New Roman" w:cs="Times New Roman"/>
          <w:color w:val="auto"/>
        </w:rPr>
        <w:t>建设工期：10个月</w:t>
      </w:r>
    </w:p>
    <w:p>
      <w:pPr>
        <w:pStyle w:val="87"/>
        <w:ind w:firstLine="480"/>
        <w:rPr>
          <w:rFonts w:hint="default" w:ascii="Times New Roman" w:hAnsi="Times New Roman" w:cs="Times New Roman"/>
          <w:color w:val="auto"/>
        </w:rPr>
      </w:pPr>
      <w:r>
        <w:rPr>
          <w:rFonts w:hint="default" w:ascii="Times New Roman" w:hAnsi="Times New Roman" w:cs="Times New Roman"/>
          <w:color w:val="auto"/>
        </w:rPr>
        <w:t>收水范围：技改前后无变化</w:t>
      </w:r>
    </w:p>
    <w:p>
      <w:pPr>
        <w:pStyle w:val="87"/>
        <w:ind w:firstLine="480"/>
        <w:rPr>
          <w:rFonts w:hint="default" w:ascii="Times New Roman" w:hAnsi="Times New Roman" w:cs="Times New Roman"/>
          <w:color w:val="auto"/>
        </w:rPr>
      </w:pPr>
      <w:r>
        <w:rPr>
          <w:rFonts w:hint="default" w:ascii="Times New Roman" w:hAnsi="Times New Roman" w:cs="Times New Roman"/>
          <w:color w:val="auto"/>
        </w:rPr>
        <w:t>尾水排放方式及去向：技改前后无变化</w:t>
      </w:r>
    </w:p>
    <w:p>
      <w:pPr>
        <w:pStyle w:val="87"/>
        <w:ind w:firstLine="480"/>
        <w:rPr>
          <w:rFonts w:hint="default" w:ascii="Times New Roman" w:hAnsi="Times New Roman" w:cs="Times New Roman"/>
          <w:color w:val="auto"/>
          <w:spacing w:val="0"/>
          <w:w w:val="100"/>
        </w:rPr>
        <w:sectPr>
          <w:pgSz w:w="11907" w:h="16840"/>
          <w:pgMar w:top="1440" w:right="1531" w:bottom="1440" w:left="1531" w:header="850" w:footer="851" w:gutter="0"/>
          <w:pgBorders>
            <w:top w:val="none" w:sz="0" w:space="0"/>
            <w:left w:val="none" w:sz="0" w:space="0"/>
            <w:bottom w:val="none" w:sz="0" w:space="0"/>
            <w:right w:val="none" w:sz="0" w:space="0"/>
          </w:pgBorders>
          <w:pgNumType w:fmt="decimal"/>
          <w:cols w:space="720" w:num="1"/>
          <w:rtlGutter w:val="0"/>
          <w:docGrid w:linePitch="299" w:charSpace="0"/>
        </w:sectPr>
      </w:pPr>
      <w:r>
        <w:rPr>
          <w:rFonts w:hint="default" w:ascii="Times New Roman" w:hAnsi="Times New Roman" w:cs="Times New Roman"/>
          <w:color w:val="auto"/>
        </w:rPr>
        <w:t>技改内容：新增和改造部分污水处理池，将现有工艺为A</w:t>
      </w:r>
      <w:r>
        <w:rPr>
          <w:rFonts w:hint="default" w:ascii="Times New Roman" w:hAnsi="Times New Roman" w:cs="Times New Roman"/>
          <w:color w:val="auto"/>
          <w:vertAlign w:val="superscript"/>
        </w:rPr>
        <w:t>2</w:t>
      </w:r>
      <w:r>
        <w:rPr>
          <w:rFonts w:hint="default" w:ascii="Times New Roman" w:hAnsi="Times New Roman" w:cs="Times New Roman"/>
          <w:color w:val="auto"/>
        </w:rPr>
        <w:t>/O污水处理工艺改为“粗格栅—调节池—细格栅—混凝沉淀池—气浮—水解酸化池—厌氧+二级AO反应池—二沉池—深度絮凝沉淀过滤设备—消毒”的组合处理工艺，出水水质执行《城镇污水处理厂污染物排放标准》（GB 18918-2002）一级A标。项目名称：</w:t>
      </w:r>
      <w:r>
        <w:rPr>
          <w:rFonts w:hint="default" w:ascii="Times New Roman" w:hAnsi="Times New Roman" w:cs="Times New Roman"/>
          <w:color w:val="auto"/>
          <w:lang w:eastAsia="zh-CN"/>
        </w:rPr>
        <w:t>荣昌荣隆工业园污水处理厂提标及工艺技改工程项目。</w:t>
      </w:r>
      <w:r>
        <w:rPr>
          <w:rFonts w:hint="default" w:ascii="Times New Roman" w:hAnsi="Times New Roman" w:cs="Times New Roman"/>
          <w:color w:val="auto"/>
          <w:spacing w:val="0"/>
          <w:w w:val="100"/>
        </w:rPr>
        <w:t>根据对实际建设内容及规模的调查，实际建设内容及规模与</w:t>
      </w:r>
      <w:r>
        <w:rPr>
          <w:rFonts w:hint="default" w:ascii="Times New Roman" w:hAnsi="Times New Roman" w:cs="Times New Roman"/>
          <w:color w:val="auto"/>
          <w:spacing w:val="0"/>
          <w:w w:val="100"/>
          <w:lang w:eastAsia="zh-CN"/>
        </w:rPr>
        <w:t>提标改造设计</w:t>
      </w:r>
      <w:r>
        <w:rPr>
          <w:rFonts w:hint="default" w:ascii="Times New Roman" w:hAnsi="Times New Roman" w:cs="Times New Roman"/>
          <w:color w:val="auto"/>
          <w:spacing w:val="0"/>
          <w:w w:val="100"/>
        </w:rPr>
        <w:t>提出的建设内容及规模进行对比详见表3.2-1。</w:t>
      </w:r>
    </w:p>
    <w:p>
      <w:pPr>
        <w:pStyle w:val="87"/>
        <w:bidi w:val="0"/>
        <w:jc w:val="center"/>
        <w:rPr>
          <w:rFonts w:hint="default" w:ascii="Times New Roman" w:hAnsi="Times New Roman" w:cs="Times New Roman"/>
          <w:b/>
          <w:bCs/>
          <w:color w:val="auto"/>
        </w:rPr>
      </w:pPr>
      <w:r>
        <w:rPr>
          <w:rFonts w:hint="default" w:ascii="Times New Roman" w:hAnsi="Times New Roman" w:cs="Times New Roman"/>
          <w:b/>
          <w:bCs/>
          <w:color w:val="auto"/>
          <w:highlight w:val="none"/>
          <w:lang w:eastAsia="zh-CN"/>
        </w:rPr>
        <w:t>表</w:t>
      </w:r>
      <w:r>
        <w:rPr>
          <w:rFonts w:hint="default" w:ascii="Times New Roman" w:hAnsi="Times New Roman" w:cs="Times New Roman"/>
          <w:b/>
          <w:bCs/>
          <w:color w:val="auto"/>
          <w:highlight w:val="none"/>
          <w:lang w:val="en-US" w:eastAsia="zh-CN"/>
        </w:rPr>
        <w:t>3.2-1</w:t>
      </w:r>
      <w:r>
        <w:rPr>
          <w:rFonts w:hint="default" w:ascii="Times New Roman" w:hAnsi="Times New Roman" w:cs="Times New Roman"/>
          <w:b/>
          <w:bCs/>
          <w:color w:val="auto"/>
          <w:highlight w:val="none"/>
          <w:lang w:eastAsia="zh-CN"/>
        </w:rPr>
        <w:t>提标改造设计</w:t>
      </w:r>
      <w:r>
        <w:rPr>
          <w:rFonts w:hint="default" w:ascii="Times New Roman" w:hAnsi="Times New Roman" w:cs="Times New Roman"/>
          <w:b/>
          <w:bCs/>
          <w:color w:val="auto"/>
          <w:highlight w:val="none"/>
        </w:rPr>
        <w:t>提出的建设内容与实际建设内</w:t>
      </w:r>
      <w:r>
        <w:rPr>
          <w:rFonts w:hint="default" w:ascii="Times New Roman" w:hAnsi="Times New Roman" w:cs="Times New Roman"/>
          <w:b/>
          <w:bCs/>
          <w:color w:val="auto"/>
        </w:rPr>
        <w:t>容及规模对比一览表</w:t>
      </w:r>
    </w:p>
    <w:tbl>
      <w:tblPr>
        <w:tblStyle w:val="34"/>
        <w:tblpPr w:leftFromText="180" w:rightFromText="180" w:vertAnchor="text"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680"/>
        <w:gridCol w:w="1363"/>
        <w:gridCol w:w="684"/>
        <w:gridCol w:w="521"/>
        <w:gridCol w:w="566"/>
        <w:gridCol w:w="4115"/>
        <w:gridCol w:w="3913"/>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Merge w:val="restart"/>
            <w:vAlign w:val="center"/>
          </w:tcPr>
          <w:p>
            <w:pPr>
              <w:pStyle w:val="149"/>
              <w:widowControl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3152" w:type="pct"/>
            <w:gridSpan w:val="6"/>
            <w:vAlign w:val="center"/>
          </w:tcPr>
          <w:p>
            <w:pPr>
              <w:pStyle w:val="149"/>
              <w:widowControl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提标改造设计阶段建设内容</w:t>
            </w:r>
          </w:p>
        </w:tc>
        <w:tc>
          <w:tcPr>
            <w:tcW w:w="1381" w:type="pct"/>
            <w:vMerge w:val="restart"/>
            <w:vAlign w:val="center"/>
          </w:tcPr>
          <w:p>
            <w:pPr>
              <w:widowControl/>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实际建设内容</w:t>
            </w:r>
          </w:p>
        </w:tc>
        <w:tc>
          <w:tcPr>
            <w:tcW w:w="316" w:type="pct"/>
            <w:vMerge w:val="restart"/>
            <w:vAlign w:val="center"/>
          </w:tcPr>
          <w:p>
            <w:pPr>
              <w:widowControl/>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变化情况及原因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0" w:type="pct"/>
            <w:vMerge w:val="continue"/>
            <w:vAlign w:val="center"/>
          </w:tcPr>
          <w:p>
            <w:pPr>
              <w:pStyle w:val="149"/>
              <w:widowControl w:val="0"/>
              <w:numPr>
                <w:ilvl w:val="0"/>
                <w:numId w:val="0"/>
              </w:numPr>
              <w:ind w:leftChars="0"/>
              <w:jc w:val="both"/>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4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尺寸</w:t>
            </w:r>
          </w:p>
        </w:tc>
        <w:tc>
          <w:tcPr>
            <w:tcW w:w="24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单位</w:t>
            </w:r>
          </w:p>
        </w:tc>
        <w:tc>
          <w:tcPr>
            <w:tcW w:w="183"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数量</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c>
          <w:tcPr>
            <w:tcW w:w="1452"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主要设计内容</w:t>
            </w:r>
          </w:p>
        </w:tc>
        <w:tc>
          <w:tcPr>
            <w:tcW w:w="1381" w:type="pct"/>
            <w:vMerge w:val="continue"/>
            <w:vAlign w:val="center"/>
          </w:tcPr>
          <w:p>
            <w:pPr>
              <w:pStyle w:val="149"/>
              <w:widowControl w:val="0"/>
              <w:jc w:val="center"/>
              <w:rPr>
                <w:rFonts w:hint="default" w:ascii="Times New Roman" w:hAnsi="Times New Roman" w:eastAsia="宋体" w:cs="Times New Roman"/>
                <w:color w:val="auto"/>
                <w:sz w:val="21"/>
                <w:szCs w:val="21"/>
              </w:rPr>
            </w:pPr>
          </w:p>
        </w:tc>
        <w:tc>
          <w:tcPr>
            <w:tcW w:w="316" w:type="pct"/>
            <w:vMerge w:val="continue"/>
            <w:vAlign w:val="center"/>
          </w:tcPr>
          <w:p>
            <w:pPr>
              <w:pStyle w:val="149"/>
              <w:widowControl w:val="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粗格栅、调节池及提升泵池</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L×B×H=24.5*20*11.2m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利旧</w:t>
            </w:r>
          </w:p>
        </w:tc>
        <w:tc>
          <w:tcPr>
            <w:tcW w:w="1452"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新增TN、TP在线监测设备；增加事故池提升泵；提升泵新增变频器</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新增TN、TP在线监测设备；增加事故池提升泵；提升泵新增变频器</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事故池</w:t>
            </w:r>
          </w:p>
        </w:tc>
        <w:tc>
          <w:tcPr>
            <w:tcW w:w="481"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32</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20.0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6.5m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pacing w:val="-2"/>
                <w:sz w:val="21"/>
                <w:szCs w:val="21"/>
              </w:rPr>
              <w:t>总尺寸为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32</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20.0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6.5m</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有效容积3840m</w:t>
            </w:r>
            <w:r>
              <w:rPr>
                <w:rFonts w:hint="default" w:ascii="Times New Roman" w:hAnsi="Times New Roman" w:eastAsia="宋体" w:cs="Times New Roman"/>
                <w:color w:val="auto"/>
                <w:sz w:val="21"/>
                <w:szCs w:val="21"/>
                <w:vertAlign w:val="superscript"/>
              </w:rPr>
              <w:t>3</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pacing w:val="-2"/>
                <w:sz w:val="21"/>
                <w:szCs w:val="21"/>
              </w:rPr>
              <w:t>总尺寸为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32</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20.0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6.5m</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有效容积3840m</w:t>
            </w:r>
            <w:r>
              <w:rPr>
                <w:rFonts w:hint="default" w:ascii="Times New Roman" w:hAnsi="Times New Roman" w:eastAsia="宋体" w:cs="Times New Roman"/>
                <w:color w:val="auto"/>
                <w:sz w:val="21"/>
                <w:szCs w:val="21"/>
                <w:vertAlign w:val="superscript"/>
              </w:rPr>
              <w:t>3</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中间泵池</w:t>
            </w:r>
          </w:p>
        </w:tc>
        <w:tc>
          <w:tcPr>
            <w:tcW w:w="481"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3.0</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6.0m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w:t>
            </w:r>
          </w:p>
        </w:tc>
        <w:tc>
          <w:tcPr>
            <w:tcW w:w="200"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pacing w:val="-2"/>
                <w:sz w:val="21"/>
                <w:szCs w:val="21"/>
              </w:rPr>
              <w:t>总尺寸为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13.0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6.0m</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内含提升泵、潜水搅拌机等</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pacing w:val="-2"/>
                <w:sz w:val="21"/>
                <w:szCs w:val="21"/>
              </w:rPr>
              <w:t>总尺寸为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13.0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6.0m</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内含提升泵、潜水搅拌机等</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浮渣收集池</w:t>
            </w:r>
          </w:p>
        </w:tc>
        <w:tc>
          <w:tcPr>
            <w:tcW w:w="481"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3.0</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6.0m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pacing w:val="-2"/>
                <w:sz w:val="21"/>
                <w:szCs w:val="21"/>
              </w:rPr>
              <w:t>总尺寸为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3.0</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6.0m</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en-US" w:eastAsia="zh-CN"/>
              </w:rPr>
              <w:t>外置气动隔膜泵及曝气系统</w:t>
            </w:r>
          </w:p>
        </w:tc>
        <w:tc>
          <w:tcPr>
            <w:tcW w:w="1381" w:type="pct"/>
            <w:vAlign w:val="center"/>
          </w:tcPr>
          <w:p>
            <w:pPr>
              <w:pStyle w:val="149"/>
              <w:widowControl w:val="0"/>
              <w:jc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pacing w:val="-2"/>
                <w:sz w:val="21"/>
                <w:szCs w:val="21"/>
              </w:rPr>
              <w:t>总尺寸为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en-US" w:eastAsia="zh-CN"/>
              </w:rPr>
              <w:t>4.5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lang w:val="zh-CN"/>
              </w:rPr>
              <w:t>.0m，</w:t>
            </w:r>
            <w:r>
              <w:rPr>
                <w:rFonts w:hint="default" w:ascii="Times New Roman" w:hAnsi="Times New Roman" w:eastAsia="宋体" w:cs="Times New Roman"/>
                <w:color w:val="auto"/>
                <w:kern w:val="0"/>
                <w:sz w:val="21"/>
                <w:szCs w:val="21"/>
                <w:lang w:val="en-US" w:eastAsia="zh-CN"/>
              </w:rPr>
              <w:t>外置气动隔膜泵及曝气系统</w:t>
            </w:r>
          </w:p>
        </w:tc>
        <w:tc>
          <w:tcPr>
            <w:tcW w:w="316" w:type="pct"/>
            <w:vAlign w:val="center"/>
          </w:tcPr>
          <w:p>
            <w:pPr>
              <w:pStyle w:val="149"/>
              <w:widowControl w:val="0"/>
              <w:jc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尺寸变化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絮凝</w:t>
            </w:r>
            <w:r>
              <w:rPr>
                <w:rFonts w:hint="default" w:ascii="Times New Roman" w:hAnsi="Times New Roman" w:eastAsia="宋体" w:cs="Times New Roman"/>
                <w:color w:val="auto"/>
                <w:sz w:val="21"/>
                <w:szCs w:val="21"/>
              </w:rPr>
              <w:t>池</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L×B×H=4.5*4.5*5m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2</w:t>
            </w:r>
          </w:p>
        </w:tc>
        <w:tc>
          <w:tcPr>
            <w:tcW w:w="200"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z w:val="21"/>
                <w:szCs w:val="21"/>
                <w:lang w:val="en-US" w:eastAsia="zh-CN"/>
              </w:rPr>
              <w:t>絮凝</w:t>
            </w:r>
            <w:r>
              <w:rPr>
                <w:rFonts w:hint="default" w:ascii="Times New Roman" w:hAnsi="Times New Roman" w:eastAsia="宋体" w:cs="Times New Roman"/>
                <w:color w:val="auto"/>
                <w:sz w:val="21"/>
                <w:szCs w:val="21"/>
              </w:rPr>
              <w:t>池，分2格，</w:t>
            </w:r>
            <w:r>
              <w:rPr>
                <w:rFonts w:hint="default" w:ascii="Times New Roman" w:hAnsi="Times New Roman" w:eastAsia="宋体" w:cs="Times New Roman"/>
                <w:color w:val="auto"/>
                <w:spacing w:val="-2"/>
                <w:sz w:val="21"/>
                <w:szCs w:val="21"/>
              </w:rPr>
              <w:t>单格尺寸为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5.0m</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内含框式絮凝搅拌机</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1座</w:t>
            </w:r>
            <w:r>
              <w:rPr>
                <w:rFonts w:hint="default" w:ascii="Times New Roman" w:hAnsi="Times New Roman" w:eastAsia="宋体" w:cs="Times New Roman"/>
                <w:color w:val="auto"/>
                <w:sz w:val="21"/>
                <w:szCs w:val="21"/>
                <w:lang w:val="en-US" w:eastAsia="zh-CN"/>
              </w:rPr>
              <w:t>絮凝</w:t>
            </w:r>
            <w:r>
              <w:rPr>
                <w:rFonts w:hint="default" w:ascii="Times New Roman" w:hAnsi="Times New Roman" w:eastAsia="宋体" w:cs="Times New Roman"/>
                <w:color w:val="auto"/>
                <w:sz w:val="21"/>
                <w:szCs w:val="21"/>
              </w:rPr>
              <w:t>池，分2格，</w:t>
            </w:r>
            <w:r>
              <w:rPr>
                <w:rFonts w:hint="default" w:ascii="Times New Roman" w:hAnsi="Times New Roman" w:eastAsia="宋体" w:cs="Times New Roman"/>
                <w:color w:val="auto"/>
                <w:spacing w:val="-2"/>
                <w:sz w:val="21"/>
                <w:szCs w:val="21"/>
              </w:rPr>
              <w:t>单格尺寸为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4.5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5.0m</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内含框式絮凝搅拌机</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混凝池</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L×B×H=</w:t>
            </w: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 xml:space="preserve"> *</w:t>
            </w:r>
            <w:r>
              <w:rPr>
                <w:rFonts w:hint="default" w:ascii="Times New Roman" w:hAnsi="Times New Roman" w:eastAsia="宋体" w:cs="Times New Roman"/>
                <w:color w:val="auto"/>
                <w:kern w:val="0"/>
                <w:sz w:val="21"/>
                <w:szCs w:val="21"/>
                <w:highlight w:val="none"/>
                <w:lang w:val="en-US" w:eastAsia="zh-CN"/>
              </w:rPr>
              <w:t>3.0</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zh-CN"/>
              </w:rPr>
              <w:t>5.0m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w:t>
            </w:r>
          </w:p>
        </w:tc>
        <w:tc>
          <w:tcPr>
            <w:tcW w:w="200"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pacing w:val="-2"/>
                <w:sz w:val="21"/>
                <w:szCs w:val="21"/>
                <w:highlight w:val="yellow"/>
                <w:lang w:val="en-US" w:eastAsia="zh-CN"/>
              </w:rPr>
            </w:pPr>
            <w:r>
              <w:rPr>
                <w:rFonts w:hint="default" w:ascii="Times New Roman" w:hAnsi="Times New Roman" w:eastAsia="宋体" w:cs="Times New Roman"/>
                <w:color w:val="auto"/>
                <w:spacing w:val="-2"/>
                <w:sz w:val="21"/>
                <w:szCs w:val="21"/>
                <w:highlight w:val="none"/>
                <w:lang w:val="en-US" w:eastAsia="zh-CN"/>
              </w:rPr>
              <w:t>新增2座混凝池，</w:t>
            </w:r>
            <w:r>
              <w:rPr>
                <w:rFonts w:hint="default" w:ascii="Times New Roman" w:hAnsi="Times New Roman" w:eastAsia="宋体" w:cs="Times New Roman"/>
                <w:color w:val="auto"/>
                <w:spacing w:val="-2"/>
                <w:sz w:val="21"/>
                <w:szCs w:val="21"/>
                <w:highlight w:val="none"/>
              </w:rPr>
              <w:t>尺寸为</w:t>
            </w:r>
            <w:r>
              <w:rPr>
                <w:rFonts w:hint="default" w:ascii="Times New Roman" w:hAnsi="Times New Roman" w:eastAsia="宋体" w:cs="Times New Roman"/>
                <w:color w:val="auto"/>
                <w:kern w:val="0"/>
                <w:sz w:val="21"/>
                <w:szCs w:val="21"/>
                <w:highlight w:val="none"/>
              </w:rPr>
              <w:t>L×B×H=</w:t>
            </w: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 xml:space="preserve"> *</w:t>
            </w:r>
            <w:r>
              <w:rPr>
                <w:rFonts w:hint="default" w:ascii="Times New Roman" w:hAnsi="Times New Roman" w:eastAsia="宋体" w:cs="Times New Roman"/>
                <w:color w:val="auto"/>
                <w:kern w:val="0"/>
                <w:sz w:val="21"/>
                <w:szCs w:val="21"/>
                <w:highlight w:val="none"/>
                <w:lang w:val="en-US" w:eastAsia="zh-CN"/>
              </w:rPr>
              <w:t>3.0</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zh-CN"/>
              </w:rPr>
              <w:t>5.0m</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spacing w:val="-2"/>
                <w:kern w:val="2"/>
                <w:sz w:val="21"/>
                <w:szCs w:val="21"/>
                <w:highlight w:val="yellow"/>
                <w:lang w:val="en-US" w:eastAsia="zh-CN" w:bidi="ar-SA"/>
              </w:rPr>
            </w:pPr>
            <w:r>
              <w:rPr>
                <w:rFonts w:hint="default" w:ascii="Times New Roman" w:hAnsi="Times New Roman" w:eastAsia="宋体" w:cs="Times New Roman"/>
                <w:color w:val="auto"/>
                <w:spacing w:val="-2"/>
                <w:sz w:val="21"/>
                <w:szCs w:val="21"/>
                <w:highlight w:val="none"/>
                <w:lang w:val="en-US" w:eastAsia="zh-CN"/>
              </w:rPr>
              <w:t>新增2座混凝池，</w:t>
            </w:r>
            <w:r>
              <w:rPr>
                <w:rFonts w:hint="default" w:ascii="Times New Roman" w:hAnsi="Times New Roman" w:eastAsia="宋体" w:cs="Times New Roman"/>
                <w:color w:val="auto"/>
                <w:spacing w:val="-2"/>
                <w:sz w:val="21"/>
                <w:szCs w:val="21"/>
                <w:highlight w:val="none"/>
              </w:rPr>
              <w:t>尺寸为</w:t>
            </w:r>
            <w:r>
              <w:rPr>
                <w:rFonts w:hint="default" w:ascii="Times New Roman" w:hAnsi="Times New Roman" w:eastAsia="宋体" w:cs="Times New Roman"/>
                <w:color w:val="auto"/>
                <w:kern w:val="0"/>
                <w:sz w:val="21"/>
                <w:szCs w:val="21"/>
                <w:highlight w:val="none"/>
              </w:rPr>
              <w:t>L×B×H=</w:t>
            </w:r>
            <w:r>
              <w:rPr>
                <w:rFonts w:hint="default" w:ascii="Times New Roman" w:hAnsi="Times New Roman" w:eastAsia="宋体" w:cs="Times New Roman"/>
                <w:color w:val="auto"/>
                <w:kern w:val="0"/>
                <w:sz w:val="21"/>
                <w:szCs w:val="21"/>
                <w:highlight w:val="none"/>
                <w:lang w:val="en-US" w:eastAsia="zh-CN"/>
              </w:rPr>
              <w:t>1.0</w:t>
            </w:r>
            <w:r>
              <w:rPr>
                <w:rFonts w:hint="default" w:ascii="Times New Roman" w:hAnsi="Times New Roman" w:eastAsia="宋体" w:cs="Times New Roman"/>
                <w:color w:val="auto"/>
                <w:kern w:val="0"/>
                <w:sz w:val="21"/>
                <w:szCs w:val="21"/>
                <w:highlight w:val="none"/>
              </w:rPr>
              <w:t xml:space="preserve"> *</w:t>
            </w:r>
            <w:r>
              <w:rPr>
                <w:rFonts w:hint="default" w:ascii="Times New Roman" w:hAnsi="Times New Roman" w:eastAsia="宋体" w:cs="Times New Roman"/>
                <w:color w:val="auto"/>
                <w:kern w:val="0"/>
                <w:sz w:val="21"/>
                <w:szCs w:val="21"/>
                <w:highlight w:val="none"/>
                <w:lang w:val="en-US" w:eastAsia="zh-CN"/>
              </w:rPr>
              <w:t>3.0</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zh-CN"/>
              </w:rPr>
              <w:t>5.0m</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沉淀池</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L×B×H=8*8*10m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w:t>
            </w:r>
          </w:p>
        </w:tc>
        <w:tc>
          <w:tcPr>
            <w:tcW w:w="200"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pacing w:val="-2"/>
                <w:sz w:val="21"/>
                <w:szCs w:val="21"/>
                <w:highlight w:val="yellow"/>
                <w:lang w:val="en-US" w:eastAsia="zh-CN"/>
              </w:rPr>
            </w:pPr>
            <w:r>
              <w:rPr>
                <w:rFonts w:hint="default" w:ascii="Times New Roman" w:hAnsi="Times New Roman" w:eastAsia="宋体" w:cs="Times New Roman"/>
                <w:color w:val="auto"/>
                <w:sz w:val="21"/>
                <w:szCs w:val="21"/>
              </w:rPr>
              <w:t>4座沉淀池，合建，</w:t>
            </w:r>
            <w:r>
              <w:rPr>
                <w:rFonts w:hint="default" w:ascii="Times New Roman" w:hAnsi="Times New Roman" w:eastAsia="宋体" w:cs="Times New Roman"/>
                <w:color w:val="auto"/>
                <w:spacing w:val="-2"/>
                <w:sz w:val="21"/>
                <w:szCs w:val="21"/>
              </w:rPr>
              <w:t>总尺寸为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8.0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8.0</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10.0m</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内含导流筒和出水堰板</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spacing w:val="-2"/>
                <w:sz w:val="21"/>
                <w:szCs w:val="21"/>
                <w:highlight w:val="yellow"/>
                <w:lang w:val="en-US" w:eastAsia="zh-CN"/>
              </w:rPr>
            </w:pPr>
            <w:r>
              <w:rPr>
                <w:rFonts w:hint="default" w:ascii="Times New Roman" w:hAnsi="Times New Roman" w:eastAsia="宋体" w:cs="Times New Roman"/>
                <w:color w:val="auto"/>
                <w:sz w:val="21"/>
                <w:szCs w:val="21"/>
              </w:rPr>
              <w:t>4座沉淀池，合建，</w:t>
            </w:r>
            <w:r>
              <w:rPr>
                <w:rFonts w:hint="default" w:ascii="Times New Roman" w:hAnsi="Times New Roman" w:eastAsia="宋体" w:cs="Times New Roman"/>
                <w:color w:val="auto"/>
                <w:spacing w:val="-2"/>
                <w:sz w:val="21"/>
                <w:szCs w:val="21"/>
              </w:rPr>
              <w:t>总尺寸为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8.0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8.0</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10.0m</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内含导流筒和出水堰板</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lang w:val="en-US" w:eastAsia="zh-CN"/>
              </w:rPr>
              <w:t>气浮设备平台（二层）</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L×B=19.5*17.5m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外购气浮一体化设备，共2套，单套规模90m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/h，和现有设备并联运行</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新增</w:t>
            </w:r>
            <w:r>
              <w:rPr>
                <w:rFonts w:hint="default" w:ascii="Times New Roman" w:hAnsi="Times New Roman" w:eastAsia="宋体" w:cs="Times New Roman"/>
                <w:color w:val="auto"/>
                <w:sz w:val="21"/>
                <w:szCs w:val="21"/>
              </w:rPr>
              <w:t>外购气浮一体化设备，共2套，单套规模90m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/h，和现有设备并联运行</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水解酸化池</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L×B×H=12*8*7.2m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2"/>
                <w:sz w:val="21"/>
                <w:szCs w:val="21"/>
              </w:rPr>
              <w:t>新增：1座</w:t>
            </w:r>
            <w:r>
              <w:rPr>
                <w:rFonts w:hint="default" w:ascii="Times New Roman" w:hAnsi="Times New Roman" w:eastAsia="宋体" w:cs="Times New Roman"/>
                <w:color w:val="auto"/>
                <w:sz w:val="21"/>
                <w:szCs w:val="21"/>
              </w:rPr>
              <w:t>水解酸化池</w:t>
            </w:r>
            <w:r>
              <w:rPr>
                <w:rFonts w:hint="default" w:ascii="Times New Roman" w:hAnsi="Times New Roman" w:eastAsia="宋体" w:cs="Times New Roman"/>
                <w:color w:val="auto"/>
                <w:spacing w:val="-2"/>
                <w:sz w:val="21"/>
                <w:szCs w:val="21"/>
              </w:rPr>
              <w:t>，总尺寸</w:t>
            </w:r>
            <w:r>
              <w:rPr>
                <w:rFonts w:hint="default" w:ascii="Times New Roman" w:hAnsi="Times New Roman" w:eastAsia="宋体" w:cs="Times New Roman"/>
                <w:color w:val="auto"/>
                <w:kern w:val="0"/>
                <w:sz w:val="21"/>
                <w:szCs w:val="21"/>
              </w:rPr>
              <w:t>L×B×H=12*8*7.2m</w:t>
            </w:r>
          </w:p>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改造：对现有水解酸化池布水方式进行改造</w:t>
            </w:r>
          </w:p>
        </w:tc>
        <w:tc>
          <w:tcPr>
            <w:tcW w:w="1381"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新增2座水解酸化池</w:t>
            </w:r>
          </w:p>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总尺寸</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en-US" w:eastAsia="zh-CN"/>
              </w:rPr>
              <w:t>16</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12</w:t>
            </w:r>
            <w:r>
              <w:rPr>
                <w:rFonts w:hint="default" w:ascii="Times New Roman" w:hAnsi="Times New Roman" w:eastAsia="宋体" w:cs="Times New Roman"/>
                <w:color w:val="auto"/>
                <w:kern w:val="0"/>
                <w:sz w:val="21"/>
                <w:szCs w:val="21"/>
              </w:rPr>
              <w:t>*7.2m</w:t>
            </w:r>
          </w:p>
        </w:tc>
        <w:tc>
          <w:tcPr>
            <w:tcW w:w="316"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新增2座，尺寸变化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生化池</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L×B×H=48*15.6*6.4m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2</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利旧</w:t>
            </w:r>
          </w:p>
        </w:tc>
        <w:tc>
          <w:tcPr>
            <w:tcW w:w="1452" w:type="pct"/>
            <w:vAlign w:val="center"/>
          </w:tcPr>
          <w:p>
            <w:pPr>
              <w:pStyle w:val="149"/>
              <w:widowControl w:val="0"/>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将现有2座</w:t>
            </w:r>
            <w:r>
              <w:rPr>
                <w:rFonts w:hint="default" w:ascii="Times New Roman" w:hAnsi="Times New Roman" w:eastAsia="宋体" w:cs="Times New Roman"/>
                <w:color w:val="auto"/>
                <w:sz w:val="21"/>
                <w:szCs w:val="21"/>
              </w:rPr>
              <w:t xml:space="preserve"> A</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O生物池改造为厌氧+二级AO反应池，更新设备</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sz w:val="21"/>
                <w:szCs w:val="21"/>
              </w:rPr>
              <w:t>将现有2座</w:t>
            </w:r>
            <w:r>
              <w:rPr>
                <w:rFonts w:hint="default" w:ascii="Times New Roman" w:hAnsi="Times New Roman" w:eastAsia="宋体" w:cs="Times New Roman"/>
                <w:color w:val="auto"/>
                <w:sz w:val="21"/>
                <w:szCs w:val="21"/>
              </w:rPr>
              <w:t xml:space="preserve"> A</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O生物池改造为厌氧+二级AO反应池，更新设备</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 w:type="pct"/>
            <w:vAlign w:val="center"/>
          </w:tcPr>
          <w:p>
            <w:pPr>
              <w:pStyle w:val="149"/>
              <w:widowControl w:val="0"/>
              <w:numPr>
                <w:ilvl w:val="0"/>
                <w:numId w:val="2"/>
              </w:numPr>
              <w:ind w:left="425" w:leftChars="0" w:hanging="425" w:firstLineChars="0"/>
              <w:jc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深度处理组合区（中间水池和集泥池）</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L×B×H=5.8*5*5m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新增，包含1座中间水池（尺寸</w:t>
            </w:r>
            <w:r>
              <w:rPr>
                <w:rFonts w:hint="default" w:ascii="Times New Roman" w:hAnsi="Times New Roman" w:eastAsia="宋体" w:cs="Times New Roman"/>
                <w:color w:val="auto"/>
                <w:spacing w:val="-2"/>
                <w:sz w:val="21"/>
                <w:szCs w:val="21"/>
              </w:rPr>
              <w:t>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5.0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3.5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5.0m</w:t>
            </w:r>
            <w:r>
              <w:rPr>
                <w:rFonts w:hint="default" w:ascii="Times New Roman" w:hAnsi="Times New Roman" w:eastAsia="宋体" w:cs="Times New Roman"/>
                <w:color w:val="auto"/>
                <w:sz w:val="21"/>
                <w:szCs w:val="21"/>
              </w:rPr>
              <w:t>）和1座集泥池（尺寸</w:t>
            </w:r>
            <w:r>
              <w:rPr>
                <w:rFonts w:hint="default" w:ascii="Times New Roman" w:hAnsi="Times New Roman" w:eastAsia="宋体" w:cs="Times New Roman"/>
                <w:color w:val="auto"/>
                <w:spacing w:val="-2"/>
                <w:sz w:val="21"/>
                <w:szCs w:val="21"/>
              </w:rPr>
              <w:t>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5.0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2.2</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5.0m</w:t>
            </w:r>
            <w:r>
              <w:rPr>
                <w:rFonts w:hint="default" w:ascii="Times New Roman" w:hAnsi="Times New Roman" w:eastAsia="宋体" w:cs="Times New Roman"/>
                <w:color w:val="auto"/>
                <w:sz w:val="21"/>
                <w:szCs w:val="21"/>
              </w:rPr>
              <w:t>），设置组合式高效反应澄清过滤机、提升泵等</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新增，包含1座中间水池（尺寸</w:t>
            </w:r>
            <w:r>
              <w:rPr>
                <w:rFonts w:hint="default" w:ascii="Times New Roman" w:hAnsi="Times New Roman" w:eastAsia="宋体" w:cs="Times New Roman"/>
                <w:color w:val="auto"/>
                <w:spacing w:val="-2"/>
                <w:sz w:val="21"/>
                <w:szCs w:val="21"/>
              </w:rPr>
              <w:t>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5.0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3.5</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5.0m</w:t>
            </w:r>
            <w:r>
              <w:rPr>
                <w:rFonts w:hint="default" w:ascii="Times New Roman" w:hAnsi="Times New Roman" w:eastAsia="宋体" w:cs="Times New Roman"/>
                <w:color w:val="auto"/>
                <w:sz w:val="21"/>
                <w:szCs w:val="21"/>
              </w:rPr>
              <w:t>）和1座集泥池（尺寸</w:t>
            </w:r>
            <w:r>
              <w:rPr>
                <w:rFonts w:hint="default" w:ascii="Times New Roman" w:hAnsi="Times New Roman" w:eastAsia="宋体" w:cs="Times New Roman"/>
                <w:color w:val="auto"/>
                <w:spacing w:val="-2"/>
                <w:sz w:val="21"/>
                <w:szCs w:val="21"/>
              </w:rPr>
              <w:t>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zh-CN"/>
              </w:rPr>
              <w:t>5.0</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kern w:val="0"/>
                <w:sz w:val="21"/>
                <w:szCs w:val="21"/>
                <w:lang w:val="zh-CN"/>
              </w:rPr>
              <w:t>2.2</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zh-CN"/>
              </w:rPr>
              <w:t>5.0m</w:t>
            </w:r>
            <w:r>
              <w:rPr>
                <w:rFonts w:hint="default" w:ascii="Times New Roman" w:hAnsi="Times New Roman" w:eastAsia="宋体" w:cs="Times New Roman"/>
                <w:color w:val="auto"/>
                <w:sz w:val="21"/>
                <w:szCs w:val="21"/>
              </w:rPr>
              <w:t>），设置组合式高效反应澄清过滤机、提升泵等</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Align w:val="center"/>
          </w:tcPr>
          <w:p>
            <w:pPr>
              <w:widowControl w:val="0"/>
              <w:numPr>
                <w:ilvl w:val="0"/>
                <w:numId w:val="2"/>
              </w:numPr>
              <w:ind w:left="425" w:leftChars="0" w:hanging="425" w:firstLineChars="0"/>
              <w:jc w:val="center"/>
              <w:textAlignment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加药设备房</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L×B×H=17.5*7*3.3m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1</w:t>
            </w:r>
          </w:p>
        </w:tc>
        <w:tc>
          <w:tcPr>
            <w:tcW w:w="200"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1座，建筑面积为122.5m</w:t>
            </w:r>
            <w:r>
              <w:rPr>
                <w:rFonts w:hint="default" w:ascii="Times New Roman" w:hAnsi="Times New Roman" w:eastAsia="宋体" w:cs="Times New Roman"/>
                <w:color w:val="auto"/>
                <w:sz w:val="21"/>
                <w:szCs w:val="21"/>
                <w:vertAlign w:val="superscript"/>
              </w:rPr>
              <w:t>2</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1座，建筑面积为122.5m</w:t>
            </w:r>
            <w:r>
              <w:rPr>
                <w:rFonts w:hint="default" w:ascii="Times New Roman" w:hAnsi="Times New Roman" w:eastAsia="宋体" w:cs="Times New Roman"/>
                <w:color w:val="auto"/>
                <w:sz w:val="21"/>
                <w:szCs w:val="21"/>
                <w:vertAlign w:val="superscript"/>
              </w:rPr>
              <w:t>2</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Align w:val="center"/>
          </w:tcPr>
          <w:p>
            <w:pPr>
              <w:widowControl w:val="0"/>
              <w:numPr>
                <w:ilvl w:val="0"/>
                <w:numId w:val="2"/>
              </w:numPr>
              <w:ind w:left="425" w:leftChars="0" w:hanging="425" w:firstLineChars="0"/>
              <w:jc w:val="center"/>
              <w:textAlignment w:val="center"/>
              <w:rPr>
                <w:rFonts w:hint="default" w:ascii="Times New Roman" w:hAnsi="Times New Roman" w:eastAsia="宋体" w:cs="Times New Roman"/>
                <w:color w:val="auto"/>
                <w:sz w:val="21"/>
                <w:szCs w:val="21"/>
              </w:rPr>
            </w:pPr>
          </w:p>
        </w:tc>
        <w:tc>
          <w:tcPr>
            <w:tcW w:w="593" w:type="pct"/>
            <w:vAlign w:val="center"/>
          </w:tcPr>
          <w:p>
            <w:pPr>
              <w:widowControl/>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深度絮凝沉淀过滤设备</w:t>
            </w:r>
          </w:p>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基础</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L×B×H=6*6*0.4m</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座</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200" w:type="pct"/>
            <w:vAlign w:val="center"/>
          </w:tcPr>
          <w:p>
            <w:pPr>
              <w:pStyle w:val="149"/>
              <w:widowControl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c>
          <w:tcPr>
            <w:tcW w:w="1452"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新增，尺寸为</w:t>
            </w:r>
            <w:r>
              <w:rPr>
                <w:rFonts w:hint="default" w:ascii="Times New Roman" w:hAnsi="Times New Roman" w:eastAsia="宋体" w:cs="Times New Roman"/>
                <w:color w:val="auto"/>
                <w:kern w:val="0"/>
                <w:sz w:val="21"/>
                <w:szCs w:val="21"/>
              </w:rPr>
              <w:t>L×B×H=6*6*0.4m</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新增，尺寸为</w:t>
            </w:r>
            <w:r>
              <w:rPr>
                <w:rFonts w:hint="default" w:ascii="Times New Roman" w:hAnsi="Times New Roman" w:eastAsia="宋体" w:cs="Times New Roman"/>
                <w:color w:val="auto"/>
                <w:kern w:val="0"/>
                <w:sz w:val="21"/>
                <w:szCs w:val="21"/>
              </w:rPr>
              <w:t>L×B×H=</w:t>
            </w:r>
            <w:r>
              <w:rPr>
                <w:rFonts w:hint="default" w:ascii="Times New Roman" w:hAnsi="Times New Roman" w:eastAsia="宋体" w:cs="Times New Roman"/>
                <w:color w:val="auto"/>
                <w:kern w:val="0"/>
                <w:sz w:val="21"/>
                <w:szCs w:val="21"/>
                <w:lang w:val="en-US" w:eastAsia="zh-CN"/>
              </w:rPr>
              <w:t>7</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7</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0.5</w:t>
            </w:r>
            <w:r>
              <w:rPr>
                <w:rFonts w:hint="default" w:ascii="Times New Roman" w:hAnsi="Times New Roman" w:eastAsia="宋体" w:cs="Times New Roman"/>
                <w:color w:val="auto"/>
                <w:kern w:val="0"/>
                <w:sz w:val="21"/>
                <w:szCs w:val="21"/>
              </w:rPr>
              <w:t>m</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尺寸变化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Align w:val="center"/>
          </w:tcPr>
          <w:p>
            <w:pPr>
              <w:widowControl w:val="0"/>
              <w:numPr>
                <w:ilvl w:val="0"/>
                <w:numId w:val="2"/>
              </w:numPr>
              <w:ind w:left="425" w:leftChars="0" w:hanging="425" w:firstLineChars="0"/>
              <w:jc w:val="center"/>
              <w:textAlignment w:val="center"/>
              <w:rPr>
                <w:rFonts w:hint="default" w:ascii="Times New Roman" w:hAnsi="Times New Roman" w:eastAsia="宋体" w:cs="Times New Roman"/>
                <w:color w:val="auto"/>
                <w:sz w:val="21"/>
                <w:szCs w:val="21"/>
              </w:rPr>
            </w:pPr>
          </w:p>
        </w:tc>
        <w:tc>
          <w:tcPr>
            <w:tcW w:w="593" w:type="pct"/>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脱泥房</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200" w:type="pct"/>
            <w:vAlign w:val="center"/>
          </w:tcPr>
          <w:p>
            <w:pPr>
              <w:pStyle w:val="149"/>
              <w:widowControl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52"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新增1间，脱泥房</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Align w:val="center"/>
          </w:tcPr>
          <w:p>
            <w:pPr>
              <w:widowControl w:val="0"/>
              <w:numPr>
                <w:ilvl w:val="0"/>
                <w:numId w:val="2"/>
              </w:numPr>
              <w:ind w:left="425" w:leftChars="0" w:hanging="425" w:firstLineChars="0"/>
              <w:jc w:val="center"/>
              <w:textAlignment w:val="center"/>
              <w:rPr>
                <w:rFonts w:hint="default" w:ascii="Times New Roman" w:hAnsi="Times New Roman" w:eastAsia="宋体" w:cs="Times New Roman"/>
                <w:color w:val="auto"/>
                <w:sz w:val="21"/>
                <w:szCs w:val="21"/>
              </w:rPr>
            </w:pPr>
          </w:p>
        </w:tc>
        <w:tc>
          <w:tcPr>
            <w:tcW w:w="593" w:type="pct"/>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储药间</w:t>
            </w:r>
          </w:p>
        </w:tc>
        <w:tc>
          <w:tcPr>
            <w:tcW w:w="481" w:type="pct"/>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241" w:type="pct"/>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183" w:type="pct"/>
            <w:vAlign w:val="center"/>
          </w:tcPr>
          <w:p>
            <w:pPr>
              <w:widowControl/>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200"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452"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新增1间，储药间</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Align w:val="center"/>
          </w:tcPr>
          <w:p>
            <w:pPr>
              <w:widowControl w:val="0"/>
              <w:numPr>
                <w:ilvl w:val="0"/>
                <w:numId w:val="2"/>
              </w:numPr>
              <w:ind w:left="425" w:leftChars="0" w:hanging="425" w:firstLineChars="0"/>
              <w:jc w:val="center"/>
              <w:textAlignment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废气措施</w:t>
            </w:r>
          </w:p>
        </w:tc>
        <w:tc>
          <w:tcPr>
            <w:tcW w:w="481"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41"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3"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52"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新增：预处理区（浮渣收集池、混凝沉淀池、气浮一体化设备和新增水解酸化池）和事故池均加盖密封，产生的臭气收集经“碱液洗涤+UV光催化氧化活性炭”除臭后通过15m的2#排气筒高空排放，处理风量15000m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现有：保持不变，依托</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新增1座15m的</w:t>
            </w:r>
            <w:r>
              <w:rPr>
                <w:rFonts w:hint="default" w:ascii="Times New Roman" w:hAnsi="Times New Roman" w:eastAsia="宋体" w:cs="Times New Roman"/>
                <w:color w:val="auto"/>
                <w:sz w:val="21"/>
                <w:szCs w:val="21"/>
              </w:rPr>
              <w:t>2#排气筒高空排放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处理风量为28000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风量变化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Align w:val="center"/>
          </w:tcPr>
          <w:p>
            <w:pPr>
              <w:widowControl w:val="0"/>
              <w:numPr>
                <w:ilvl w:val="0"/>
                <w:numId w:val="2"/>
              </w:numPr>
              <w:ind w:left="425" w:leftChars="0" w:hanging="425" w:firstLineChars="0"/>
              <w:jc w:val="center"/>
              <w:textAlignment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降噪设施</w:t>
            </w:r>
          </w:p>
        </w:tc>
        <w:tc>
          <w:tcPr>
            <w:tcW w:w="481"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41"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83"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0"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52" w:type="pct"/>
            <w:vAlign w:val="center"/>
          </w:tcPr>
          <w:p>
            <w:pPr>
              <w:pStyle w:val="149"/>
              <w:widowControl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新增的室外泵和风机采取隔声减振措施</w:t>
            </w:r>
          </w:p>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现有：保持不变，依托</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新增的室外泵和风机采取隔声减振措施</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vAlign w:val="center"/>
          </w:tcPr>
          <w:p>
            <w:pPr>
              <w:widowControl w:val="0"/>
              <w:numPr>
                <w:ilvl w:val="0"/>
                <w:numId w:val="2"/>
              </w:numPr>
              <w:ind w:left="425" w:leftChars="0" w:hanging="425" w:firstLineChars="0"/>
              <w:jc w:val="center"/>
              <w:textAlignment w:val="center"/>
              <w:rPr>
                <w:rFonts w:hint="default" w:ascii="Times New Roman" w:hAnsi="Times New Roman" w:eastAsia="宋体" w:cs="Times New Roman"/>
                <w:color w:val="auto"/>
                <w:sz w:val="21"/>
                <w:szCs w:val="21"/>
              </w:rPr>
            </w:pPr>
          </w:p>
        </w:tc>
        <w:tc>
          <w:tcPr>
            <w:tcW w:w="593" w:type="pct"/>
            <w:vAlign w:val="center"/>
          </w:tcPr>
          <w:p>
            <w:pPr>
              <w:pStyle w:val="149"/>
              <w:widowControl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固废措施</w:t>
            </w:r>
          </w:p>
        </w:tc>
        <w:tc>
          <w:tcPr>
            <w:tcW w:w="48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41"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3"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00"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452" w:type="pct"/>
            <w:vAlign w:val="center"/>
          </w:tcPr>
          <w:p>
            <w:pPr>
              <w:pStyle w:val="149"/>
              <w:widowControl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新增废气设施里产生的废活性炭，属于危废，设置危废暂存点，满足“四防”（防风、防雨、防晒、防渗漏）要求</w:t>
            </w:r>
          </w:p>
        </w:tc>
        <w:tc>
          <w:tcPr>
            <w:tcW w:w="1381" w:type="pct"/>
            <w:vAlign w:val="center"/>
          </w:tcPr>
          <w:p>
            <w:pPr>
              <w:pStyle w:val="149"/>
              <w:widowControl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新增危废措施，满足“四防”（防风、防雨、防晒、防渗漏）要求</w:t>
            </w:r>
          </w:p>
        </w:tc>
        <w:tc>
          <w:tcPr>
            <w:tcW w:w="316" w:type="pct"/>
            <w:vAlign w:val="center"/>
          </w:tcPr>
          <w:p>
            <w:pPr>
              <w:pStyle w:val="149"/>
              <w:widowControl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无变化</w:t>
            </w:r>
          </w:p>
        </w:tc>
      </w:tr>
    </w:tbl>
    <w:p>
      <w:pPr>
        <w:pStyle w:val="87"/>
        <w:bidi w:val="0"/>
        <w:jc w:val="center"/>
        <w:rPr>
          <w:rFonts w:hint="default" w:ascii="Times New Roman" w:hAnsi="Times New Roman" w:cs="Times New Roman"/>
          <w:b/>
          <w:bCs/>
          <w:color w:val="auto"/>
          <w:lang w:val="en-US" w:eastAsia="zh-CN"/>
        </w:rPr>
      </w:pPr>
    </w:p>
    <w:p>
      <w:pPr>
        <w:pStyle w:val="87"/>
        <w:bidi w:val="0"/>
        <w:jc w:val="center"/>
        <w:rPr>
          <w:rFonts w:hint="default" w:ascii="Times New Roman" w:hAnsi="Times New Roman" w:cs="Times New Roman"/>
          <w:b/>
          <w:bCs/>
          <w:color w:val="auto"/>
          <w:lang w:val="en-US" w:eastAsia="zh-CN"/>
        </w:rPr>
      </w:pPr>
    </w:p>
    <w:p>
      <w:pPr>
        <w:pStyle w:val="4"/>
        <w:bidi w:val="0"/>
        <w:rPr>
          <w:rFonts w:hint="default" w:ascii="Times New Roman" w:hAnsi="Times New Roman" w:cs="Times New Roman"/>
          <w:color w:val="auto"/>
          <w:lang w:val="en-US" w:eastAsia="zh-CN"/>
        </w:rPr>
      </w:pPr>
      <w:bookmarkStart w:id="30" w:name="_Toc23790"/>
      <w:r>
        <w:rPr>
          <w:rFonts w:hint="default" w:ascii="Times New Roman" w:hAnsi="Times New Roman" w:cs="Times New Roman"/>
          <w:color w:val="auto"/>
          <w:lang w:val="en-US" w:eastAsia="zh-CN"/>
        </w:rPr>
        <w:t>3.3主要设施设备</w:t>
      </w:r>
      <w:bookmarkEnd w:id="30"/>
    </w:p>
    <w:p>
      <w:pPr>
        <w:pStyle w:val="87"/>
        <w:ind w:firstLine="480"/>
        <w:rPr>
          <w:rFonts w:hint="default" w:ascii="Times New Roman" w:hAnsi="Times New Roman" w:cs="Times New Roman"/>
          <w:color w:val="auto"/>
        </w:rPr>
      </w:pPr>
      <w:r>
        <w:rPr>
          <w:rFonts w:hint="default" w:ascii="Times New Roman" w:hAnsi="Times New Roman" w:cs="Times New Roman"/>
          <w:color w:val="auto"/>
        </w:rPr>
        <w:t>实际建设中使用的主要设施设备与</w:t>
      </w:r>
      <w:r>
        <w:rPr>
          <w:rFonts w:hint="default" w:ascii="Times New Roman" w:hAnsi="Times New Roman" w:cs="Times New Roman"/>
          <w:color w:val="auto"/>
          <w:lang w:eastAsia="zh-CN"/>
        </w:rPr>
        <w:t>提标改造设计</w:t>
      </w:r>
      <w:r>
        <w:rPr>
          <w:rFonts w:hint="default" w:ascii="Times New Roman" w:hAnsi="Times New Roman" w:cs="Times New Roman"/>
          <w:color w:val="auto"/>
        </w:rPr>
        <w:t>阶段提出的主要设施设备对比详见表3.3-1：</w:t>
      </w:r>
    </w:p>
    <w:p>
      <w:pPr>
        <w:pStyle w:val="87"/>
        <w:bidi w:val="0"/>
        <w:jc w:val="center"/>
        <w:rPr>
          <w:rFonts w:hint="default" w:ascii="Times New Roman" w:hAnsi="Times New Roman" w:cs="Times New Roman"/>
          <w:b/>
          <w:bCs/>
          <w:color w:val="auto"/>
        </w:rPr>
      </w:pPr>
      <w:r>
        <w:rPr>
          <w:rFonts w:hint="default" w:ascii="Times New Roman" w:hAnsi="Times New Roman" w:cs="Times New Roman"/>
          <w:b/>
          <w:bCs/>
          <w:color w:val="auto"/>
        </w:rPr>
        <w:t>表3.3-1实际主要设施设备与</w:t>
      </w:r>
      <w:r>
        <w:rPr>
          <w:rFonts w:hint="default" w:ascii="Times New Roman" w:hAnsi="Times New Roman" w:cs="Times New Roman"/>
          <w:b/>
          <w:bCs/>
          <w:color w:val="auto"/>
          <w:lang w:eastAsia="zh-CN"/>
        </w:rPr>
        <w:t>提标改造设计</w:t>
      </w:r>
      <w:r>
        <w:rPr>
          <w:rFonts w:hint="default" w:ascii="Times New Roman" w:hAnsi="Times New Roman" w:cs="Times New Roman"/>
          <w:b/>
          <w:bCs/>
          <w:color w:val="auto"/>
        </w:rPr>
        <w:t>阶段设备对比一览表</w:t>
      </w:r>
    </w:p>
    <w:tbl>
      <w:tblPr>
        <w:tblStyle w:val="33"/>
        <w:tblW w:w="4997" w:type="pct"/>
        <w:jc w:val="center"/>
        <w:tblLayout w:type="autofit"/>
        <w:tblCellMar>
          <w:top w:w="0" w:type="dxa"/>
          <w:left w:w="0" w:type="dxa"/>
          <w:bottom w:w="0" w:type="dxa"/>
          <w:right w:w="0" w:type="dxa"/>
        </w:tblCellMar>
      </w:tblPr>
      <w:tblGrid>
        <w:gridCol w:w="422"/>
        <w:gridCol w:w="1186"/>
        <w:gridCol w:w="2146"/>
        <w:gridCol w:w="5556"/>
        <w:gridCol w:w="1116"/>
        <w:gridCol w:w="1360"/>
        <w:gridCol w:w="1032"/>
        <w:gridCol w:w="1164"/>
      </w:tblGrid>
      <w:tr>
        <w:tblPrEx>
          <w:tblCellMar>
            <w:top w:w="0" w:type="dxa"/>
            <w:left w:w="0" w:type="dxa"/>
            <w:bottom w:w="0" w:type="dxa"/>
            <w:right w:w="0" w:type="dxa"/>
          </w:tblCellMar>
        </w:tblPrEx>
        <w:trPr>
          <w:trHeight w:val="434" w:hRule="atLeast"/>
          <w:tblHeader/>
          <w:jc w:val="center"/>
        </w:trPr>
        <w:tc>
          <w:tcPr>
            <w:tcW w:w="151"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062" w:type="pct"/>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提标改造设计阶段新增设备参数</w:t>
            </w:r>
          </w:p>
        </w:tc>
        <w:tc>
          <w:tcPr>
            <w:tcW w:w="369"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实际数量</w:t>
            </w:r>
          </w:p>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（台/套）</w:t>
            </w:r>
          </w:p>
        </w:tc>
        <w:tc>
          <w:tcPr>
            <w:tcW w:w="416"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变化情况及原因</w:t>
            </w:r>
          </w:p>
        </w:tc>
      </w:tr>
      <w:tr>
        <w:tblPrEx>
          <w:tblCellMar>
            <w:top w:w="0" w:type="dxa"/>
            <w:left w:w="0" w:type="dxa"/>
            <w:bottom w:w="0" w:type="dxa"/>
            <w:right w:w="0" w:type="dxa"/>
          </w:tblCellMar>
        </w:tblPrEx>
        <w:trPr>
          <w:trHeight w:val="270" w:hRule="atLeast"/>
          <w:tblHeader/>
          <w:jc w:val="center"/>
        </w:trPr>
        <w:tc>
          <w:tcPr>
            <w:tcW w:w="151"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p>
        </w:tc>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位置</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参数</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数量</w:t>
            </w:r>
          </w:p>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（台/套）</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c>
          <w:tcPr>
            <w:tcW w:w="369"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p>
        </w:tc>
        <w:tc>
          <w:tcPr>
            <w:tcW w:w="416"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b/>
                <w:bCs/>
                <w:color w:val="auto"/>
                <w:sz w:val="21"/>
                <w:szCs w:val="21"/>
                <w:lang w:val="en-US" w:eastAsia="zh-CN"/>
              </w:rPr>
            </w:pP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24"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粗格栅、调节池及提升泵池</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TN监测设备</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量程1-200mg/L，成套设备</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24" w:type="pct"/>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TP监测设备</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量程1-100mg/L，成套设备</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24" w:type="pct"/>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事故池提升泵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Q=200m3/h</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85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24" w:type="pct"/>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污水提升泵变频器</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N=0-18.5kw</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85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24"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超声波液位计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量程0-10m</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中间泵池</w:t>
            </w:r>
          </w:p>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污水提升泵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潜水泵，Q=200m3/h，2台设变频</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超声波液位计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量程0-10m </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潜水搅拌机</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P=1.5kw，D=400mm</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混凝沉淀池</w:t>
            </w:r>
          </w:p>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（新增）</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框式絮凝搅拌机</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P=1.5kw，D=3m，杆长4.5m</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中心导流筒  </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不锈钢，DN1000</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出水堰板</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不锈钢三角堰， B=300</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150m</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150m</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空气搅拌系统</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DN50</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气浮系统（新增）</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气浮一体化设备</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Q=90m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/h，成套设备</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浮渣污泥泵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气动隔膜泵，Q=8m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加药设备房（新增）</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碳源投加一体化设备</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V=3m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 PP箱体，含溶药箱，搅拌器</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碳源为工业葡萄糖</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碱液投加一体化设备</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V=3m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，P=1.5KW，PP箱体，含溶药箱，搅拌器</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碱液为碳酸钠</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PAM投加一体化设备</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V=3m3，P=1.5KW，PP箱体，含溶药箱，搅拌器</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碳源加药泵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Q=583L/h， H=7m</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碱液加药泵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Q=1200L/h， H=7m</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PAM加药泵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Q=1700L/h， H=7m</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水解酸化池（新增）</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布水系统</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非标设备</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生物绳填料</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φ60</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480m</w:t>
            </w:r>
            <w:r>
              <w:rPr>
                <w:rFonts w:hint="default" w:ascii="Times New Roman" w:hAnsi="Times New Roman" w:eastAsia="宋体" w:cs="Times New Roman"/>
                <w:color w:val="auto"/>
                <w:sz w:val="21"/>
                <w:szCs w:val="21"/>
                <w:vertAlign w:val="superscript"/>
                <w:lang w:val="en-US" w:eastAsia="zh-CN"/>
              </w:rPr>
              <w:t>3</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480m</w:t>
            </w:r>
            <w:r>
              <w:rPr>
                <w:rFonts w:hint="default" w:ascii="Times New Roman" w:hAnsi="Times New Roman" w:eastAsia="宋体" w:cs="Times New Roman"/>
                <w:color w:val="auto"/>
                <w:sz w:val="21"/>
                <w:szCs w:val="21"/>
                <w:vertAlign w:val="superscript"/>
                <w:lang w:val="en-US" w:eastAsia="zh-CN"/>
              </w:rPr>
              <w:t>3</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水解酸化池（利旧）</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脉冲布水器</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流量：7500m3/d，成套设备</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布水管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DN250，单根13.5m</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8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生化组合池（利旧）</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潜水搅拌机</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P=3kw</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8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膜片式微孔曝气器</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φ215</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762</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混合液回流泵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立式管道泵，Q=400m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/h，H=16m</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2用2备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消毒池（利旧）</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回用水泵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Q=25m3/h，H=40m，N=7.5kw</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超声波液位计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具4～20mA输出</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42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风机房（利旧）</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罗茨风机</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Q=35.36m3/min，变频</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事故池（新增）</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污水提升泵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Q=80m3/h，H=15m，N=7.5kw</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还有一台同型号到浮渣池的污泥泵</w:t>
            </w: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潜水搅拌机</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P=5.5kw</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电磁流量计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口径DN300，Q=0～200m3/h</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超声波液位计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量程0-10m </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55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中间水池（新增）</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污水提升泵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Q=100m3/h，H=17m，N=7.5kw</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超声波液位计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量程0-10m </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82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污泥中间池（新增）</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污泥提升泵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Q=15m3/h，H=13m，N=1.1kw</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超声波液位计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量程0-10m </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540"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w:t>
            </w:r>
          </w:p>
        </w:tc>
        <w:tc>
          <w:tcPr>
            <w:tcW w:w="424"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深度处理设备（新增）</w:t>
            </w: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深度絮凝沉淀过滤设备</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Q=110m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/h，成套设备</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反冲洗泵</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Q=280m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/h，H=20m，N=37kw</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1用1备</w:t>
            </w: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电磁流量计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口径DN300，Q=0～200m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r>
        <w:tblPrEx>
          <w:tblCellMar>
            <w:top w:w="0" w:type="dxa"/>
            <w:left w:w="0" w:type="dxa"/>
            <w:bottom w:w="0" w:type="dxa"/>
            <w:right w:w="0" w:type="dxa"/>
          </w:tblCellMar>
        </w:tblPrEx>
        <w:trPr>
          <w:trHeight w:val="285" w:hRule="atLeast"/>
          <w:jc w:val="center"/>
        </w:trPr>
        <w:tc>
          <w:tcPr>
            <w:tcW w:w="15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424"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76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超声波液位计</w:t>
            </w:r>
          </w:p>
        </w:tc>
        <w:tc>
          <w:tcPr>
            <w:tcW w:w="19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量程0-10m</w:t>
            </w:r>
          </w:p>
        </w:tc>
        <w:tc>
          <w:tcPr>
            <w:tcW w:w="39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p>
        </w:tc>
        <w:tc>
          <w:tcPr>
            <w:tcW w:w="4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p>
        </w:tc>
        <w:tc>
          <w:tcPr>
            <w:tcW w:w="3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1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无变化</w:t>
            </w:r>
          </w:p>
        </w:tc>
      </w:tr>
    </w:tbl>
    <w:p>
      <w:pPr>
        <w:widowControl/>
        <w:jc w:val="center"/>
        <w:textAlignment w:val="center"/>
        <w:rPr>
          <w:rFonts w:hint="default" w:ascii="Times New Roman" w:hAnsi="Times New Roman" w:eastAsia="宋体" w:cs="Times New Roman"/>
          <w:color w:val="auto"/>
          <w:sz w:val="21"/>
          <w:szCs w:val="21"/>
          <w:lang w:val="en-US" w:eastAsia="zh-CN"/>
        </w:rPr>
      </w:pPr>
    </w:p>
    <w:p>
      <w:pPr>
        <w:pStyle w:val="4"/>
        <w:bidi w:val="0"/>
        <w:rPr>
          <w:rFonts w:hint="default" w:ascii="Times New Roman" w:hAnsi="Times New Roman" w:cs="Times New Roman"/>
          <w:color w:val="auto"/>
          <w:lang w:val="en-US" w:eastAsia="zh-CN"/>
        </w:rPr>
      </w:pPr>
      <w:bookmarkStart w:id="31" w:name="_Toc6555"/>
      <w:bookmarkStart w:id="32" w:name="_Toc22837"/>
      <w:r>
        <w:rPr>
          <w:rFonts w:hint="default" w:ascii="Times New Roman" w:hAnsi="Times New Roman" w:cs="Times New Roman"/>
          <w:color w:val="auto"/>
          <w:lang w:val="en-US" w:eastAsia="zh-CN"/>
        </w:rPr>
        <w:t>3.4进出水水质</w:t>
      </w:r>
      <w:bookmarkEnd w:id="31"/>
    </w:p>
    <w:p>
      <w:pPr>
        <w:pStyle w:val="8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工程实际进出水水质与提标改造设计进出水水质对比，详见表</w:t>
      </w:r>
      <w:r>
        <w:rPr>
          <w:rFonts w:hint="default" w:ascii="Times New Roman" w:hAnsi="Times New Roman" w:cs="Times New Roman"/>
          <w:color w:val="auto"/>
          <w:lang w:val="en-US" w:eastAsia="zh-CN"/>
        </w:rPr>
        <w:t>3.4-1。</w:t>
      </w:r>
    </w:p>
    <w:p>
      <w:pPr>
        <w:pStyle w:val="7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表3.4-1</w:t>
      </w:r>
      <w:r>
        <w:rPr>
          <w:rFonts w:hint="default" w:ascii="Times New Roman" w:hAnsi="Times New Roman" w:cs="Times New Roman"/>
          <w:color w:val="auto"/>
          <w:lang w:eastAsia="zh-CN"/>
        </w:rPr>
        <w:t>工程实际进出水水质与提标改造设计进出水水质对比表</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9"/>
        <w:gridCol w:w="2310"/>
        <w:gridCol w:w="3344"/>
        <w:gridCol w:w="2347"/>
        <w:gridCol w:w="2418"/>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695" w:type="pct"/>
            <w:vMerge w:val="restart"/>
            <w:noWrap w:val="0"/>
            <w:vAlign w:val="center"/>
          </w:tcPr>
          <w:p>
            <w:pPr>
              <w:pStyle w:val="117"/>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rPr>
              <w:t>污染物</w:t>
            </w:r>
          </w:p>
        </w:tc>
        <w:tc>
          <w:tcPr>
            <w:tcW w:w="1995" w:type="pct"/>
            <w:gridSpan w:val="2"/>
            <w:noWrap w:val="0"/>
            <w:vAlign w:val="top"/>
          </w:tcPr>
          <w:p>
            <w:pPr>
              <w:pStyle w:val="117"/>
              <w:bidi w:val="0"/>
              <w:rPr>
                <w:rFonts w:hint="default" w:ascii="Times New Roman" w:hAnsi="Times New Roman" w:cs="Times New Roman"/>
                <w:b/>
                <w:bCs/>
                <w:color w:val="auto"/>
              </w:rPr>
            </w:pPr>
            <w:r>
              <w:rPr>
                <w:rFonts w:hint="default" w:ascii="Times New Roman" w:hAnsi="Times New Roman" w:cs="Times New Roman"/>
                <w:b/>
                <w:bCs/>
                <w:color w:val="auto"/>
                <w:lang w:eastAsia="zh-CN"/>
              </w:rPr>
              <w:t>设计阶段</w:t>
            </w:r>
          </w:p>
        </w:tc>
        <w:tc>
          <w:tcPr>
            <w:tcW w:w="1681" w:type="pct"/>
            <w:gridSpan w:val="2"/>
            <w:noWrap w:val="0"/>
            <w:vAlign w:val="center"/>
          </w:tcPr>
          <w:p>
            <w:pPr>
              <w:pStyle w:val="117"/>
              <w:bidi w:val="0"/>
              <w:rPr>
                <w:rFonts w:hint="default" w:ascii="Times New Roman" w:hAnsi="Times New Roman" w:cs="Times New Roman"/>
                <w:b/>
                <w:bCs/>
                <w:color w:val="auto"/>
              </w:rPr>
            </w:pPr>
            <w:r>
              <w:rPr>
                <w:rFonts w:hint="default" w:ascii="Times New Roman" w:hAnsi="Times New Roman" w:cs="Times New Roman"/>
                <w:b/>
                <w:bCs/>
                <w:color w:val="auto"/>
                <w:lang w:eastAsia="zh-CN"/>
              </w:rPr>
              <w:t>实际建设阶段</w:t>
            </w:r>
          </w:p>
        </w:tc>
        <w:tc>
          <w:tcPr>
            <w:tcW w:w="627" w:type="pct"/>
            <w:vMerge w:val="restart"/>
            <w:noWrap w:val="0"/>
            <w:vAlign w:val="center"/>
          </w:tcPr>
          <w:p>
            <w:pPr>
              <w:pStyle w:val="117"/>
              <w:bidi w:val="0"/>
              <w:rPr>
                <w:rFonts w:hint="default" w:ascii="Times New Roman" w:hAnsi="Times New Roman" w:eastAsia="宋体" w:cs="Times New Roman"/>
                <w:color w:val="auto"/>
                <w:lang w:eastAsia="zh-CN"/>
              </w:rPr>
            </w:pPr>
            <w:r>
              <w:rPr>
                <w:rFonts w:hint="default" w:ascii="Times New Roman" w:hAnsi="Times New Roman" w:cs="Times New Roman"/>
                <w:b/>
                <w:bCs/>
                <w:color w:val="auto"/>
                <w:lang w:eastAsia="zh-CN"/>
              </w:rPr>
              <w:t>变化情况及原因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695" w:type="pct"/>
            <w:vMerge w:val="continue"/>
            <w:noWrap w:val="0"/>
            <w:vAlign w:val="center"/>
          </w:tcPr>
          <w:p>
            <w:pPr>
              <w:pStyle w:val="117"/>
              <w:bidi w:val="0"/>
              <w:ind w:firstLine="0" w:firstLineChars="0"/>
              <w:rPr>
                <w:rFonts w:hint="default" w:ascii="Times New Roman" w:hAnsi="Times New Roman" w:eastAsia="宋体" w:cs="Times New Roman"/>
                <w:b/>
                <w:bCs/>
                <w:color w:val="auto"/>
                <w:kern w:val="0"/>
                <w:sz w:val="21"/>
                <w:szCs w:val="21"/>
                <w:lang w:val="en-US" w:eastAsia="zh-CN" w:bidi="ar-SA"/>
              </w:rPr>
            </w:pPr>
          </w:p>
        </w:tc>
        <w:tc>
          <w:tcPr>
            <w:tcW w:w="815" w:type="pct"/>
            <w:noWrap w:val="0"/>
            <w:vAlign w:val="top"/>
          </w:tcPr>
          <w:p>
            <w:pPr>
              <w:pStyle w:val="117"/>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rPr>
              <w:t>设计进水水质(mg/L)</w:t>
            </w:r>
          </w:p>
        </w:tc>
        <w:tc>
          <w:tcPr>
            <w:tcW w:w="1180" w:type="pct"/>
            <w:noWrap w:val="0"/>
            <w:vAlign w:val="center"/>
          </w:tcPr>
          <w:p>
            <w:pPr>
              <w:pStyle w:val="117"/>
              <w:bidi w:val="0"/>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rPr>
              <w:t>设计出水水质(mg/L)</w:t>
            </w:r>
          </w:p>
        </w:tc>
        <w:tc>
          <w:tcPr>
            <w:tcW w:w="828" w:type="pct"/>
            <w:noWrap w:val="0"/>
            <w:vAlign w:val="center"/>
          </w:tcPr>
          <w:p>
            <w:pPr>
              <w:pStyle w:val="117"/>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实际进水水质</w:t>
            </w:r>
            <w:r>
              <w:rPr>
                <w:rFonts w:hint="default" w:ascii="Times New Roman" w:hAnsi="Times New Roman" w:cs="Times New Roman"/>
                <w:b/>
                <w:bCs/>
                <w:color w:val="auto"/>
                <w:highlight w:val="none"/>
              </w:rPr>
              <w:t>(mg/L)</w:t>
            </w:r>
          </w:p>
        </w:tc>
        <w:tc>
          <w:tcPr>
            <w:tcW w:w="853" w:type="pct"/>
            <w:noWrap w:val="0"/>
            <w:vAlign w:val="center"/>
          </w:tcPr>
          <w:p>
            <w:pPr>
              <w:pStyle w:val="117"/>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实际出水水质</w:t>
            </w:r>
            <w:r>
              <w:rPr>
                <w:rFonts w:hint="default" w:ascii="Times New Roman" w:hAnsi="Times New Roman" w:cs="Times New Roman"/>
                <w:b/>
                <w:bCs/>
                <w:color w:val="auto"/>
                <w:highlight w:val="none"/>
              </w:rPr>
              <w:t>(mg/L)</w:t>
            </w:r>
          </w:p>
        </w:tc>
        <w:tc>
          <w:tcPr>
            <w:tcW w:w="627" w:type="pct"/>
            <w:vMerge w:val="continue"/>
            <w:noWrap w:val="0"/>
            <w:vAlign w:val="center"/>
          </w:tcPr>
          <w:p>
            <w:pPr>
              <w:pStyle w:val="117"/>
              <w:bidi w:val="0"/>
              <w:rPr>
                <w:rFonts w:hint="default" w:ascii="Times New Roman" w:hAnsi="Times New Roman" w:eastAsia="宋体"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5" w:type="pct"/>
            <w:noWrap w:val="0"/>
            <w:vAlign w:val="center"/>
          </w:tcPr>
          <w:p>
            <w:pPr>
              <w:pStyle w:val="117"/>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val="0"/>
                <w:bCs w:val="0"/>
                <w:color w:val="auto"/>
                <w:kern w:val="0"/>
                <w:sz w:val="21"/>
                <w:szCs w:val="21"/>
                <w:lang w:val="en-US" w:eastAsia="zh-CN" w:bidi="ar-SA"/>
              </w:rPr>
              <w:t>pH值</w:t>
            </w:r>
          </w:p>
        </w:tc>
        <w:tc>
          <w:tcPr>
            <w:tcW w:w="815" w:type="pct"/>
            <w:noWrap w:val="0"/>
            <w:vAlign w:val="top"/>
          </w:tcPr>
          <w:p>
            <w:pPr>
              <w:pStyle w:val="117"/>
              <w:bidi w:val="0"/>
              <w:ind w:firstLine="0" w:firstLineChars="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6-9</w:t>
            </w:r>
          </w:p>
        </w:tc>
        <w:tc>
          <w:tcPr>
            <w:tcW w:w="1180" w:type="pct"/>
            <w:noWrap w:val="0"/>
            <w:vAlign w:val="center"/>
          </w:tcPr>
          <w:p>
            <w:pPr>
              <w:pStyle w:val="117"/>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6-9</w:t>
            </w:r>
          </w:p>
        </w:tc>
        <w:tc>
          <w:tcPr>
            <w:tcW w:w="828" w:type="pct"/>
            <w:noWrap w:val="0"/>
            <w:vAlign w:val="top"/>
          </w:tcPr>
          <w:p>
            <w:pPr>
              <w:pStyle w:val="117"/>
              <w:bidi w:val="0"/>
              <w:ind w:firstLine="0" w:firstLineChars="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lang w:val="en-US" w:eastAsia="zh-CN"/>
              </w:rPr>
              <w:t>6-9</w:t>
            </w:r>
          </w:p>
        </w:tc>
        <w:tc>
          <w:tcPr>
            <w:tcW w:w="853" w:type="pct"/>
            <w:noWrap w:val="0"/>
            <w:vAlign w:val="center"/>
          </w:tcPr>
          <w:p>
            <w:pPr>
              <w:pStyle w:val="117"/>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6-9</w:t>
            </w:r>
          </w:p>
        </w:tc>
        <w:tc>
          <w:tcPr>
            <w:tcW w:w="627" w:type="pct"/>
            <w:vMerge w:val="restart"/>
            <w:noWrap w:val="0"/>
            <w:vAlign w:val="center"/>
          </w:tcPr>
          <w:p>
            <w:pPr>
              <w:pStyle w:val="117"/>
              <w:bidi w:val="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5" w:type="pct"/>
            <w:noWrap w:val="0"/>
            <w:vAlign w:val="center"/>
          </w:tcPr>
          <w:p>
            <w:pPr>
              <w:pStyle w:val="117"/>
              <w:bidi w:val="0"/>
              <w:ind w:firstLine="0" w:firstLineChars="0"/>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color w:val="auto"/>
              </w:rPr>
              <w:t>COD</w:t>
            </w:r>
          </w:p>
        </w:tc>
        <w:tc>
          <w:tcPr>
            <w:tcW w:w="815" w:type="pct"/>
            <w:noWrap w:val="0"/>
            <w:vAlign w:val="top"/>
          </w:tcPr>
          <w:p>
            <w:pPr>
              <w:pStyle w:val="117"/>
              <w:bidi w:val="0"/>
              <w:ind w:firstLine="0" w:firstLineChars="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1500</w:t>
            </w:r>
          </w:p>
        </w:tc>
        <w:tc>
          <w:tcPr>
            <w:tcW w:w="1180" w:type="pct"/>
            <w:noWrap w:val="0"/>
            <w:vAlign w:val="center"/>
          </w:tcPr>
          <w:p>
            <w:pPr>
              <w:pStyle w:val="117"/>
              <w:bidi w:val="0"/>
              <w:ind w:firstLine="0" w:firstLineChars="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50</w:t>
            </w:r>
          </w:p>
        </w:tc>
        <w:tc>
          <w:tcPr>
            <w:tcW w:w="828" w:type="pct"/>
            <w:noWrap w:val="0"/>
            <w:vAlign w:val="top"/>
          </w:tcPr>
          <w:p>
            <w:pPr>
              <w:pStyle w:val="117"/>
              <w:bidi w:val="0"/>
              <w:ind w:firstLine="0" w:firstLineChars="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lang w:val="en-US" w:eastAsia="zh-CN"/>
              </w:rPr>
              <w:t>1500</w:t>
            </w:r>
          </w:p>
        </w:tc>
        <w:tc>
          <w:tcPr>
            <w:tcW w:w="853" w:type="pct"/>
            <w:noWrap w:val="0"/>
            <w:vAlign w:val="center"/>
          </w:tcPr>
          <w:p>
            <w:pPr>
              <w:pStyle w:val="117"/>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50</w:t>
            </w:r>
          </w:p>
        </w:tc>
        <w:tc>
          <w:tcPr>
            <w:tcW w:w="627" w:type="pct"/>
            <w:vMerge w:val="continue"/>
            <w:noWrap w:val="0"/>
            <w:vAlign w:val="center"/>
          </w:tcPr>
          <w:p>
            <w:pPr>
              <w:pStyle w:val="117"/>
              <w:bidi w:val="0"/>
              <w:rPr>
                <w:rFonts w:hint="default" w:ascii="Times New Roman" w:hAnsi="Times New Roman" w:eastAsia="宋体"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5" w:type="pct"/>
            <w:noWrap w:val="0"/>
            <w:vAlign w:val="center"/>
          </w:tcPr>
          <w:p>
            <w:pPr>
              <w:pStyle w:val="117"/>
              <w:bidi w:val="0"/>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815" w:type="pct"/>
            <w:noWrap w:val="0"/>
            <w:vAlign w:val="center"/>
          </w:tcPr>
          <w:p>
            <w:pPr>
              <w:pStyle w:val="117"/>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650</w:t>
            </w:r>
          </w:p>
        </w:tc>
        <w:tc>
          <w:tcPr>
            <w:tcW w:w="1180" w:type="pct"/>
            <w:noWrap w:val="0"/>
            <w:vAlign w:val="center"/>
          </w:tcPr>
          <w:p>
            <w:pPr>
              <w:pStyle w:val="11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p>
        </w:tc>
        <w:tc>
          <w:tcPr>
            <w:tcW w:w="828" w:type="pct"/>
            <w:noWrap w:val="0"/>
            <w:vAlign w:val="center"/>
          </w:tcPr>
          <w:p>
            <w:pPr>
              <w:pStyle w:val="117"/>
              <w:bidi w:val="0"/>
              <w:ind w:firstLine="0" w:firstLineChars="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lang w:val="en-US" w:eastAsia="zh-CN"/>
              </w:rPr>
              <w:t>650</w:t>
            </w:r>
          </w:p>
        </w:tc>
        <w:tc>
          <w:tcPr>
            <w:tcW w:w="853" w:type="pct"/>
            <w:noWrap w:val="0"/>
            <w:vAlign w:val="center"/>
          </w:tcPr>
          <w:p>
            <w:pPr>
              <w:pStyle w:val="117"/>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10</w:t>
            </w:r>
          </w:p>
        </w:tc>
        <w:tc>
          <w:tcPr>
            <w:tcW w:w="627" w:type="pct"/>
            <w:vMerge w:val="continue"/>
            <w:noWrap w:val="0"/>
            <w:vAlign w:val="center"/>
          </w:tcPr>
          <w:p>
            <w:pPr>
              <w:pStyle w:val="117"/>
              <w:bidi w:val="0"/>
              <w:rPr>
                <w:rFonts w:hint="default" w:ascii="Times New Roman" w:hAnsi="Times New Roman" w:eastAsia="宋体" w:cs="Times New Roman"/>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5" w:type="pct"/>
            <w:noWrap w:val="0"/>
            <w:vAlign w:val="center"/>
          </w:tcPr>
          <w:p>
            <w:pPr>
              <w:pStyle w:val="117"/>
              <w:bidi w:val="0"/>
              <w:rPr>
                <w:rFonts w:hint="default" w:ascii="Times New Roman" w:hAnsi="Times New Roman" w:cs="Times New Roman"/>
                <w:color w:val="auto"/>
              </w:rPr>
            </w:pPr>
            <w:r>
              <w:rPr>
                <w:rFonts w:hint="default" w:ascii="Times New Roman" w:hAnsi="Times New Roman" w:cs="Times New Roman"/>
                <w:color w:val="auto"/>
              </w:rPr>
              <w:t>SS</w:t>
            </w:r>
          </w:p>
        </w:tc>
        <w:tc>
          <w:tcPr>
            <w:tcW w:w="815" w:type="pct"/>
            <w:noWrap w:val="0"/>
            <w:vAlign w:val="center"/>
          </w:tcPr>
          <w:p>
            <w:pPr>
              <w:pStyle w:val="117"/>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200</w:t>
            </w:r>
          </w:p>
        </w:tc>
        <w:tc>
          <w:tcPr>
            <w:tcW w:w="1180" w:type="pct"/>
            <w:noWrap w:val="0"/>
            <w:vAlign w:val="center"/>
          </w:tcPr>
          <w:p>
            <w:pPr>
              <w:pStyle w:val="11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p>
        </w:tc>
        <w:tc>
          <w:tcPr>
            <w:tcW w:w="828" w:type="pct"/>
            <w:noWrap w:val="0"/>
            <w:vAlign w:val="center"/>
          </w:tcPr>
          <w:p>
            <w:pPr>
              <w:pStyle w:val="117"/>
              <w:bidi w:val="0"/>
              <w:ind w:firstLine="0" w:firstLineChars="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lang w:val="en-US" w:eastAsia="zh-CN"/>
              </w:rPr>
              <w:t>200</w:t>
            </w:r>
          </w:p>
        </w:tc>
        <w:tc>
          <w:tcPr>
            <w:tcW w:w="853" w:type="pct"/>
            <w:noWrap w:val="0"/>
            <w:vAlign w:val="center"/>
          </w:tcPr>
          <w:p>
            <w:pPr>
              <w:pStyle w:val="117"/>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10</w:t>
            </w:r>
          </w:p>
        </w:tc>
        <w:tc>
          <w:tcPr>
            <w:tcW w:w="627" w:type="pct"/>
            <w:vMerge w:val="continue"/>
            <w:noWrap w:val="0"/>
            <w:vAlign w:val="center"/>
          </w:tcPr>
          <w:p>
            <w:pPr>
              <w:pStyle w:val="117"/>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5" w:type="pct"/>
            <w:noWrap w:val="0"/>
            <w:vAlign w:val="center"/>
          </w:tcPr>
          <w:p>
            <w:pPr>
              <w:pStyle w:val="117"/>
              <w:bidi w:val="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815" w:type="pct"/>
            <w:noWrap w:val="0"/>
            <w:vAlign w:val="center"/>
          </w:tcPr>
          <w:p>
            <w:pPr>
              <w:pStyle w:val="117"/>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50</w:t>
            </w:r>
          </w:p>
        </w:tc>
        <w:tc>
          <w:tcPr>
            <w:tcW w:w="1180" w:type="pct"/>
            <w:noWrap w:val="0"/>
            <w:vAlign w:val="center"/>
          </w:tcPr>
          <w:p>
            <w:pPr>
              <w:pStyle w:val="11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5（8）</w:t>
            </w:r>
          </w:p>
        </w:tc>
        <w:tc>
          <w:tcPr>
            <w:tcW w:w="828" w:type="pct"/>
            <w:noWrap w:val="0"/>
            <w:vAlign w:val="center"/>
          </w:tcPr>
          <w:p>
            <w:pPr>
              <w:pStyle w:val="117"/>
              <w:bidi w:val="0"/>
              <w:ind w:firstLine="0" w:firstLineChars="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lang w:val="en-US" w:eastAsia="zh-CN"/>
              </w:rPr>
              <w:t>50</w:t>
            </w:r>
          </w:p>
        </w:tc>
        <w:tc>
          <w:tcPr>
            <w:tcW w:w="853" w:type="pct"/>
            <w:noWrap w:val="0"/>
            <w:vAlign w:val="center"/>
          </w:tcPr>
          <w:p>
            <w:pPr>
              <w:pStyle w:val="117"/>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5（8）</w:t>
            </w:r>
          </w:p>
        </w:tc>
        <w:tc>
          <w:tcPr>
            <w:tcW w:w="627" w:type="pct"/>
            <w:vMerge w:val="continue"/>
            <w:noWrap w:val="0"/>
            <w:vAlign w:val="center"/>
          </w:tcPr>
          <w:p>
            <w:pPr>
              <w:pStyle w:val="117"/>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5" w:type="pct"/>
            <w:noWrap w:val="0"/>
            <w:vAlign w:val="center"/>
          </w:tcPr>
          <w:p>
            <w:pPr>
              <w:pStyle w:val="117"/>
              <w:bidi w:val="0"/>
              <w:rPr>
                <w:rFonts w:hint="default" w:ascii="Times New Roman" w:hAnsi="Times New Roman" w:cs="Times New Roman"/>
                <w:color w:val="auto"/>
              </w:rPr>
            </w:pPr>
            <w:r>
              <w:rPr>
                <w:rFonts w:hint="default" w:ascii="Times New Roman" w:hAnsi="Times New Roman" w:cs="Times New Roman"/>
                <w:color w:val="auto"/>
              </w:rPr>
              <w:t>TN</w:t>
            </w:r>
          </w:p>
        </w:tc>
        <w:tc>
          <w:tcPr>
            <w:tcW w:w="815" w:type="pct"/>
            <w:noWrap w:val="0"/>
            <w:vAlign w:val="center"/>
          </w:tcPr>
          <w:p>
            <w:pPr>
              <w:pStyle w:val="117"/>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72</w:t>
            </w:r>
          </w:p>
        </w:tc>
        <w:tc>
          <w:tcPr>
            <w:tcW w:w="1180" w:type="pct"/>
            <w:noWrap w:val="0"/>
            <w:vAlign w:val="center"/>
          </w:tcPr>
          <w:p>
            <w:pPr>
              <w:pStyle w:val="11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828" w:type="pct"/>
            <w:noWrap w:val="0"/>
            <w:vAlign w:val="center"/>
          </w:tcPr>
          <w:p>
            <w:pPr>
              <w:pStyle w:val="117"/>
              <w:bidi w:val="0"/>
              <w:ind w:firstLine="0" w:firstLineChars="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lang w:val="en-US" w:eastAsia="zh-CN"/>
              </w:rPr>
              <w:t>72</w:t>
            </w:r>
          </w:p>
        </w:tc>
        <w:tc>
          <w:tcPr>
            <w:tcW w:w="853" w:type="pct"/>
            <w:noWrap w:val="0"/>
            <w:vAlign w:val="center"/>
          </w:tcPr>
          <w:p>
            <w:pPr>
              <w:pStyle w:val="117"/>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15</w:t>
            </w:r>
          </w:p>
        </w:tc>
        <w:tc>
          <w:tcPr>
            <w:tcW w:w="627" w:type="pct"/>
            <w:vMerge w:val="continue"/>
            <w:noWrap w:val="0"/>
            <w:vAlign w:val="center"/>
          </w:tcPr>
          <w:p>
            <w:pPr>
              <w:pStyle w:val="117"/>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5" w:type="pct"/>
            <w:noWrap w:val="0"/>
            <w:vAlign w:val="center"/>
          </w:tcPr>
          <w:p>
            <w:pPr>
              <w:pStyle w:val="117"/>
              <w:bidi w:val="0"/>
              <w:rPr>
                <w:rFonts w:hint="default" w:ascii="Times New Roman" w:hAnsi="Times New Roman" w:cs="Times New Roman"/>
                <w:color w:val="auto"/>
              </w:rPr>
            </w:pPr>
            <w:r>
              <w:rPr>
                <w:rFonts w:hint="default" w:ascii="Times New Roman" w:hAnsi="Times New Roman" w:cs="Times New Roman"/>
                <w:color w:val="auto"/>
              </w:rPr>
              <w:t>TP</w:t>
            </w:r>
          </w:p>
        </w:tc>
        <w:tc>
          <w:tcPr>
            <w:tcW w:w="815" w:type="pct"/>
            <w:noWrap w:val="0"/>
            <w:vAlign w:val="center"/>
          </w:tcPr>
          <w:p>
            <w:pPr>
              <w:pStyle w:val="117"/>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10</w:t>
            </w:r>
          </w:p>
        </w:tc>
        <w:tc>
          <w:tcPr>
            <w:tcW w:w="1180" w:type="pct"/>
            <w:noWrap w:val="0"/>
            <w:vAlign w:val="center"/>
          </w:tcPr>
          <w:p>
            <w:pPr>
              <w:pStyle w:val="11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0.5</w:t>
            </w:r>
          </w:p>
        </w:tc>
        <w:tc>
          <w:tcPr>
            <w:tcW w:w="828" w:type="pct"/>
            <w:noWrap w:val="0"/>
            <w:vAlign w:val="center"/>
          </w:tcPr>
          <w:p>
            <w:pPr>
              <w:pStyle w:val="117"/>
              <w:bidi w:val="0"/>
              <w:ind w:firstLine="0" w:firstLineChars="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lang w:val="en-US" w:eastAsia="zh-CN"/>
              </w:rPr>
              <w:t>10</w:t>
            </w:r>
          </w:p>
        </w:tc>
        <w:tc>
          <w:tcPr>
            <w:tcW w:w="853" w:type="pct"/>
            <w:noWrap w:val="0"/>
            <w:vAlign w:val="center"/>
          </w:tcPr>
          <w:p>
            <w:pPr>
              <w:pStyle w:val="117"/>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0.5</w:t>
            </w:r>
          </w:p>
        </w:tc>
        <w:tc>
          <w:tcPr>
            <w:tcW w:w="627" w:type="pct"/>
            <w:vMerge w:val="continue"/>
            <w:noWrap w:val="0"/>
            <w:vAlign w:val="center"/>
          </w:tcPr>
          <w:p>
            <w:pPr>
              <w:pStyle w:val="117"/>
              <w:bidi w:val="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95" w:type="pct"/>
            <w:noWrap w:val="0"/>
            <w:vAlign w:val="center"/>
          </w:tcPr>
          <w:p>
            <w:pPr>
              <w:pStyle w:val="11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石油类</w:t>
            </w:r>
          </w:p>
        </w:tc>
        <w:tc>
          <w:tcPr>
            <w:tcW w:w="815" w:type="pct"/>
            <w:noWrap w:val="0"/>
            <w:vAlign w:val="center"/>
          </w:tcPr>
          <w:p>
            <w:pPr>
              <w:pStyle w:val="11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p>
        </w:tc>
        <w:tc>
          <w:tcPr>
            <w:tcW w:w="1180" w:type="pct"/>
            <w:noWrap w:val="0"/>
            <w:vAlign w:val="center"/>
          </w:tcPr>
          <w:p>
            <w:pPr>
              <w:pStyle w:val="11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828" w:type="pct"/>
            <w:noWrap w:val="0"/>
            <w:vAlign w:val="center"/>
          </w:tcPr>
          <w:p>
            <w:pPr>
              <w:pStyle w:val="117"/>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5</w:t>
            </w:r>
          </w:p>
        </w:tc>
        <w:tc>
          <w:tcPr>
            <w:tcW w:w="853" w:type="pct"/>
            <w:noWrap w:val="0"/>
            <w:vAlign w:val="center"/>
          </w:tcPr>
          <w:p>
            <w:pPr>
              <w:pStyle w:val="117"/>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1</w:t>
            </w:r>
          </w:p>
        </w:tc>
        <w:tc>
          <w:tcPr>
            <w:tcW w:w="627" w:type="pct"/>
            <w:vMerge w:val="continue"/>
            <w:noWrap w:val="0"/>
            <w:vAlign w:val="center"/>
          </w:tcPr>
          <w:p>
            <w:pPr>
              <w:pStyle w:val="117"/>
              <w:bidi w:val="0"/>
              <w:rPr>
                <w:rFonts w:hint="default" w:ascii="Times New Roman" w:hAnsi="Times New Roman" w:cs="Times New Roman"/>
                <w:color w:val="auto"/>
              </w:rPr>
            </w:pPr>
          </w:p>
        </w:tc>
      </w:tr>
      <w:bookmarkEnd w:id="32"/>
    </w:tbl>
    <w:p>
      <w:pPr>
        <w:pStyle w:val="103"/>
        <w:rPr>
          <w:rFonts w:hint="default" w:ascii="Times New Roman" w:hAnsi="Times New Roman" w:cs="Times New Roman"/>
          <w:snapToGrid w:val="0"/>
          <w:color w:val="auto"/>
        </w:rPr>
        <w:sectPr>
          <w:pgSz w:w="16840" w:h="11907" w:orient="landscape"/>
          <w:pgMar w:top="1531" w:right="1440" w:bottom="1531" w:left="1440" w:header="850" w:footer="851" w:gutter="0"/>
          <w:pgBorders>
            <w:top w:val="none" w:sz="0" w:space="0"/>
            <w:left w:val="none" w:sz="0" w:space="0"/>
            <w:bottom w:val="none" w:sz="0" w:space="0"/>
            <w:right w:val="none" w:sz="0" w:space="0"/>
          </w:pgBorders>
          <w:pgNumType w:fmt="decimal"/>
          <w:cols w:space="720" w:num="1"/>
          <w:rtlGutter w:val="0"/>
          <w:docGrid w:linePitch="299" w:charSpace="0"/>
        </w:sectPr>
      </w:pPr>
    </w:p>
    <w:p>
      <w:pPr>
        <w:pStyle w:val="4"/>
        <w:bidi w:val="0"/>
        <w:rPr>
          <w:rFonts w:hint="default" w:ascii="Times New Roman" w:hAnsi="Times New Roman" w:cs="Times New Roman"/>
          <w:color w:val="auto"/>
          <w:lang w:eastAsia="zh-CN"/>
        </w:rPr>
      </w:pPr>
      <w:bookmarkStart w:id="33" w:name="_Toc27971"/>
      <w:bookmarkStart w:id="34" w:name="_Toc29379"/>
      <w:r>
        <w:rPr>
          <w:rFonts w:hint="default" w:ascii="Times New Roman" w:hAnsi="Times New Roman" w:cs="Times New Roman"/>
          <w:color w:val="auto"/>
        </w:rPr>
        <w:t>3.</w:t>
      </w:r>
      <w:bookmarkEnd w:id="33"/>
      <w:r>
        <w:rPr>
          <w:rFonts w:hint="eastAsia" w:cs="Times New Roman"/>
          <w:color w:val="auto"/>
          <w:lang w:val="en-US" w:eastAsia="zh-CN"/>
        </w:rPr>
        <w:t>5</w:t>
      </w:r>
      <w:r>
        <w:rPr>
          <w:rFonts w:hint="default" w:ascii="Times New Roman" w:hAnsi="Times New Roman" w:cs="Times New Roman"/>
          <w:color w:val="auto"/>
          <w:lang w:eastAsia="zh-CN"/>
        </w:rPr>
        <w:t>工艺流程及产污环节</w:t>
      </w:r>
      <w:bookmarkEnd w:id="34"/>
    </w:p>
    <w:p>
      <w:pPr>
        <w:pStyle w:val="87"/>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本次提标改造工程新建构筑物为事故池、中间泵池、浮渣收集池、混凝沉淀池、气浮一体化设备、水解酸化池、中间水池和集泥池；利旧改造构筑物为生化池（将A</w:t>
      </w:r>
      <w:r>
        <w:rPr>
          <w:rFonts w:hint="default" w:ascii="Times New Roman" w:hAnsi="Times New Roman" w:cs="Times New Roman"/>
          <w:color w:val="auto"/>
          <w:vertAlign w:val="superscript"/>
          <w:lang w:eastAsia="zh-CN"/>
        </w:rPr>
        <w:t>2</w:t>
      </w:r>
      <w:r>
        <w:rPr>
          <w:rFonts w:hint="default" w:ascii="Times New Roman" w:hAnsi="Times New Roman" w:cs="Times New Roman"/>
          <w:color w:val="auto"/>
          <w:lang w:eastAsia="zh-CN"/>
        </w:rPr>
        <w:t>O生物池改造为厌氧+二级AO反应池）；其余污水处理池和配套设施均利旧。具体改建内容为：水处理工艺由A</w:t>
      </w:r>
      <w:r>
        <w:rPr>
          <w:rFonts w:hint="default" w:ascii="Times New Roman" w:hAnsi="Times New Roman" w:cs="Times New Roman"/>
          <w:color w:val="auto"/>
          <w:vertAlign w:val="superscript"/>
          <w:lang w:eastAsia="zh-CN"/>
        </w:rPr>
        <w:t>2</w:t>
      </w:r>
      <w:r>
        <w:rPr>
          <w:rFonts w:hint="default" w:ascii="Times New Roman" w:hAnsi="Times New Roman" w:cs="Times New Roman"/>
          <w:color w:val="auto"/>
          <w:lang w:eastAsia="zh-CN"/>
        </w:rPr>
        <w:t>/O污水处理工艺（具体为“粗格栅—调节池—细格栅—气浮—水解酸化池—A2O生物池—二沉池—消毒”）改造为“粗格栅—调节池—细格栅—</w:t>
      </w:r>
      <w:r>
        <w:rPr>
          <w:rFonts w:hint="default" w:ascii="Times New Roman" w:hAnsi="Times New Roman" w:cs="Times New Roman"/>
          <w:b/>
          <w:bCs/>
          <w:color w:val="auto"/>
          <w:lang w:eastAsia="zh-CN"/>
        </w:rPr>
        <w:t>混凝沉淀池</w:t>
      </w:r>
      <w:r>
        <w:rPr>
          <w:rFonts w:hint="default" w:ascii="Times New Roman" w:hAnsi="Times New Roman" w:cs="Times New Roman"/>
          <w:color w:val="auto"/>
          <w:lang w:eastAsia="zh-CN"/>
        </w:rPr>
        <w:t>—气浮—水解酸化池—</w:t>
      </w:r>
      <w:r>
        <w:rPr>
          <w:rFonts w:hint="default" w:ascii="Times New Roman" w:hAnsi="Times New Roman" w:cs="Times New Roman"/>
          <w:b/>
          <w:bCs/>
          <w:color w:val="auto"/>
          <w:lang w:eastAsia="zh-CN"/>
        </w:rPr>
        <w:t>厌氧+二级AO反应池</w:t>
      </w:r>
      <w:r>
        <w:rPr>
          <w:rFonts w:hint="default" w:ascii="Times New Roman" w:hAnsi="Times New Roman" w:cs="Times New Roman"/>
          <w:color w:val="auto"/>
          <w:lang w:eastAsia="zh-CN"/>
        </w:rPr>
        <w:t>—二沉池—</w:t>
      </w:r>
      <w:r>
        <w:rPr>
          <w:rFonts w:hint="default" w:ascii="Times New Roman" w:hAnsi="Times New Roman" w:cs="Times New Roman"/>
          <w:b/>
          <w:bCs/>
          <w:color w:val="auto"/>
          <w:lang w:eastAsia="zh-CN"/>
        </w:rPr>
        <w:t>深度絮凝沉淀过滤设备</w:t>
      </w:r>
      <w:r>
        <w:rPr>
          <w:rFonts w:hint="default" w:ascii="Times New Roman" w:hAnsi="Times New Roman" w:cs="Times New Roman"/>
          <w:color w:val="auto"/>
          <w:lang w:eastAsia="zh-CN"/>
        </w:rPr>
        <w:t>—消毒”的组合处理工艺。污水处理厂处理能力不变，仍为</w:t>
      </w:r>
      <w:r>
        <w:rPr>
          <w:rFonts w:hint="default" w:ascii="Times New Roman" w:hAnsi="Times New Roman" w:cs="Times New Roman"/>
          <w:color w:val="auto"/>
          <w:lang w:val="en-US" w:eastAsia="zh-CN"/>
        </w:rPr>
        <w:t>7500</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/d，提标改造后出水水质达《城镇污水处理厂污染物排放标准》（GB18918-2002）一级A标准。具体生产工艺流程及产污环节见图3.</w:t>
      </w:r>
      <w:r>
        <w:rPr>
          <w:rFonts w:hint="eastAsia" w:cs="Times New Roman"/>
          <w:color w:val="auto"/>
          <w:lang w:val="en-US" w:eastAsia="zh-CN"/>
        </w:rPr>
        <w:t>5</w:t>
      </w:r>
      <w:r>
        <w:rPr>
          <w:rFonts w:hint="default" w:ascii="Times New Roman" w:hAnsi="Times New Roman" w:cs="Times New Roman"/>
          <w:color w:val="auto"/>
          <w:lang w:eastAsia="zh-CN"/>
        </w:rPr>
        <w:t>-1。</w:t>
      </w: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191135</wp:posOffset>
                </wp:positionH>
                <wp:positionV relativeFrom="paragraph">
                  <wp:posOffset>-46355</wp:posOffset>
                </wp:positionV>
                <wp:extent cx="5303520" cy="8107045"/>
                <wp:effectExtent l="5080" t="4445" r="10160" b="11430"/>
                <wp:wrapNone/>
                <wp:docPr id="43" name="文本框 43"/>
                <wp:cNvGraphicFramePr/>
                <a:graphic xmlns:a="http://schemas.openxmlformats.org/drawingml/2006/main">
                  <a:graphicData uri="http://schemas.microsoft.com/office/word/2010/wordprocessingShape">
                    <wps:wsp>
                      <wps:cNvSpPr txBox="1"/>
                      <wps:spPr>
                        <a:xfrm>
                          <a:off x="1010920" y="8207375"/>
                          <a:ext cx="5303520" cy="8107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drawing>
                                <wp:inline distT="0" distB="0" distL="114300" distR="114300">
                                  <wp:extent cx="5109210" cy="7331710"/>
                                  <wp:effectExtent l="0" t="0" r="11430" b="1397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9"/>
                                          <a:stretch>
                                            <a:fillRect/>
                                          </a:stretch>
                                        </pic:blipFill>
                                        <pic:spPr>
                                          <a:xfrm>
                                            <a:off x="0" y="0"/>
                                            <a:ext cx="5109210" cy="7331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pt;margin-top:-3.65pt;height:638.35pt;width:417.6pt;z-index:251663360;mso-width-relative:page;mso-height-relative:page;" fillcolor="#FFFFFF [3201]" filled="t" stroked="t" coordsize="21600,21600" o:gfxdata="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7JYpo1wAAAAoBAAAPAAAAAAAAAAEAIAAAACIAAABkcnMvZG93bnJldi54bWxQSwECFAAU&#10;AAAACACHTuJAXrDPR2QCAADGBAAADgAAAAAAAAABACAAAAAmAQAAZHJzL2Uyb0RvYy54bWxQSwUG&#10;AAAAAAYABgBZAQAA/AUAAAAA&#10;">
                <v:fill on="t" focussize="0,0"/>
                <v:stroke weight="0.5pt" color="#000000 [3204]" joinstyle="round"/>
                <v:imagedata o:title=""/>
                <o:lock v:ext="edit" aspectratio="f"/>
                <v:textbox>
                  <w:txbxContent>
                    <w:p>
                      <w:pPr>
                        <w:jc w:val="center"/>
                      </w:pPr>
                      <w:r>
                        <w:drawing>
                          <wp:inline distT="0" distB="0" distL="114300" distR="114300">
                            <wp:extent cx="5109210" cy="7331710"/>
                            <wp:effectExtent l="0" t="0" r="11430" b="1397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9"/>
                                    <a:stretch>
                                      <a:fillRect/>
                                    </a:stretch>
                                  </pic:blipFill>
                                  <pic:spPr>
                                    <a:xfrm>
                                      <a:off x="0" y="0"/>
                                      <a:ext cx="5109210" cy="7331710"/>
                                    </a:xfrm>
                                    <a:prstGeom prst="rect">
                                      <a:avLst/>
                                    </a:prstGeom>
                                    <a:noFill/>
                                    <a:ln>
                                      <a:noFill/>
                                    </a:ln>
                                  </pic:spPr>
                                </pic:pic>
                              </a:graphicData>
                            </a:graphic>
                          </wp:inline>
                        </w:drawing>
                      </w:r>
                    </w:p>
                  </w:txbxContent>
                </v:textbox>
              </v:shape>
            </w:pict>
          </mc:Fallback>
        </mc:AlternateContent>
      </w: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rPr>
          <w:rFonts w:hint="default" w:ascii="Times New Roman" w:hAnsi="Times New Roman" w:cs="Times New Roman"/>
          <w:color w:val="auto"/>
          <w:lang w:eastAsia="zh-CN"/>
        </w:rPr>
      </w:pPr>
    </w:p>
    <w:p>
      <w:pPr>
        <w:pStyle w:val="87"/>
        <w:bidi w:val="0"/>
        <w:ind w:left="0" w:leftChars="0" w:firstLine="0" w:firstLineChars="0"/>
        <w:rPr>
          <w:rFonts w:hint="default" w:ascii="Times New Roman" w:hAnsi="Times New Roman" w:cs="Times New Roman"/>
          <w:color w:val="auto"/>
          <w:lang w:val="en-US" w:eastAsia="zh-CN"/>
        </w:rPr>
      </w:pPr>
    </w:p>
    <w:p>
      <w:pPr>
        <w:pStyle w:val="87"/>
        <w:bidi w:val="0"/>
        <w:ind w:left="0" w:leftChars="0" w:firstLine="0" w:firstLineChars="0"/>
        <w:rPr>
          <w:rFonts w:hint="default" w:ascii="Times New Roman" w:hAnsi="Times New Roman" w:cs="Times New Roman"/>
          <w:color w:val="auto"/>
          <w:lang w:val="en-US" w:eastAsia="zh-CN"/>
        </w:rPr>
      </w:pPr>
    </w:p>
    <w:p>
      <w:pPr>
        <w:pStyle w:val="87"/>
        <w:bidi w:val="0"/>
        <w:ind w:left="0" w:leftChars="0" w:firstLine="0" w:firstLineChars="0"/>
        <w:rPr>
          <w:rFonts w:hint="default" w:ascii="Times New Roman" w:hAnsi="Times New Roman" w:cs="Times New Roman"/>
          <w:color w:val="auto"/>
          <w:lang w:val="en-US" w:eastAsia="zh-CN"/>
        </w:rPr>
      </w:pPr>
    </w:p>
    <w:p>
      <w:pPr>
        <w:pStyle w:val="103"/>
        <w:rPr>
          <w:rFonts w:hint="default" w:ascii="Times New Roman" w:hAnsi="Times New Roman" w:cs="Times New Roman"/>
          <w:color w:val="auto"/>
          <w:lang w:val="en-US"/>
        </w:rPr>
      </w:pPr>
      <w:r>
        <w:rPr>
          <w:rFonts w:hint="default" w:ascii="Times New Roman" w:hAnsi="Times New Roman" w:cs="Times New Roman"/>
          <w:color w:val="auto"/>
          <w:lang w:eastAsia="zh-CN"/>
        </w:rPr>
        <w:t>图</w:t>
      </w:r>
      <w:r>
        <w:rPr>
          <w:rFonts w:hint="default" w:ascii="Times New Roman" w:hAnsi="Times New Roman" w:cs="Times New Roman"/>
          <w:color w:val="auto"/>
          <w:lang w:val="en-US" w:eastAsia="zh-CN"/>
        </w:rPr>
        <w:t>3.</w:t>
      </w:r>
      <w:r>
        <w:rPr>
          <w:rFonts w:hint="eastAsia" w:cs="Times New Roman"/>
          <w:color w:val="auto"/>
          <w:lang w:val="en-US" w:eastAsia="zh-CN"/>
        </w:rPr>
        <w:t>5</w:t>
      </w:r>
      <w:r>
        <w:rPr>
          <w:rFonts w:hint="default" w:ascii="Times New Roman" w:hAnsi="Times New Roman" w:cs="Times New Roman"/>
          <w:color w:val="auto"/>
          <w:lang w:val="en-US" w:eastAsia="zh-CN"/>
        </w:rPr>
        <w:t>-1工艺流程及产污环节</w:t>
      </w:r>
    </w:p>
    <w:p>
      <w:pPr>
        <w:pStyle w:val="87"/>
        <w:ind w:firstLine="480"/>
        <w:rPr>
          <w:rFonts w:hint="default" w:ascii="Times New Roman" w:hAnsi="Times New Roman" w:cs="Times New Roman"/>
          <w:color w:val="auto"/>
        </w:rPr>
      </w:pPr>
    </w:p>
    <w:p>
      <w:pPr>
        <w:pStyle w:val="87"/>
        <w:ind w:firstLine="480"/>
        <w:rPr>
          <w:rFonts w:hint="default" w:ascii="Times New Roman" w:hAnsi="Times New Roman" w:cs="Times New Roman"/>
          <w:color w:val="auto"/>
        </w:rPr>
      </w:pPr>
      <w:r>
        <w:rPr>
          <w:rFonts w:hint="default" w:ascii="Times New Roman" w:hAnsi="Times New Roman" w:cs="Times New Roman"/>
          <w:color w:val="auto"/>
        </w:rPr>
        <w:t>工艺流程简述：</w:t>
      </w:r>
    </w:p>
    <w:p>
      <w:pPr>
        <w:pStyle w:val="87"/>
        <w:ind w:firstLine="480"/>
        <w:rPr>
          <w:rFonts w:hint="default" w:ascii="Times New Roman" w:hAnsi="Times New Roman" w:cs="Times New Roman"/>
          <w:color w:val="auto"/>
          <w:lang w:val="en-US"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GB2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⑴</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预处理：</w:t>
      </w:r>
    </w:p>
    <w:p>
      <w:pPr>
        <w:pStyle w:val="87"/>
        <w:ind w:firstLine="720" w:firstLineChars="3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①</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除磷工艺：前置化学预除磷（混凝沉淀池）+生物除磷（生化池）+后置化学强化除磷（深度絮凝沉淀过滤设备）工艺。</w:t>
      </w:r>
    </w:p>
    <w:p>
      <w:pPr>
        <w:pStyle w:val="87"/>
        <w:ind w:firstLine="720" w:firstLineChars="3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②</w:t>
      </w:r>
      <w:r>
        <w:rPr>
          <w:rFonts w:hint="default" w:ascii="Times New Roman" w:hAnsi="Times New Roman" w:cs="Times New Roman"/>
          <w:color w:val="auto"/>
          <w:lang w:val="en-US" w:eastAsia="zh-CN"/>
        </w:rPr>
        <w:fldChar w:fldCharType="end"/>
      </w:r>
      <w:r>
        <w:rPr>
          <w:rFonts w:hint="eastAsia" w:cs="Times New Roman"/>
          <w:color w:val="auto"/>
          <w:lang w:val="en-US" w:eastAsia="zh-CN"/>
        </w:rPr>
        <w:t>除</w:t>
      </w:r>
      <w:r>
        <w:rPr>
          <w:rFonts w:hint="default" w:ascii="Times New Roman" w:hAnsi="Times New Roman" w:cs="Times New Roman"/>
          <w:color w:val="auto"/>
          <w:lang w:val="en-US" w:eastAsia="zh-CN"/>
        </w:rPr>
        <w:t>油工艺：污水处理厂除油沿用</w:t>
      </w:r>
      <w:r>
        <w:rPr>
          <w:rFonts w:hint="eastAsia" w:cs="Times New Roman"/>
          <w:color w:val="auto"/>
          <w:lang w:val="en-US" w:eastAsia="zh-CN"/>
        </w:rPr>
        <w:t>现有</w:t>
      </w:r>
      <w:r>
        <w:rPr>
          <w:rFonts w:hint="default" w:ascii="Times New Roman" w:hAnsi="Times New Roman" w:cs="Times New Roman"/>
          <w:color w:val="auto"/>
          <w:lang w:val="en-US" w:eastAsia="zh-CN"/>
        </w:rPr>
        <w:t>气浮工艺。</w:t>
      </w:r>
    </w:p>
    <w:p>
      <w:pPr>
        <w:pStyle w:val="87"/>
        <w:ind w:firstLine="720" w:firstLineChars="3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③</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除高浓度COD工艺：污水处理厂除高浓度COD用水解酸化工艺。</w:t>
      </w:r>
    </w:p>
    <w:p>
      <w:pPr>
        <w:pStyle w:val="8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⑵</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生化处理工艺：</w:t>
      </w:r>
    </w:p>
    <w:p>
      <w:pPr>
        <w:pStyle w:val="87"/>
        <w:ind w:firstLine="720" w:firstLineChars="3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选择考虑经济、高效、节能和简便易行。经济即占地面积少以节省征地费，必要的处理设施少以减少总投资的第一部分费用，从而减少总投资；高效即出水在去除有机污染物的同时还能有效的去除氮、磷等污染物；节能即尽量采用经济节能型设备和减少处理设施的数量，如取消初沉池和污泥回流等，从而减少运行费用，以克服我国许多地方建得起污水厂运行不起的弊端；简便即对操作运行人员的水平要求不高以适应中污水处理厂运行人员特点，同时减少运行人员的数量，这也在一定程度上减少了运行费用。故本次提标及工艺技改工程推荐采用多段AO工艺作为生化主体工艺。</w:t>
      </w:r>
    </w:p>
    <w:p>
      <w:pPr>
        <w:pStyle w:val="8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⑶</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强化工艺：</w:t>
      </w:r>
    </w:p>
    <w:p>
      <w:pPr>
        <w:pStyle w:val="87"/>
        <w:ind w:firstLine="720" w:firstLineChars="3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强化处理以SS的去除作为重点目标。采用“二级处理出水——混凝——沉淀——过滤工艺（混凝沉淀过滤法）”，对二级处理出水的污染物有较高的去除率，安全、稳妥，也便于远期污水回用于城市。</w:t>
      </w:r>
    </w:p>
    <w:p>
      <w:pPr>
        <w:pStyle w:val="8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4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⑷</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消毒和污泥工艺：</w:t>
      </w:r>
    </w:p>
    <w:p>
      <w:pPr>
        <w:pStyle w:val="87"/>
        <w:ind w:firstLine="720" w:firstLineChars="3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消毒工艺：二氧化氯消毒（通过氯酸钠和盐酸就地现场制备）；</w:t>
      </w:r>
    </w:p>
    <w:p>
      <w:pPr>
        <w:pStyle w:val="87"/>
        <w:ind w:firstLine="720" w:firstLineChars="3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污泥工艺：剩余污泥通过脱水机房（带式浓缩脱水压滤机）脱水后，泥饼外运处置。</w:t>
      </w:r>
    </w:p>
    <w:p>
      <w:pPr>
        <w:pStyle w:val="148"/>
        <w:rPr>
          <w:rFonts w:hint="default" w:ascii="Times New Roman" w:hAnsi="Times New Roman" w:eastAsia="宋体" w:cs="Times New Roman"/>
          <w:bCs w:val="0"/>
          <w:color w:val="auto"/>
          <w:kern w:val="0"/>
          <w:sz w:val="24"/>
          <w:lang w:val="en-US" w:eastAsia="zh-CN" w:bidi="ar-SA"/>
        </w:rPr>
      </w:pPr>
      <w:bookmarkStart w:id="35" w:name="_Toc7363"/>
      <w:r>
        <w:rPr>
          <w:rFonts w:hint="default" w:ascii="Times New Roman" w:hAnsi="Times New Roman" w:eastAsia="宋体" w:cs="Times New Roman"/>
          <w:bCs w:val="0"/>
          <w:color w:val="auto"/>
          <w:kern w:val="0"/>
          <w:sz w:val="24"/>
          <w:lang w:val="en-US" w:eastAsia="zh-CN" w:bidi="ar-SA"/>
        </w:rPr>
        <w:fldChar w:fldCharType="begin"/>
      </w:r>
      <w:r>
        <w:rPr>
          <w:rFonts w:hint="default" w:ascii="Times New Roman" w:hAnsi="Times New Roman" w:eastAsia="宋体" w:cs="Times New Roman"/>
          <w:bCs w:val="0"/>
          <w:color w:val="auto"/>
          <w:kern w:val="0"/>
          <w:sz w:val="24"/>
          <w:lang w:val="en-US" w:eastAsia="zh-CN" w:bidi="ar-SA"/>
        </w:rPr>
        <w:instrText xml:space="preserve"> = 5 \* GB2 \* MERGEFORMAT </w:instrText>
      </w:r>
      <w:r>
        <w:rPr>
          <w:rFonts w:hint="default" w:ascii="Times New Roman" w:hAnsi="Times New Roman" w:eastAsia="宋体" w:cs="Times New Roman"/>
          <w:bCs w:val="0"/>
          <w:color w:val="auto"/>
          <w:kern w:val="0"/>
          <w:sz w:val="24"/>
          <w:lang w:val="en-US" w:eastAsia="zh-CN" w:bidi="ar-SA"/>
        </w:rPr>
        <w:fldChar w:fldCharType="separate"/>
      </w:r>
      <w:r>
        <w:rPr>
          <w:rFonts w:hint="default" w:ascii="Times New Roman" w:hAnsi="Times New Roman" w:cs="Times New Roman"/>
          <w:color w:val="auto"/>
        </w:rPr>
        <w:t>⑸</w:t>
      </w:r>
      <w:r>
        <w:rPr>
          <w:rFonts w:hint="default" w:ascii="Times New Roman" w:hAnsi="Times New Roman" w:eastAsia="宋体" w:cs="Times New Roman"/>
          <w:bCs w:val="0"/>
          <w:color w:val="auto"/>
          <w:kern w:val="0"/>
          <w:sz w:val="24"/>
          <w:lang w:val="en-US" w:eastAsia="zh-CN" w:bidi="ar-SA"/>
        </w:rPr>
        <w:fldChar w:fldCharType="end"/>
      </w:r>
      <w:r>
        <w:rPr>
          <w:rFonts w:hint="default" w:ascii="Times New Roman" w:hAnsi="Times New Roman" w:cs="Times New Roman"/>
          <w:bCs w:val="0"/>
          <w:color w:val="auto"/>
          <w:kern w:val="0"/>
          <w:sz w:val="24"/>
          <w:lang w:val="en-US" w:eastAsia="zh-CN" w:bidi="ar-SA"/>
        </w:rPr>
        <w:t>整体工艺：</w:t>
      </w:r>
    </w:p>
    <w:p>
      <w:pPr>
        <w:pStyle w:val="148"/>
        <w:rPr>
          <w:rFonts w:hint="default" w:ascii="Times New Roman" w:hAnsi="Times New Roman" w:eastAsia="宋体" w:cs="Times New Roman"/>
          <w:bCs w:val="0"/>
          <w:color w:val="auto"/>
          <w:kern w:val="0"/>
          <w:sz w:val="24"/>
          <w:lang w:val="en-US" w:eastAsia="zh-CN" w:bidi="ar-SA"/>
        </w:rPr>
      </w:pPr>
      <w:r>
        <w:rPr>
          <w:rFonts w:hint="default" w:ascii="Times New Roman" w:hAnsi="Times New Roman" w:eastAsia="宋体" w:cs="Times New Roman"/>
          <w:bCs w:val="0"/>
          <w:color w:val="auto"/>
          <w:kern w:val="0"/>
          <w:sz w:val="24"/>
          <w:lang w:val="en-US" w:eastAsia="zh-CN" w:bidi="ar-SA"/>
        </w:rPr>
        <w:t>整个服务范围内的工业废水、生活污水经一条主干管送至污水处理厂后，首先流经进水井、粗格栅渠，去除污水中的大块杂物及漂浮物等，再自流进入调节池、提升泵房，再由提升泵送至细格栅渠前的配水井，再流经细格栅机，进一步去除污水中的大块杂物和漂浮物，接着污水自流进入曝气沉砂池。</w:t>
      </w:r>
    </w:p>
    <w:p>
      <w:pPr>
        <w:pStyle w:val="148"/>
        <w:rPr>
          <w:rFonts w:hint="default" w:ascii="Times New Roman" w:hAnsi="Times New Roman" w:eastAsia="宋体" w:cs="Times New Roman"/>
          <w:bCs w:val="0"/>
          <w:color w:val="auto"/>
          <w:kern w:val="0"/>
          <w:sz w:val="24"/>
          <w:lang w:val="en-US" w:eastAsia="zh-CN" w:bidi="ar-SA"/>
        </w:rPr>
      </w:pPr>
      <w:r>
        <w:rPr>
          <w:rFonts w:hint="default" w:ascii="Times New Roman" w:hAnsi="Times New Roman" w:eastAsia="宋体" w:cs="Times New Roman"/>
          <w:bCs w:val="0"/>
          <w:color w:val="auto"/>
          <w:kern w:val="0"/>
          <w:sz w:val="24"/>
          <w:lang w:val="en-US" w:eastAsia="zh-CN" w:bidi="ar-SA"/>
        </w:rPr>
        <w:t>污水经曝气沉砂池去除颗粒物后，自流进入中间泵池，由中间泵池提升泵提升至混凝沉淀池，进一步去除悬浮颗粒物及TP后，自流进入一体化气浮设备。废水经气浮去</w:t>
      </w:r>
      <w:r>
        <w:rPr>
          <w:rFonts w:hint="eastAsia" w:cs="Times New Roman"/>
          <w:bCs w:val="0"/>
          <w:color w:val="auto"/>
          <w:kern w:val="0"/>
          <w:sz w:val="24"/>
          <w:lang w:val="en-US" w:eastAsia="zh-CN" w:bidi="ar-SA"/>
        </w:rPr>
        <w:t>除</w:t>
      </w:r>
      <w:r>
        <w:rPr>
          <w:rFonts w:hint="default" w:ascii="Times New Roman" w:hAnsi="Times New Roman" w:eastAsia="宋体" w:cs="Times New Roman"/>
          <w:bCs w:val="0"/>
          <w:color w:val="auto"/>
          <w:kern w:val="0"/>
          <w:sz w:val="24"/>
          <w:lang w:val="en-US" w:eastAsia="zh-CN" w:bidi="ar-SA"/>
        </w:rPr>
        <w:t>大量油类后，自流进入水解酸化池，在厌氧污泥的作用下，将大分子有机物分解为小分子易降解的有机物，去除部分COD，降低生化系统的有机负荷。</w:t>
      </w:r>
    </w:p>
    <w:p>
      <w:pPr>
        <w:pStyle w:val="148"/>
        <w:rPr>
          <w:rFonts w:hint="default" w:ascii="Times New Roman" w:hAnsi="Times New Roman" w:eastAsia="宋体" w:cs="Times New Roman"/>
          <w:bCs w:val="0"/>
          <w:color w:val="auto"/>
          <w:kern w:val="0"/>
          <w:sz w:val="24"/>
          <w:lang w:val="en-US" w:eastAsia="zh-CN" w:bidi="ar-SA"/>
        </w:rPr>
      </w:pPr>
      <w:r>
        <w:rPr>
          <w:rFonts w:hint="default" w:ascii="Times New Roman" w:hAnsi="Times New Roman" w:eastAsia="宋体" w:cs="Times New Roman"/>
          <w:bCs w:val="0"/>
          <w:color w:val="auto"/>
          <w:kern w:val="0"/>
          <w:sz w:val="24"/>
          <w:lang w:val="en-US" w:eastAsia="zh-CN" w:bidi="ar-SA"/>
        </w:rPr>
        <w:t>自水解酸化池的出水满足设计要求后自流进入生化反应池，与回流的混合液、污泥混合后，去除污水中大量的有机物、氨氮、磷等污染物，经二沉池沉淀后进入中间水池，经中间水池提升泵提升至组合式高效反应澄清过滤机，进一步对出水的SS，TP去除，出水回到消毒池，向消毒池内投加消毒剂，出水消毒后达标排放。</w:t>
      </w:r>
    </w:p>
    <w:p>
      <w:pPr>
        <w:pStyle w:val="148"/>
        <w:rPr>
          <w:rFonts w:hint="default" w:ascii="Times New Roman" w:hAnsi="Times New Roman" w:eastAsia="宋体" w:cs="Times New Roman"/>
          <w:bCs w:val="0"/>
          <w:color w:val="auto"/>
          <w:kern w:val="0"/>
          <w:sz w:val="24"/>
          <w:lang w:val="en-US" w:eastAsia="zh-CN" w:bidi="ar-SA"/>
        </w:rPr>
      </w:pPr>
      <w:r>
        <w:rPr>
          <w:rFonts w:hint="default" w:ascii="Times New Roman" w:hAnsi="Times New Roman" w:eastAsia="宋体" w:cs="Times New Roman"/>
          <w:bCs w:val="0"/>
          <w:color w:val="auto"/>
          <w:kern w:val="0"/>
          <w:sz w:val="24"/>
          <w:lang w:val="en-US" w:eastAsia="zh-CN" w:bidi="ar-SA"/>
        </w:rPr>
        <w:t>二级AO反应池、组合式高效反应澄清过滤机（深度絮凝沉淀过滤设备）等构筑物排放的剩余污泥进入污泥池，经污泥泵送入带式脱水机进行脱水，脱水后的干污泥外运处置。</w:t>
      </w:r>
    </w:p>
    <w:p>
      <w:pPr>
        <w:pStyle w:val="4"/>
        <w:rPr>
          <w:rFonts w:hint="default" w:ascii="Times New Roman" w:hAnsi="Times New Roman" w:cs="Times New Roman"/>
          <w:color w:val="auto"/>
          <w:sz w:val="32"/>
          <w:szCs w:val="32"/>
          <w:highlight w:val="none"/>
        </w:rPr>
      </w:pPr>
      <w:bookmarkStart w:id="36" w:name="_Toc5109"/>
      <w:r>
        <w:rPr>
          <w:rFonts w:hint="default" w:ascii="Times New Roman" w:hAnsi="Times New Roman" w:cs="Times New Roman"/>
          <w:color w:val="auto"/>
          <w:sz w:val="32"/>
          <w:szCs w:val="32"/>
          <w:highlight w:val="none"/>
        </w:rPr>
        <w:t>3.</w:t>
      </w:r>
      <w:r>
        <w:rPr>
          <w:rFonts w:hint="eastAsia" w:cs="Times New Roman"/>
          <w:color w:val="auto"/>
          <w:sz w:val="32"/>
          <w:szCs w:val="32"/>
          <w:highlight w:val="none"/>
          <w:lang w:val="en-US" w:eastAsia="zh-CN"/>
        </w:rPr>
        <w:t>6</w:t>
      </w:r>
      <w:r>
        <w:rPr>
          <w:rFonts w:hint="default" w:ascii="Times New Roman" w:hAnsi="Times New Roman" w:cs="Times New Roman"/>
          <w:color w:val="auto"/>
          <w:sz w:val="32"/>
          <w:szCs w:val="32"/>
          <w:highlight w:val="none"/>
        </w:rPr>
        <w:t>工程变动情况</w:t>
      </w:r>
      <w:bookmarkEnd w:id="35"/>
      <w:bookmarkEnd w:id="36"/>
    </w:p>
    <w:p>
      <w:pPr>
        <w:pStyle w:val="8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对照提标改造设计资料，项目的变动情况如下：</w:t>
      </w:r>
    </w:p>
    <w:p>
      <w:pPr>
        <w:pStyle w:val="87"/>
        <w:numPr>
          <w:ilvl w:val="0"/>
          <w:numId w:val="3"/>
        </w:num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浮渣收集池尺寸变动情况：提标改造设计阶段浮渣收集池尺寸为L×B×H=</w:t>
      </w:r>
      <w:r>
        <w:rPr>
          <w:rFonts w:hint="default" w:ascii="Times New Roman" w:hAnsi="Times New Roman" w:cs="Times New Roman"/>
          <w:color w:val="auto"/>
          <w:lang w:val="zh-CN" w:eastAsia="zh-CN"/>
        </w:rPr>
        <w:t>4.5</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val="zh-CN" w:eastAsia="zh-CN"/>
        </w:rPr>
        <w:t>3.0</w:t>
      </w:r>
      <w:r>
        <w:rPr>
          <w:rFonts w:hint="default" w:ascii="Times New Roman" w:hAnsi="Times New Roman" w:cs="Times New Roman"/>
          <w:color w:val="auto"/>
          <w:lang w:val="en-US" w:eastAsia="zh-CN"/>
        </w:rPr>
        <w:t>*</w:t>
      </w:r>
      <w:r>
        <w:rPr>
          <w:rFonts w:hint="default" w:ascii="Times New Roman" w:hAnsi="Times New Roman" w:cs="Times New Roman"/>
          <w:color w:val="auto"/>
          <w:lang w:val="zh-CN" w:eastAsia="zh-CN"/>
        </w:rPr>
        <w:t>6.0m，</w:t>
      </w:r>
      <w:r>
        <w:rPr>
          <w:rFonts w:hint="default" w:ascii="Times New Roman" w:hAnsi="Times New Roman" w:cs="Times New Roman"/>
          <w:color w:val="auto"/>
          <w:lang w:val="en-US" w:eastAsia="zh-CN"/>
        </w:rPr>
        <w:t>实际建设尺寸为L×B×H=</w:t>
      </w:r>
      <w:r>
        <w:rPr>
          <w:rFonts w:hint="default" w:ascii="Times New Roman" w:hAnsi="Times New Roman" w:cs="Times New Roman"/>
          <w:color w:val="auto"/>
          <w:lang w:val="zh-CN" w:eastAsia="zh-CN"/>
        </w:rPr>
        <w:t>4.5</w:t>
      </w:r>
      <w:r>
        <w:rPr>
          <w:rFonts w:hint="default" w:ascii="Times New Roman" w:hAnsi="Times New Roman" w:cs="Times New Roman"/>
          <w:color w:val="auto"/>
          <w:lang w:val="en-US" w:eastAsia="zh-CN"/>
        </w:rPr>
        <w:t xml:space="preserve"> *4.5*10</w:t>
      </w:r>
      <w:r>
        <w:rPr>
          <w:rFonts w:hint="default" w:ascii="Times New Roman" w:hAnsi="Times New Roman" w:cs="Times New Roman"/>
          <w:color w:val="auto"/>
          <w:lang w:val="zh-CN" w:eastAsia="zh-CN"/>
        </w:rPr>
        <w:t>.0m，</w:t>
      </w:r>
      <w:r>
        <w:rPr>
          <w:rFonts w:hint="default" w:ascii="Times New Roman" w:hAnsi="Times New Roman" w:cs="Times New Roman"/>
          <w:color w:val="auto"/>
          <w:lang w:val="en-US" w:eastAsia="zh-CN"/>
        </w:rPr>
        <w:t>尺寸变大，更有利于开展工作。</w:t>
      </w:r>
    </w:p>
    <w:p>
      <w:pPr>
        <w:pStyle w:val="87"/>
        <w:numPr>
          <w:ilvl w:val="0"/>
          <w:numId w:val="3"/>
        </w:num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水解酸化池变动情况：提标改造设计阶段水解酸化池新增1座，尺寸为L×B×H=12*8*7.2m，实际建设2座，尺寸为L×B×H=16*12*7.2m，能够更高效的去除COD。</w:t>
      </w:r>
    </w:p>
    <w:p>
      <w:pPr>
        <w:pStyle w:val="87"/>
        <w:numPr>
          <w:ilvl w:val="0"/>
          <w:numId w:val="3"/>
        </w:numPr>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深度絮凝沉淀过滤设备基础：提标改造设计阶段尺寸为L×B×H=6*6*0.4m，实际建设尺寸为L×B×H=7*7*0.5m。</w:t>
      </w:r>
    </w:p>
    <w:p>
      <w:pPr>
        <w:pStyle w:val="87"/>
        <w:numPr>
          <w:ilvl w:val="0"/>
          <w:numId w:val="3"/>
        </w:numPr>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lang w:val="en-US" w:eastAsia="zh-CN"/>
        </w:rPr>
        <w:t>2#排气筒变化情况：提标改造设计阶段处理风量15000m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/h，实际处理风量为28000m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/h，处理效率更高。</w:t>
      </w:r>
    </w:p>
    <w:p>
      <w:pPr>
        <w:pStyle w:val="87"/>
        <w:numPr>
          <w:ilvl w:val="0"/>
          <w:numId w:val="3"/>
        </w:numPr>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污泥提升泵：提标改造设计阶段为3台（2备1用），实际增设4台，浮渣池新增一台。</w:t>
      </w:r>
    </w:p>
    <w:p>
      <w:pPr>
        <w:pStyle w:val="87"/>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与《关于印发淀粉等五个行业建设项目重大变动清单的通知--水处理建设项目重大变动清单（试行）》（环办环评函〔2019〕934号）中重大变动界定内容对比见表</w:t>
      </w:r>
      <w:r>
        <w:rPr>
          <w:rFonts w:hint="default" w:ascii="Times New Roman" w:hAnsi="Times New Roman" w:cs="Times New Roman"/>
          <w:color w:val="auto"/>
          <w:sz w:val="24"/>
          <w:szCs w:val="24"/>
          <w:lang w:val="en-US" w:eastAsia="zh-CN"/>
        </w:rPr>
        <w:t>3.</w:t>
      </w:r>
      <w:r>
        <w:rPr>
          <w:rFonts w:hint="eastAsia" w:cs="Times New Roman"/>
          <w:color w:val="auto"/>
          <w:sz w:val="24"/>
          <w:szCs w:val="24"/>
          <w:lang w:val="en-US" w:eastAsia="zh-CN"/>
        </w:rPr>
        <w:t>6</w:t>
      </w:r>
      <w:r>
        <w:rPr>
          <w:rFonts w:hint="default" w:ascii="Times New Roman" w:hAnsi="Times New Roman" w:cs="Times New Roman"/>
          <w:color w:val="auto"/>
          <w:sz w:val="24"/>
          <w:szCs w:val="24"/>
          <w:lang w:val="en-US" w:eastAsia="zh-CN"/>
        </w:rPr>
        <w:t>-1。</w:t>
      </w:r>
    </w:p>
    <w:p>
      <w:pPr>
        <w:pStyle w:val="87"/>
        <w:numPr>
          <w:ilvl w:val="0"/>
          <w:numId w:val="0"/>
        </w:numPr>
        <w:jc w:val="center"/>
        <w:rPr>
          <w:rFonts w:hint="default" w:ascii="Times New Roman" w:hAnsi="Times New Roman" w:cs="Times New Roman"/>
          <w:b/>
          <w:bCs/>
          <w:color w:val="auto"/>
          <w:sz w:val="24"/>
          <w:szCs w:val="28"/>
        </w:rPr>
      </w:pPr>
    </w:p>
    <w:p>
      <w:pPr>
        <w:pStyle w:val="87"/>
        <w:numPr>
          <w:ilvl w:val="0"/>
          <w:numId w:val="0"/>
        </w:numPr>
        <w:jc w:val="center"/>
        <w:rPr>
          <w:rFonts w:hint="default" w:ascii="Times New Roman" w:hAnsi="Times New Roman" w:cs="Times New Roman"/>
          <w:b/>
          <w:bCs/>
          <w:color w:val="auto"/>
          <w:sz w:val="24"/>
          <w:szCs w:val="28"/>
        </w:rPr>
      </w:pPr>
    </w:p>
    <w:p>
      <w:pPr>
        <w:pStyle w:val="87"/>
        <w:numPr>
          <w:ilvl w:val="0"/>
          <w:numId w:val="0"/>
        </w:numPr>
        <w:jc w:val="center"/>
        <w:rPr>
          <w:rFonts w:hint="default" w:ascii="Times New Roman" w:hAnsi="Times New Roman" w:cs="Times New Roman"/>
          <w:b/>
          <w:bCs/>
          <w:color w:val="auto"/>
          <w:sz w:val="24"/>
          <w:szCs w:val="28"/>
        </w:rPr>
      </w:pPr>
    </w:p>
    <w:p>
      <w:pPr>
        <w:pStyle w:val="87"/>
        <w:numPr>
          <w:ilvl w:val="0"/>
          <w:numId w:val="0"/>
        </w:numPr>
        <w:jc w:val="center"/>
        <w:rPr>
          <w:rFonts w:hint="default" w:ascii="Times New Roman" w:hAnsi="Times New Roman" w:cs="Times New Roman"/>
          <w:b/>
          <w:bCs/>
          <w:color w:val="auto"/>
          <w:sz w:val="24"/>
          <w:szCs w:val="28"/>
        </w:rPr>
      </w:pPr>
    </w:p>
    <w:p>
      <w:pPr>
        <w:pStyle w:val="87"/>
        <w:numPr>
          <w:ilvl w:val="0"/>
          <w:numId w:val="0"/>
        </w:numPr>
        <w:jc w:val="center"/>
        <w:rPr>
          <w:rFonts w:hint="default" w:ascii="Times New Roman" w:hAnsi="Times New Roman" w:cs="Times New Roman"/>
          <w:b/>
          <w:bCs/>
          <w:color w:val="auto"/>
          <w:sz w:val="24"/>
          <w:szCs w:val="28"/>
        </w:rPr>
      </w:pPr>
    </w:p>
    <w:p>
      <w:pPr>
        <w:pStyle w:val="87"/>
        <w:numPr>
          <w:ilvl w:val="0"/>
          <w:numId w:val="0"/>
        </w:numPr>
        <w:jc w:val="center"/>
        <w:rPr>
          <w:rFonts w:hint="default" w:ascii="Times New Roman" w:hAnsi="Times New Roman" w:cs="Times New Roman"/>
          <w:b w:val="0"/>
          <w:bCs w:val="0"/>
          <w:color w:val="auto"/>
          <w:szCs w:val="21"/>
          <w:lang w:val="en-US" w:eastAsia="zh-CN"/>
        </w:rPr>
      </w:pPr>
      <w:r>
        <w:rPr>
          <w:rFonts w:hint="default" w:ascii="Times New Roman" w:hAnsi="Times New Roman" w:cs="Times New Roman"/>
          <w:b/>
          <w:bCs/>
          <w:color w:val="auto"/>
          <w:sz w:val="24"/>
          <w:szCs w:val="28"/>
        </w:rPr>
        <w:t>表</w:t>
      </w:r>
      <w:r>
        <w:rPr>
          <w:rFonts w:hint="default" w:ascii="Times New Roman" w:hAnsi="Times New Roman" w:cs="Times New Roman"/>
          <w:b/>
          <w:bCs/>
          <w:color w:val="auto"/>
          <w:sz w:val="24"/>
          <w:szCs w:val="28"/>
          <w:lang w:val="en-US" w:eastAsia="zh-CN"/>
        </w:rPr>
        <w:t>3.</w:t>
      </w:r>
      <w:r>
        <w:rPr>
          <w:rFonts w:hint="eastAsia" w:cs="Times New Roman"/>
          <w:b/>
          <w:bCs/>
          <w:color w:val="auto"/>
          <w:sz w:val="24"/>
          <w:szCs w:val="28"/>
          <w:lang w:val="en-US" w:eastAsia="zh-CN"/>
        </w:rPr>
        <w:t>6</w:t>
      </w:r>
      <w:r>
        <w:rPr>
          <w:rFonts w:hint="default" w:ascii="Times New Roman" w:hAnsi="Times New Roman" w:cs="Times New Roman"/>
          <w:b/>
          <w:bCs/>
          <w:color w:val="auto"/>
          <w:sz w:val="24"/>
          <w:szCs w:val="28"/>
          <w:lang w:val="en-US" w:eastAsia="zh-CN"/>
        </w:rPr>
        <w:t>-1</w:t>
      </w:r>
      <w:r>
        <w:rPr>
          <w:rFonts w:hint="default" w:ascii="Times New Roman" w:hAnsi="Times New Roman" w:cs="Times New Roman"/>
          <w:b/>
          <w:bCs/>
          <w:color w:val="auto"/>
          <w:sz w:val="24"/>
          <w:szCs w:val="28"/>
        </w:rPr>
        <w:t>污染影响类建设项目重大变动清单</w:t>
      </w:r>
      <w:r>
        <w:rPr>
          <w:rFonts w:hint="default" w:ascii="Times New Roman" w:hAnsi="Times New Roman" w:cs="Times New Roman"/>
          <w:b/>
          <w:bCs/>
          <w:color w:val="auto"/>
          <w:sz w:val="24"/>
          <w:szCs w:val="28"/>
          <w:lang w:eastAsia="zh-CN"/>
        </w:rPr>
        <w:t>界定</w:t>
      </w:r>
      <w:r>
        <w:rPr>
          <w:rFonts w:hint="default" w:ascii="Times New Roman" w:hAnsi="Times New Roman" w:cs="Times New Roman"/>
          <w:b/>
          <w:bCs/>
          <w:color w:val="auto"/>
          <w:sz w:val="24"/>
          <w:szCs w:val="28"/>
        </w:rPr>
        <w:t>对比表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3938"/>
        <w:gridCol w:w="3270"/>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类别</w:t>
            </w: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环办环评函〔2019〕934号</w:t>
            </w:r>
          </w:p>
        </w:tc>
        <w:tc>
          <w:tcPr>
            <w:tcW w:w="18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r>
              <w:rPr>
                <w:rFonts w:hint="default" w:ascii="Times New Roman" w:hAnsi="Times New Roman" w:eastAsia="宋体" w:cs="Times New Roman"/>
                <w:b/>
                <w:bCs/>
                <w:color w:val="auto"/>
                <w:sz w:val="21"/>
                <w:szCs w:val="21"/>
                <w:lang w:eastAsia="zh-CN"/>
              </w:rPr>
              <w:t>实际</w:t>
            </w:r>
            <w:r>
              <w:rPr>
                <w:rFonts w:hint="default" w:ascii="Times New Roman" w:hAnsi="Times New Roman" w:eastAsia="宋体" w:cs="Times New Roman"/>
                <w:b/>
                <w:bCs/>
                <w:color w:val="auto"/>
                <w:sz w:val="21"/>
                <w:szCs w:val="21"/>
              </w:rPr>
              <w:t>情况</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规模</w:t>
            </w: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1.污水设计日处理能力增加30%及以上。</w:t>
            </w:r>
          </w:p>
        </w:tc>
        <w:tc>
          <w:tcPr>
            <w:tcW w:w="18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项目污水日处理能力未发生变化</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建设</w:t>
            </w:r>
            <w:r>
              <w:rPr>
                <w:rFonts w:hint="default" w:ascii="Times New Roman" w:hAnsi="Times New Roman" w:eastAsia="宋体" w:cs="Times New Roman"/>
                <w:color w:val="auto"/>
                <w:sz w:val="21"/>
                <w:szCs w:val="21"/>
              </w:rPr>
              <w:t>地点</w:t>
            </w: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2.项目重新选址；在原厂址附近调整（包括总平面布置变化）导致大气环境防护距离内新增环境敏感点。</w:t>
            </w:r>
          </w:p>
        </w:tc>
        <w:tc>
          <w:tcPr>
            <w:tcW w:w="18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项目位于</w:t>
            </w:r>
            <w:r>
              <w:rPr>
                <w:rFonts w:hint="default" w:ascii="Times New Roman" w:hAnsi="Times New Roman" w:cs="Times New Roman"/>
                <w:color w:val="auto"/>
                <w:sz w:val="21"/>
                <w:szCs w:val="21"/>
                <w:lang w:val="en-US" w:eastAsia="zh-CN"/>
              </w:rPr>
              <w:t>荣昌区荣隆工业园</w:t>
            </w:r>
            <w:r>
              <w:rPr>
                <w:rFonts w:hint="default" w:ascii="Times New Roman" w:hAnsi="Times New Roman" w:cs="Times New Roman"/>
                <w:color w:val="auto"/>
                <w:sz w:val="21"/>
                <w:szCs w:val="21"/>
                <w:lang w:eastAsia="zh-CN"/>
              </w:rPr>
              <w:t>内，未重新选址；本次调整在大气环境防护距离内未新增环境敏感点</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生产工艺</w:t>
            </w: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3.废水处理工艺变化或进水水质、水量变化，导致污染物项目或污染物排放量增加。</w:t>
            </w:r>
          </w:p>
        </w:tc>
        <w:tc>
          <w:tcPr>
            <w:tcW w:w="18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项目废水处理工艺未发生变化，进水水质、水量未变化</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4.新增废水排放口；废水排放去向由间接排放改为直接排放；直接排放口位置变化导致不利环境影响加重。</w:t>
            </w:r>
          </w:p>
        </w:tc>
        <w:tc>
          <w:tcPr>
            <w:tcW w:w="18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不新增废水直接排放口；废水排放方式也未发生变化；直接排放口位置未变化</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5.废气处理设施变化导致污染物排放量增加（废气无组织排放改为有组织排放的除外）；排气筒高度降低10%及以上。</w:t>
            </w:r>
          </w:p>
        </w:tc>
        <w:tc>
          <w:tcPr>
            <w:tcW w:w="18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项目恶臭废气有组织排放，未发生变化，排气筒高度15m，未发生变化</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p>
        </w:tc>
        <w:tc>
          <w:tcPr>
            <w:tcW w:w="21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6.污泥产生量增加且自行处置能力不足，或污泥处置方式由外委改为自行处置，或自行处置方式变化，导致不利环境影响加重。</w:t>
            </w:r>
          </w:p>
        </w:tc>
        <w:tc>
          <w:tcPr>
            <w:tcW w:w="180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本项目污泥处置方式未发生变化</w:t>
            </w:r>
          </w:p>
        </w:tc>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不属于</w:t>
            </w:r>
          </w:p>
        </w:tc>
      </w:tr>
    </w:tbl>
    <w:p>
      <w:pPr>
        <w:pStyle w:val="87"/>
        <w:bidi w:val="0"/>
        <w:rPr>
          <w:rFonts w:hint="default" w:ascii="Times New Roman" w:hAnsi="Times New Roman" w:eastAsia="宋体" w:cs="Times New Roman"/>
          <w:color w:val="auto"/>
          <w:kern w:val="0"/>
          <w:sz w:val="24"/>
          <w:szCs w:val="24"/>
          <w:lang w:eastAsia="zh-CN"/>
        </w:rPr>
      </w:pPr>
    </w:p>
    <w:p>
      <w:pPr>
        <w:pStyle w:val="87"/>
        <w:bidi w:val="0"/>
        <w:rPr>
          <w:rFonts w:hint="default" w:ascii="Times New Roman" w:hAnsi="Times New Roman" w:cs="Times New Roman"/>
          <w:color w:val="auto"/>
        </w:rPr>
        <w:sectPr>
          <w:pgSz w:w="11907" w:h="16840"/>
          <w:pgMar w:top="1440" w:right="1531" w:bottom="1440" w:left="1531" w:header="850" w:footer="851" w:gutter="0"/>
          <w:pgBorders>
            <w:top w:val="none" w:sz="0" w:space="0"/>
            <w:left w:val="none" w:sz="0" w:space="0"/>
            <w:bottom w:val="none" w:sz="0" w:space="0"/>
            <w:right w:val="none" w:sz="0" w:space="0"/>
          </w:pgBorders>
          <w:pgNumType w:fmt="decimal"/>
          <w:cols w:space="720" w:num="1"/>
          <w:rtlGutter w:val="0"/>
          <w:docGrid w:linePitch="299" w:charSpace="0"/>
        </w:sectPr>
      </w:pPr>
      <w:r>
        <w:rPr>
          <w:rFonts w:hint="default" w:ascii="Times New Roman" w:hAnsi="Times New Roman" w:eastAsia="宋体" w:cs="Times New Roman"/>
          <w:color w:val="auto"/>
          <w:kern w:val="0"/>
          <w:sz w:val="24"/>
          <w:szCs w:val="24"/>
          <w:lang w:eastAsia="zh-CN"/>
        </w:rPr>
        <w:t>综上，根据</w:t>
      </w:r>
      <w:r>
        <w:rPr>
          <w:rFonts w:hint="default" w:ascii="Times New Roman" w:hAnsi="Times New Roman" w:cs="Times New Roman"/>
          <w:color w:val="auto"/>
        </w:rPr>
        <w:t>《关于印发淀粉等五个行业建设项目重大变动清单的通知--水处理建设项目重大变动清单（试行）》（环办环评函〔2019〕934号）</w:t>
      </w:r>
      <w:r>
        <w:rPr>
          <w:rFonts w:hint="default" w:ascii="Times New Roman" w:hAnsi="Times New Roman" w:cs="Times New Roman"/>
          <w:color w:val="auto"/>
          <w:lang w:eastAsia="zh-CN"/>
        </w:rPr>
        <w:t>、</w:t>
      </w:r>
      <w:r>
        <w:rPr>
          <w:rFonts w:hint="default" w:ascii="Times New Roman" w:hAnsi="Times New Roman" w:cs="Times New Roman"/>
          <w:color w:val="auto"/>
        </w:rPr>
        <w:t>《污染影响类建设项目重大变动清单（试行）》（环办环评函〔2020〕688号）</w:t>
      </w:r>
      <w:r>
        <w:rPr>
          <w:rFonts w:hint="default" w:ascii="Times New Roman" w:hAnsi="Times New Roman" w:cs="Times New Roman"/>
          <w:color w:val="auto"/>
          <w:lang w:eastAsia="zh-CN"/>
        </w:rPr>
        <w:t>和</w:t>
      </w:r>
      <w:r>
        <w:rPr>
          <w:rFonts w:hint="default" w:ascii="Times New Roman" w:hAnsi="Times New Roman" w:cs="Times New Roman"/>
          <w:color w:val="auto"/>
        </w:rPr>
        <w:t>《重庆市建设项目重大变动界定程序规定》（渝环法[2014]65号）可知，</w:t>
      </w:r>
      <w:r>
        <w:rPr>
          <w:rFonts w:hint="default" w:ascii="Times New Roman" w:hAnsi="Times New Roman" w:eastAsia="宋体" w:cs="Times New Roman"/>
          <w:color w:val="auto"/>
          <w:kern w:val="0"/>
          <w:sz w:val="24"/>
          <w:szCs w:val="24"/>
        </w:rPr>
        <w:t>项目变更不属于重大变</w:t>
      </w:r>
      <w:r>
        <w:rPr>
          <w:rFonts w:hint="default" w:ascii="Times New Roman" w:hAnsi="Times New Roman" w:eastAsia="宋体" w:cs="Times New Roman"/>
          <w:color w:val="auto"/>
          <w:kern w:val="0"/>
          <w:sz w:val="24"/>
          <w:szCs w:val="24"/>
          <w:lang w:eastAsia="zh-CN"/>
        </w:rPr>
        <w:t>动</w:t>
      </w:r>
      <w:r>
        <w:rPr>
          <w:rFonts w:hint="default" w:ascii="Times New Roman" w:hAnsi="Times New Roman" w:cs="Times New Roman"/>
          <w:color w:val="auto"/>
        </w:rPr>
        <w:t>。</w:t>
      </w:r>
    </w:p>
    <w:p>
      <w:pPr>
        <w:pStyle w:val="3"/>
        <w:bidi w:val="0"/>
        <w:rPr>
          <w:rFonts w:hint="default" w:ascii="Times New Roman" w:hAnsi="Times New Roman" w:cs="Times New Roman"/>
          <w:color w:val="auto"/>
        </w:rPr>
      </w:pPr>
      <w:bookmarkStart w:id="37" w:name="_Toc5069"/>
      <w:bookmarkStart w:id="38" w:name="_Toc19195"/>
      <w:r>
        <w:rPr>
          <w:rFonts w:hint="default" w:ascii="Times New Roman" w:hAnsi="Times New Roman" w:cs="Times New Roman"/>
          <w:color w:val="auto"/>
        </w:rPr>
        <w:t>4环境保护设施</w:t>
      </w:r>
      <w:bookmarkEnd w:id="37"/>
      <w:bookmarkEnd w:id="38"/>
    </w:p>
    <w:p>
      <w:pPr>
        <w:pStyle w:val="4"/>
        <w:bidi w:val="0"/>
        <w:rPr>
          <w:rFonts w:hint="default" w:ascii="Times New Roman" w:hAnsi="Times New Roman" w:cs="Times New Roman"/>
          <w:color w:val="auto"/>
        </w:rPr>
      </w:pPr>
      <w:bookmarkStart w:id="39" w:name="_Toc25981"/>
      <w:bookmarkStart w:id="40" w:name="_Toc7050"/>
      <w:r>
        <w:rPr>
          <w:rFonts w:hint="default" w:ascii="Times New Roman" w:hAnsi="Times New Roman" w:cs="Times New Roman"/>
          <w:color w:val="auto"/>
        </w:rPr>
        <w:t>4.1污染物治理/处置设施</w:t>
      </w:r>
      <w:bookmarkEnd w:id="39"/>
      <w:bookmarkEnd w:id="40"/>
    </w:p>
    <w:p>
      <w:pPr>
        <w:pStyle w:val="5"/>
        <w:rPr>
          <w:rFonts w:hint="default" w:ascii="Times New Roman" w:hAnsi="Times New Roman" w:eastAsia="宋体" w:cs="Times New Roman"/>
          <w:color w:val="auto"/>
          <w:sz w:val="28"/>
          <w:szCs w:val="28"/>
        </w:rPr>
      </w:pPr>
      <w:bookmarkStart w:id="41" w:name="_Toc67414433"/>
      <w:bookmarkStart w:id="42" w:name="_Toc13745"/>
      <w:bookmarkStart w:id="43" w:name="_Toc27429"/>
      <w:r>
        <w:rPr>
          <w:rFonts w:hint="default" w:ascii="Times New Roman" w:hAnsi="Times New Roman" w:eastAsia="宋体" w:cs="Times New Roman"/>
          <w:color w:val="auto"/>
          <w:sz w:val="28"/>
          <w:szCs w:val="28"/>
        </w:rPr>
        <w:t>4.1.1废水</w:t>
      </w:r>
      <w:bookmarkEnd w:id="41"/>
      <w:bookmarkEnd w:id="42"/>
      <w:bookmarkEnd w:id="43"/>
    </w:p>
    <w:p>
      <w:pPr>
        <w:pStyle w:val="8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厂区排水采用雨污分流制。厂区雨水由道路雨水口收集后汇入厂区雨水</w:t>
      </w:r>
      <w:r>
        <w:rPr>
          <w:rFonts w:hint="eastAsia" w:ascii="Times New Roman" w:hAnsi="Times New Roman" w:cs="Times New Roman"/>
          <w:color w:val="auto"/>
          <w:lang w:val="en-US" w:eastAsia="zh-CN"/>
        </w:rPr>
        <w:t>管</w:t>
      </w:r>
      <w:r>
        <w:rPr>
          <w:rFonts w:hint="default" w:ascii="Times New Roman" w:hAnsi="Times New Roman" w:cs="Times New Roman"/>
          <w:color w:val="auto"/>
          <w:lang w:val="en-US" w:eastAsia="zh-CN"/>
        </w:rPr>
        <w:t>网，并自流排入雨水排洪箱涵，最终排入渔箭河。厂区生活污水、生产污水、清洗污水、构筑物放空水等经厂内污水管道收集后入厂区废水收集水池，与进场污水一并处理，处理后</w:t>
      </w:r>
      <w:r>
        <w:rPr>
          <w:rFonts w:hint="default" w:ascii="Times New Roman" w:hAnsi="Times New Roman" w:cs="Times New Roman"/>
          <w:color w:val="auto"/>
          <w:lang w:eastAsia="zh-CN"/>
        </w:rPr>
        <w:t>出水水质达</w:t>
      </w:r>
      <w:r>
        <w:rPr>
          <w:rFonts w:hint="default" w:ascii="Times New Roman" w:hAnsi="Times New Roman" w:cs="Times New Roman"/>
          <w:color w:val="auto"/>
          <w:lang w:val="en-US" w:eastAsia="zh-CN"/>
        </w:rPr>
        <w:t>《城镇污水处理厂污染物排放标准》</w:t>
      </w:r>
      <w:r>
        <w:rPr>
          <w:rFonts w:hint="default" w:ascii="Times New Roman" w:hAnsi="Times New Roman" w:cs="Times New Roman"/>
          <w:color w:val="auto"/>
        </w:rPr>
        <w:t>一级A标准</w:t>
      </w:r>
      <w:r>
        <w:rPr>
          <w:rFonts w:hint="default" w:ascii="Times New Roman" w:hAnsi="Times New Roman" w:cs="Times New Roman"/>
          <w:color w:val="auto"/>
          <w:lang w:eastAsia="zh-CN"/>
        </w:rPr>
        <w:t>排入</w:t>
      </w:r>
      <w:r>
        <w:rPr>
          <w:rFonts w:hint="default" w:ascii="Times New Roman" w:hAnsi="Times New Roman" w:cs="Times New Roman"/>
          <w:color w:val="auto"/>
          <w:lang w:val="en-US" w:eastAsia="zh-CN"/>
        </w:rPr>
        <w:t>濑溪河</w:t>
      </w:r>
      <w:r>
        <w:rPr>
          <w:rFonts w:hint="default" w:ascii="Times New Roman" w:hAnsi="Times New Roman" w:cs="Times New Roman"/>
          <w:color w:val="auto"/>
        </w:rPr>
        <w:t>。</w:t>
      </w:r>
    </w:p>
    <w:p>
      <w:pPr>
        <w:pStyle w:val="87"/>
        <w:ind w:left="0" w:leftChars="0" w:firstLine="0" w:firstLineChars="0"/>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drawing>
          <wp:inline distT="0" distB="0" distL="114300" distR="114300">
            <wp:extent cx="5341620" cy="1318260"/>
            <wp:effectExtent l="0" t="0" r="762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341620" cy="1318260"/>
                    </a:xfrm>
                    <a:prstGeom prst="rect">
                      <a:avLst/>
                    </a:prstGeom>
                    <a:noFill/>
                    <a:ln>
                      <a:noFill/>
                    </a:ln>
                  </pic:spPr>
                </pic:pic>
              </a:graphicData>
            </a:graphic>
          </wp:inline>
        </w:drawing>
      </w:r>
    </w:p>
    <w:p>
      <w:pPr>
        <w:pStyle w:val="87"/>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b/>
          <w:bCs/>
          <w:color w:val="auto"/>
          <w:highlight w:val="none"/>
          <w:lang w:eastAsia="zh-CN"/>
        </w:rPr>
        <w:t>图</w:t>
      </w:r>
      <w:r>
        <w:rPr>
          <w:rFonts w:hint="default" w:ascii="Times New Roman" w:hAnsi="Times New Roman" w:cs="Times New Roman"/>
          <w:b/>
          <w:bCs/>
          <w:color w:val="auto"/>
          <w:highlight w:val="none"/>
          <w:lang w:val="en-US" w:eastAsia="zh-CN"/>
        </w:rPr>
        <w:t>4.1-1废水处理流程图</w:t>
      </w:r>
    </w:p>
    <w:p>
      <w:pPr>
        <w:pStyle w:val="87"/>
        <w:ind w:firstLine="500"/>
        <w:rPr>
          <w:rStyle w:val="77"/>
          <w:rFonts w:hint="default" w:ascii="Times New Roman" w:hAnsi="Times New Roman" w:eastAsia="宋体" w:cs="Times New Roman"/>
          <w:b w:val="0"/>
          <w:color w:val="auto"/>
        </w:rPr>
      </w:pPr>
      <w:r>
        <w:rPr>
          <w:rStyle w:val="77"/>
          <w:rFonts w:hint="default" w:ascii="Times New Roman" w:hAnsi="Times New Roman" w:eastAsia="宋体" w:cs="Times New Roman"/>
          <w:b w:val="0"/>
          <w:color w:val="auto"/>
        </w:rPr>
        <w:t>本项目废水产生、治理及排放情况详见表4.1</w:t>
      </w:r>
      <w:r>
        <w:rPr>
          <w:rStyle w:val="77"/>
          <w:rFonts w:hint="default" w:ascii="Times New Roman" w:hAnsi="Times New Roman" w:cs="Times New Roman"/>
          <w:b w:val="0"/>
          <w:color w:val="auto"/>
          <w:lang w:val="en-US" w:eastAsia="zh-CN"/>
        </w:rPr>
        <w:t>-1</w:t>
      </w:r>
      <w:r>
        <w:rPr>
          <w:rStyle w:val="77"/>
          <w:rFonts w:hint="default" w:ascii="Times New Roman" w:hAnsi="Times New Roman" w:eastAsia="宋体" w:cs="Times New Roman"/>
          <w:b w:val="0"/>
          <w:color w:val="auto"/>
        </w:rPr>
        <w:t>。</w:t>
      </w:r>
    </w:p>
    <w:p>
      <w:pPr>
        <w:pStyle w:val="79"/>
        <w:bidi w:val="0"/>
        <w:rPr>
          <w:rFonts w:hint="default" w:ascii="Times New Roman" w:hAnsi="Times New Roman" w:cs="Times New Roman"/>
          <w:color w:val="auto"/>
        </w:rPr>
      </w:pPr>
      <w:r>
        <w:rPr>
          <w:rFonts w:hint="default" w:ascii="Times New Roman" w:hAnsi="Times New Roman" w:cs="Times New Roman"/>
          <w:color w:val="auto"/>
        </w:rPr>
        <w:t>表4.1</w:t>
      </w:r>
      <w:r>
        <w:rPr>
          <w:rFonts w:hint="default" w:ascii="Times New Roman" w:hAnsi="Times New Roman" w:cs="Times New Roman"/>
          <w:color w:val="auto"/>
          <w:lang w:val="en-US" w:eastAsia="zh-CN"/>
        </w:rPr>
        <w:t>-</w:t>
      </w:r>
      <w:r>
        <w:rPr>
          <w:rFonts w:hint="default" w:ascii="Times New Roman" w:hAnsi="Times New Roman" w:cs="Times New Roman"/>
          <w:color w:val="auto"/>
        </w:rPr>
        <w:t>1项目废水产生、治理及排放情况</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24"/>
        <w:gridCol w:w="1835"/>
        <w:gridCol w:w="1978"/>
        <w:gridCol w:w="736"/>
        <w:gridCol w:w="1183"/>
        <w:gridCol w:w="676"/>
        <w:gridCol w:w="1107"/>
        <w:gridCol w:w="504"/>
        <w:gridCol w:w="51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90" w:type="pct"/>
            <w:noWrap w:val="0"/>
            <w:vAlign w:val="center"/>
          </w:tcPr>
          <w:p>
            <w:pPr>
              <w:wordWrap w:val="0"/>
              <w:topLinePunct/>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废水类别</w:t>
            </w:r>
          </w:p>
        </w:tc>
        <w:tc>
          <w:tcPr>
            <w:tcW w:w="1013" w:type="pct"/>
            <w:noWrap w:val="0"/>
            <w:vAlign w:val="center"/>
          </w:tcPr>
          <w:p>
            <w:pPr>
              <w:wordWrap w:val="0"/>
              <w:topLinePunct/>
              <w:spacing w:line="300" w:lineRule="exact"/>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eastAsia="zh-CN"/>
              </w:rPr>
              <w:t>来源</w:t>
            </w:r>
          </w:p>
        </w:tc>
        <w:tc>
          <w:tcPr>
            <w:tcW w:w="1092" w:type="pct"/>
            <w:noWrap w:val="0"/>
            <w:vAlign w:val="center"/>
          </w:tcPr>
          <w:p>
            <w:pPr>
              <w:wordWrap w:val="0"/>
              <w:topLinePunct/>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污染物种类</w:t>
            </w:r>
          </w:p>
        </w:tc>
        <w:tc>
          <w:tcPr>
            <w:tcW w:w="406" w:type="pct"/>
            <w:tcBorders>
              <w:right w:val="single" w:color="auto" w:sz="4" w:space="0"/>
            </w:tcBorders>
            <w:noWrap w:val="0"/>
            <w:vAlign w:val="center"/>
          </w:tcPr>
          <w:p>
            <w:pPr>
              <w:wordWrap w:val="0"/>
              <w:topLinePunct/>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工艺与设计处理能力</w:t>
            </w:r>
          </w:p>
        </w:tc>
        <w:tc>
          <w:tcPr>
            <w:tcW w:w="653" w:type="pct"/>
            <w:tcBorders>
              <w:left w:val="single" w:color="auto" w:sz="4" w:space="0"/>
            </w:tcBorders>
            <w:noWrap w:val="0"/>
            <w:vAlign w:val="center"/>
          </w:tcPr>
          <w:p>
            <w:pPr>
              <w:wordWrap w:val="0"/>
              <w:topLinePunct/>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治理设施</w:t>
            </w:r>
          </w:p>
        </w:tc>
        <w:tc>
          <w:tcPr>
            <w:tcW w:w="373" w:type="pct"/>
            <w:tcBorders>
              <w:left w:val="single" w:color="auto" w:sz="4" w:space="0"/>
            </w:tcBorders>
            <w:noWrap w:val="0"/>
            <w:vAlign w:val="center"/>
          </w:tcPr>
          <w:p>
            <w:pPr>
              <w:wordWrap w:val="0"/>
              <w:topLinePunct/>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实际处理能力</w:t>
            </w:r>
          </w:p>
        </w:tc>
        <w:tc>
          <w:tcPr>
            <w:tcW w:w="611" w:type="pct"/>
            <w:tcBorders>
              <w:left w:val="single" w:color="auto" w:sz="4" w:space="0"/>
            </w:tcBorders>
            <w:noWrap w:val="0"/>
            <w:vAlign w:val="center"/>
          </w:tcPr>
          <w:p>
            <w:pPr>
              <w:wordWrap w:val="0"/>
              <w:topLinePunct/>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设计指标</w:t>
            </w:r>
          </w:p>
        </w:tc>
        <w:tc>
          <w:tcPr>
            <w:tcW w:w="278" w:type="pct"/>
            <w:tcBorders>
              <w:left w:val="single" w:color="auto" w:sz="4" w:space="0"/>
            </w:tcBorders>
            <w:noWrap w:val="0"/>
            <w:vAlign w:val="center"/>
          </w:tcPr>
          <w:p>
            <w:pPr>
              <w:wordWrap w:val="0"/>
              <w:topLinePunct/>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废水回用量</w:t>
            </w:r>
          </w:p>
        </w:tc>
        <w:tc>
          <w:tcPr>
            <w:tcW w:w="282" w:type="pct"/>
            <w:tcBorders>
              <w:left w:val="single" w:color="auto" w:sz="4" w:space="0"/>
            </w:tcBorders>
            <w:noWrap w:val="0"/>
            <w:vAlign w:val="center"/>
          </w:tcPr>
          <w:p>
            <w:pPr>
              <w:wordWrap w:val="0"/>
              <w:topLinePunct/>
              <w:spacing w:line="300" w:lineRule="exac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排放去向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90" w:type="pct"/>
            <w:noWrap w:val="0"/>
            <w:vAlign w:val="center"/>
          </w:tcPr>
          <w:p>
            <w:pPr>
              <w:wordWrap w:val="0"/>
              <w:topLinePunct/>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污水</w:t>
            </w:r>
          </w:p>
        </w:tc>
        <w:tc>
          <w:tcPr>
            <w:tcW w:w="1013" w:type="pct"/>
            <w:noWrap w:val="0"/>
            <w:vAlign w:val="center"/>
          </w:tcPr>
          <w:p>
            <w:pPr>
              <w:wordWrap w:val="0"/>
              <w:topLinePunct/>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园区</w:t>
            </w:r>
            <w:r>
              <w:rPr>
                <w:rFonts w:hint="default" w:ascii="Times New Roman" w:hAnsi="Times New Roman" w:cs="Times New Roman"/>
                <w:color w:val="auto"/>
              </w:rPr>
              <w:t>企业污废水经处理达到《污水综合排放标准》（GB8978-1996）三级标准后排入园区污水处理厂，第一类污染物应在车间处理设施排放口处理达到GB8978-1996第一类污染物最高允许排放浓度，方可排入园区污水处理厂</w:t>
            </w:r>
          </w:p>
        </w:tc>
        <w:tc>
          <w:tcPr>
            <w:tcW w:w="1092" w:type="pct"/>
            <w:noWrap w:val="0"/>
            <w:vAlign w:val="center"/>
          </w:tcPr>
          <w:p>
            <w:pPr>
              <w:wordWrap w:val="0"/>
              <w:topLinePunct/>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pH值、化学需氧量、五日生化需氧量、悬浮物、氨氮、总磷、总氮、石油类、动植物油、阴离子表面活性剂、粪大肠菌群、色度</w:t>
            </w:r>
          </w:p>
        </w:tc>
        <w:tc>
          <w:tcPr>
            <w:tcW w:w="406" w:type="pct"/>
            <w:noWrap w:val="0"/>
            <w:vAlign w:val="center"/>
          </w:tcPr>
          <w:p>
            <w:pPr>
              <w:wordWrap w:val="0"/>
              <w:topLinePunct/>
              <w:spacing w:line="300" w:lineRule="exact"/>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7500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c>
          <w:tcPr>
            <w:tcW w:w="653" w:type="pct"/>
            <w:noWrap w:val="0"/>
            <w:vAlign w:val="center"/>
          </w:tcPr>
          <w:p>
            <w:pPr>
              <w:wordWrap w:val="0"/>
              <w:topLinePunct/>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格栅—调节池—细格栅—混凝沉淀池—气浮—水解酸化池—厌氧+二级AO反应池—二沉池—深度絮凝沉淀过滤设备—消毒</w:t>
            </w:r>
          </w:p>
        </w:tc>
        <w:tc>
          <w:tcPr>
            <w:tcW w:w="373" w:type="pct"/>
            <w:tcBorders>
              <w:left w:val="single" w:color="auto" w:sz="4" w:space="0"/>
            </w:tcBorders>
            <w:noWrap w:val="0"/>
            <w:vAlign w:val="center"/>
          </w:tcPr>
          <w:p>
            <w:pPr>
              <w:wordWrap w:val="0"/>
              <w:topLinePunct/>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7500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c>
          <w:tcPr>
            <w:tcW w:w="611" w:type="pct"/>
            <w:tcBorders>
              <w:left w:val="single" w:color="auto" w:sz="4" w:space="0"/>
            </w:tcBorders>
            <w:noWrap w:val="0"/>
            <w:vAlign w:val="center"/>
          </w:tcPr>
          <w:p>
            <w:pPr>
              <w:wordWrap w:val="0"/>
              <w:topLinePunct/>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《城镇污水处理厂污染物排放标准》一级A标准</w:t>
            </w:r>
          </w:p>
        </w:tc>
        <w:tc>
          <w:tcPr>
            <w:tcW w:w="278" w:type="pct"/>
            <w:tcBorders>
              <w:left w:val="single" w:color="auto" w:sz="4" w:space="0"/>
            </w:tcBorders>
            <w:noWrap w:val="0"/>
            <w:vAlign w:val="center"/>
          </w:tcPr>
          <w:p>
            <w:pPr>
              <w:wordWrap w:val="0"/>
              <w:topLinePunct/>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0</w:t>
            </w:r>
          </w:p>
        </w:tc>
        <w:tc>
          <w:tcPr>
            <w:tcW w:w="282" w:type="pct"/>
            <w:tcBorders>
              <w:left w:val="single" w:color="auto" w:sz="4" w:space="0"/>
            </w:tcBorders>
            <w:noWrap w:val="0"/>
            <w:vAlign w:val="center"/>
          </w:tcPr>
          <w:p>
            <w:pPr>
              <w:wordWrap w:val="0"/>
              <w:topLinePunct/>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濑溪河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90" w:type="pct"/>
            <w:noWrap w:val="0"/>
            <w:vAlign w:val="center"/>
          </w:tcPr>
          <w:p>
            <w:pPr>
              <w:wordWrap w:val="0"/>
              <w:topLinePunct/>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w:t>
            </w:r>
          </w:p>
        </w:tc>
        <w:tc>
          <w:tcPr>
            <w:tcW w:w="4709" w:type="pct"/>
            <w:gridSpan w:val="8"/>
            <w:noWrap w:val="0"/>
            <w:vAlign w:val="center"/>
          </w:tcPr>
          <w:p>
            <w:pPr>
              <w:wordWrap w:val="0"/>
              <w:topLinePunct/>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rPr>
              <w:t>通过雨水管网直接</w:t>
            </w:r>
            <w:r>
              <w:rPr>
                <w:rFonts w:hint="default" w:ascii="Times New Roman" w:hAnsi="Times New Roman" w:cs="Times New Roman"/>
                <w:color w:val="auto"/>
                <w:lang w:val="en-US" w:eastAsia="zh-CN"/>
              </w:rPr>
              <w:t>排入渔箭河</w:t>
            </w:r>
          </w:p>
        </w:tc>
      </w:tr>
    </w:tbl>
    <w:p>
      <w:pPr>
        <w:pStyle w:val="87"/>
        <w:keepNext w:val="0"/>
        <w:keepLines w:val="0"/>
        <w:pageBreakBefore w:val="0"/>
        <w:widowControl/>
        <w:kinsoku/>
        <w:wordWrap/>
        <w:overflowPunct/>
        <w:topLinePunct w:val="0"/>
        <w:autoSpaceDE/>
        <w:autoSpaceDN/>
        <w:bidi w:val="0"/>
        <w:adjustRightInd/>
        <w:snapToGrid/>
        <w:spacing w:line="240" w:lineRule="auto"/>
        <w:ind w:firstLine="480"/>
        <w:textAlignment w:val="auto"/>
        <w:rPr>
          <w:rFonts w:hint="default" w:ascii="Times New Roman" w:hAnsi="Times New Roman" w:eastAsia="宋体" w:cs="Times New Roman"/>
          <w:color w:val="auto"/>
          <w:sz w:val="21"/>
          <w:szCs w:val="21"/>
        </w:rPr>
      </w:pPr>
    </w:p>
    <w:p>
      <w:pPr>
        <w:pStyle w:val="87"/>
        <w:ind w:firstLine="480"/>
        <w:jc w:val="center"/>
        <w:rPr>
          <w:rFonts w:hint="default" w:ascii="Times New Roman" w:hAnsi="Times New Roman" w:cs="Times New Roman"/>
          <w:b/>
          <w:bCs/>
          <w:color w:val="auto"/>
          <w:highlight w:val="yellow"/>
          <w:lang w:eastAsia="zh-CN"/>
        </w:rPr>
      </w:pPr>
      <w:r>
        <w:rPr>
          <w:rFonts w:hint="default" w:ascii="Times New Roman" w:hAnsi="Times New Roman" w:cs="Times New Roman"/>
          <w:b/>
          <w:bCs/>
          <w:color w:val="auto"/>
          <w:highlight w:val="yellow"/>
          <w:lang w:eastAsia="zh-CN"/>
        </w:rPr>
        <w:drawing>
          <wp:inline distT="0" distB="0" distL="114300" distR="114300">
            <wp:extent cx="5615940" cy="4210050"/>
            <wp:effectExtent l="0" t="0" r="7620" b="11430"/>
            <wp:docPr id="13" name="图片 13" descr="9323f89d5df35bdfd378e32ecf76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323f89d5df35bdfd378e32ecf7629a"/>
                    <pic:cNvPicPr>
                      <a:picLocks noChangeAspect="1"/>
                    </pic:cNvPicPr>
                  </pic:nvPicPr>
                  <pic:blipFill>
                    <a:blip r:embed="rId21"/>
                    <a:stretch>
                      <a:fillRect/>
                    </a:stretch>
                  </pic:blipFill>
                  <pic:spPr>
                    <a:xfrm>
                      <a:off x="0" y="0"/>
                      <a:ext cx="5615940" cy="4210050"/>
                    </a:xfrm>
                    <a:prstGeom prst="rect">
                      <a:avLst/>
                    </a:prstGeom>
                  </pic:spPr>
                </pic:pic>
              </a:graphicData>
            </a:graphic>
          </wp:inline>
        </w:drawing>
      </w:r>
    </w:p>
    <w:p>
      <w:pPr>
        <w:pStyle w:val="87"/>
        <w:ind w:firstLine="48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eastAsia="zh-CN"/>
        </w:rPr>
        <w:t>图</w:t>
      </w:r>
      <w:r>
        <w:rPr>
          <w:rFonts w:hint="default" w:ascii="Times New Roman" w:hAnsi="Times New Roman" w:cs="Times New Roman"/>
          <w:b/>
          <w:bCs/>
          <w:color w:val="auto"/>
          <w:highlight w:val="none"/>
          <w:lang w:val="en-US" w:eastAsia="zh-CN"/>
        </w:rPr>
        <w:t>4.1-2污水总排口</w:t>
      </w:r>
    </w:p>
    <w:p>
      <w:pPr>
        <w:pStyle w:val="5"/>
        <w:rPr>
          <w:rFonts w:hint="default" w:ascii="Times New Roman" w:hAnsi="Times New Roman" w:eastAsia="宋体" w:cs="Times New Roman"/>
          <w:color w:val="auto"/>
          <w:sz w:val="28"/>
          <w:szCs w:val="28"/>
        </w:rPr>
      </w:pPr>
      <w:bookmarkStart w:id="44" w:name="_Toc30778"/>
      <w:bookmarkStart w:id="45" w:name="_Toc67414434"/>
      <w:bookmarkStart w:id="46" w:name="_Toc4591"/>
      <w:r>
        <w:rPr>
          <w:rFonts w:hint="default" w:ascii="Times New Roman" w:hAnsi="Times New Roman" w:eastAsia="宋体" w:cs="Times New Roman"/>
          <w:color w:val="auto"/>
          <w:sz w:val="28"/>
          <w:szCs w:val="28"/>
        </w:rPr>
        <w:t>4.1.2废气</w:t>
      </w:r>
      <w:bookmarkEnd w:id="44"/>
      <w:bookmarkEnd w:id="45"/>
      <w:bookmarkEnd w:id="46"/>
    </w:p>
    <w:p>
      <w:pPr>
        <w:pStyle w:val="87"/>
        <w:ind w:firstLine="48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项目运营期产生的废气主要</w:t>
      </w:r>
      <w:r>
        <w:rPr>
          <w:rFonts w:hint="default" w:ascii="Times New Roman" w:hAnsi="Times New Roman" w:cs="Times New Roman"/>
          <w:color w:val="auto"/>
          <w:lang w:val="en-US" w:eastAsia="zh-CN"/>
        </w:rPr>
        <w:t>来源于</w:t>
      </w:r>
      <w:r>
        <w:rPr>
          <w:rFonts w:hint="eastAsia" w:ascii="Times New Roman" w:hAnsi="Times New Roman" w:cs="Times New Roman"/>
          <w:color w:val="auto"/>
          <w:lang w:val="en-US" w:eastAsia="zh-CN"/>
        </w:rPr>
        <w:t>原生污水以及</w:t>
      </w:r>
      <w:r>
        <w:rPr>
          <w:rFonts w:hint="default" w:ascii="Times New Roman" w:hAnsi="Times New Roman" w:cs="Times New Roman"/>
          <w:color w:val="auto"/>
          <w:lang w:val="en-US" w:eastAsia="zh-CN"/>
        </w:rPr>
        <w:t>格栅及调节池、水解酸化池、接触氧化池等散发的</w:t>
      </w:r>
      <w:r>
        <w:rPr>
          <w:rFonts w:hint="default" w:ascii="Times New Roman" w:hAnsi="Times New Roman" w:eastAsia="宋体" w:cs="Times New Roman"/>
          <w:color w:val="auto"/>
          <w:lang w:val="en-US" w:eastAsia="zh-CN"/>
        </w:rPr>
        <w:t>恶臭气体，主要污染因子为NH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S、臭气浓度</w:t>
      </w:r>
      <w:r>
        <w:rPr>
          <w:rFonts w:hint="default" w:ascii="Times New Roman" w:hAnsi="Times New Roman" w:cs="Times New Roman"/>
          <w:color w:val="auto"/>
          <w:lang w:val="en-US" w:eastAsia="zh-CN"/>
        </w:rPr>
        <w:t>。企业粗格栅调节提升泵池、细格栅曝气沉砂池和水解酸化池设置了加盖装置产生的臭气经“生物滤池”除臭后通过15m的1#排气排放，新增浮渣收集池、混凝沉淀池、气浮一体化设备和水解酸化池设置了加盖装置产生的臭气经“碱液洗涤+UV光催化氧化活性炭”除臭后通过15m的2#排气排放。厂区加强绿化进行植被、花草、灌木等，并设置有100m卫生防护距离等措施来降低臭气影响</w:t>
      </w:r>
      <w:r>
        <w:rPr>
          <w:rFonts w:hint="default" w:ascii="Times New Roman" w:hAnsi="Times New Roman" w:cs="Times New Roman"/>
          <w:color w:val="auto"/>
          <w:highlight w:val="none"/>
          <w:lang w:val="en-US" w:eastAsia="zh-CN"/>
        </w:rPr>
        <w:t>。</w:t>
      </w:r>
    </w:p>
    <w:p>
      <w:pPr>
        <w:pStyle w:val="87"/>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114300" distR="114300">
            <wp:extent cx="4922520" cy="3802380"/>
            <wp:effectExtent l="0" t="0" r="0" b="762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22"/>
                    <a:stretch>
                      <a:fillRect/>
                    </a:stretch>
                  </pic:blipFill>
                  <pic:spPr>
                    <a:xfrm>
                      <a:off x="0" y="0"/>
                      <a:ext cx="4922520" cy="3802380"/>
                    </a:xfrm>
                    <a:prstGeom prst="rect">
                      <a:avLst/>
                    </a:prstGeom>
                    <a:noFill/>
                    <a:ln>
                      <a:noFill/>
                    </a:ln>
                  </pic:spPr>
                </pic:pic>
              </a:graphicData>
            </a:graphic>
          </wp:inline>
        </w:drawing>
      </w:r>
    </w:p>
    <w:p>
      <w:pPr>
        <w:pStyle w:val="87"/>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图4.1-3废气处理流程图</w:t>
      </w:r>
    </w:p>
    <w:tbl>
      <w:tblPr>
        <w:tblStyle w:val="34"/>
        <w:tblW w:w="93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7"/>
        <w:gridCol w:w="4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7" w:hRule="atLeast"/>
        </w:trPr>
        <w:tc>
          <w:tcPr>
            <w:tcW w:w="4537" w:type="dxa"/>
            <w:tcBorders>
              <w:tl2br w:val="nil"/>
              <w:tr2bl w:val="nil"/>
            </w:tcBorders>
          </w:tcPr>
          <w:p>
            <w:pPr>
              <w:pStyle w:val="87"/>
              <w:widowControl w:val="0"/>
              <w:jc w:val="center"/>
              <w:rPr>
                <w:rFonts w:hint="default" w:ascii="Times New Roman" w:hAnsi="Times New Roman" w:cs="Times New Roman"/>
                <w:b/>
                <w:bCs/>
                <w:color w:val="auto"/>
                <w:highlight w:val="none"/>
                <w:vertAlign w:val="baseline"/>
                <w:lang w:eastAsia="zh-CN"/>
              </w:rPr>
            </w:pPr>
            <w:r>
              <w:rPr>
                <w:rFonts w:hint="default" w:ascii="Times New Roman" w:hAnsi="Times New Roman" w:cs="Times New Roman"/>
                <w:b/>
                <w:bCs/>
                <w:color w:val="auto"/>
                <w:highlight w:val="none"/>
                <w:vertAlign w:val="baseline"/>
                <w:lang w:eastAsia="zh-CN"/>
              </w:rPr>
              <w:drawing>
                <wp:anchor distT="0" distB="0" distL="114300" distR="114300" simplePos="0" relativeHeight="251665408" behindDoc="1" locked="0" layoutInCell="1" allowOverlap="1">
                  <wp:simplePos x="0" y="0"/>
                  <wp:positionH relativeFrom="column">
                    <wp:posOffset>34925</wp:posOffset>
                  </wp:positionH>
                  <wp:positionV relativeFrom="paragraph">
                    <wp:posOffset>207645</wp:posOffset>
                  </wp:positionV>
                  <wp:extent cx="2723515" cy="2042160"/>
                  <wp:effectExtent l="0" t="0" r="635" b="15240"/>
                  <wp:wrapTight wrapText="bothSides">
                    <wp:wrapPolygon>
                      <wp:start x="0" y="0"/>
                      <wp:lineTo x="0" y="21358"/>
                      <wp:lineTo x="21454" y="21358"/>
                      <wp:lineTo x="21454" y="0"/>
                      <wp:lineTo x="0" y="0"/>
                    </wp:wrapPolygon>
                  </wp:wrapTight>
                  <wp:docPr id="14" name="图片 14" descr="69260cf2fa9c6ba86c3ce60d7232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9260cf2fa9c6ba86c3ce60d7232ce3"/>
                          <pic:cNvPicPr>
                            <a:picLocks noChangeAspect="1"/>
                          </pic:cNvPicPr>
                        </pic:nvPicPr>
                        <pic:blipFill>
                          <a:blip r:embed="rId23"/>
                          <a:stretch>
                            <a:fillRect/>
                          </a:stretch>
                        </pic:blipFill>
                        <pic:spPr>
                          <a:xfrm>
                            <a:off x="0" y="0"/>
                            <a:ext cx="2723515" cy="2042160"/>
                          </a:xfrm>
                          <a:prstGeom prst="rect">
                            <a:avLst/>
                          </a:prstGeom>
                        </pic:spPr>
                      </pic:pic>
                    </a:graphicData>
                  </a:graphic>
                </wp:anchor>
              </w:drawing>
            </w:r>
          </w:p>
        </w:tc>
        <w:tc>
          <w:tcPr>
            <w:tcW w:w="4842" w:type="dxa"/>
            <w:tcBorders>
              <w:tl2br w:val="nil"/>
              <w:tr2bl w:val="nil"/>
            </w:tcBorders>
          </w:tcPr>
          <w:p>
            <w:pPr>
              <w:pStyle w:val="87"/>
              <w:widowControl w:val="0"/>
              <w:jc w:val="both"/>
              <w:rPr>
                <w:rFonts w:hint="default" w:ascii="Times New Roman" w:hAnsi="Times New Roman" w:cs="Times New Roman"/>
                <w:b/>
                <w:bCs/>
                <w:color w:val="auto"/>
                <w:highlight w:val="none"/>
                <w:vertAlign w:val="baseline"/>
                <w:lang w:eastAsia="zh-CN"/>
              </w:rPr>
            </w:pPr>
            <w:r>
              <w:rPr>
                <w:rFonts w:hint="default" w:ascii="Times New Roman" w:hAnsi="Times New Roman" w:cs="Times New Roman"/>
                <w:b/>
                <w:bCs/>
                <w:color w:val="auto"/>
                <w:highlight w:val="none"/>
                <w:vertAlign w:val="baseline"/>
                <w:lang w:eastAsia="zh-CN"/>
              </w:rPr>
              <w:drawing>
                <wp:anchor distT="0" distB="0" distL="114300" distR="114300" simplePos="0" relativeHeight="251666432" behindDoc="1" locked="0" layoutInCell="1" allowOverlap="1">
                  <wp:simplePos x="0" y="0"/>
                  <wp:positionH relativeFrom="column">
                    <wp:posOffset>48895</wp:posOffset>
                  </wp:positionH>
                  <wp:positionV relativeFrom="paragraph">
                    <wp:posOffset>190500</wp:posOffset>
                  </wp:positionV>
                  <wp:extent cx="2731770" cy="2047875"/>
                  <wp:effectExtent l="0" t="0" r="49530" b="47625"/>
                  <wp:wrapTight wrapText="bothSides">
                    <wp:wrapPolygon>
                      <wp:start x="0" y="0"/>
                      <wp:lineTo x="0" y="21500"/>
                      <wp:lineTo x="21389" y="21500"/>
                      <wp:lineTo x="21389" y="0"/>
                      <wp:lineTo x="0" y="0"/>
                    </wp:wrapPolygon>
                  </wp:wrapTight>
                  <wp:docPr id="15" name="图片 15" descr="dc6933bf7ae47e6ee129f85a194d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c6933bf7ae47e6ee129f85a194dd3a"/>
                          <pic:cNvPicPr>
                            <a:picLocks noChangeAspect="1"/>
                          </pic:cNvPicPr>
                        </pic:nvPicPr>
                        <pic:blipFill>
                          <a:blip r:embed="rId24"/>
                          <a:stretch>
                            <a:fillRect/>
                          </a:stretch>
                        </pic:blipFill>
                        <pic:spPr>
                          <a:xfrm>
                            <a:off x="0" y="0"/>
                            <a:ext cx="2731770" cy="2047875"/>
                          </a:xfrm>
                          <a:prstGeom prst="rect">
                            <a:avLst/>
                          </a:prstGeom>
                        </pic:spPr>
                      </pic:pic>
                    </a:graphicData>
                  </a:graphic>
                </wp:anchor>
              </w:drawing>
            </w:r>
          </w:p>
        </w:tc>
      </w:tr>
    </w:tbl>
    <w:p>
      <w:pPr>
        <w:pStyle w:val="87"/>
        <w:ind w:firstLine="480"/>
        <w:jc w:val="center"/>
        <w:rPr>
          <w:rFonts w:hint="default" w:ascii="Times New Roman" w:hAnsi="Times New Roman" w:cs="Times New Roman"/>
          <w:b/>
          <w:bCs/>
          <w:color w:val="auto"/>
          <w:highlight w:val="none"/>
          <w:lang w:eastAsia="zh-CN"/>
        </w:rPr>
      </w:pPr>
    </w:p>
    <w:p>
      <w:pPr>
        <w:pStyle w:val="87"/>
        <w:ind w:firstLine="48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b/>
          <w:bCs/>
          <w:color w:val="auto"/>
          <w:highlight w:val="none"/>
          <w:lang w:eastAsia="zh-CN"/>
        </w:rPr>
        <w:t>图</w:t>
      </w:r>
      <w:r>
        <w:rPr>
          <w:rFonts w:hint="default" w:ascii="Times New Roman" w:hAnsi="Times New Roman" w:cs="Times New Roman"/>
          <w:b/>
          <w:bCs/>
          <w:color w:val="auto"/>
          <w:highlight w:val="none"/>
          <w:lang w:val="en-US" w:eastAsia="zh-CN"/>
        </w:rPr>
        <w:t>4.1-4废气排口</w:t>
      </w:r>
    </w:p>
    <w:p>
      <w:pPr>
        <w:pStyle w:val="5"/>
        <w:rPr>
          <w:rFonts w:hint="default" w:ascii="Times New Roman" w:hAnsi="Times New Roman" w:eastAsia="宋体" w:cs="Times New Roman"/>
          <w:color w:val="auto"/>
          <w:sz w:val="28"/>
          <w:szCs w:val="28"/>
        </w:rPr>
      </w:pPr>
      <w:bookmarkStart w:id="47" w:name="_Toc20066"/>
      <w:bookmarkStart w:id="48" w:name="_Toc67414435"/>
      <w:bookmarkStart w:id="49" w:name="_Toc4213"/>
      <w:r>
        <w:rPr>
          <w:rFonts w:hint="default" w:ascii="Times New Roman" w:hAnsi="Times New Roman" w:eastAsia="宋体" w:cs="Times New Roman"/>
          <w:color w:val="auto"/>
          <w:sz w:val="28"/>
          <w:szCs w:val="28"/>
        </w:rPr>
        <w:t>4.1.3噪声</w:t>
      </w:r>
      <w:bookmarkEnd w:id="47"/>
      <w:bookmarkEnd w:id="48"/>
      <w:bookmarkEnd w:id="49"/>
    </w:p>
    <w:p>
      <w:pPr>
        <w:pStyle w:val="87"/>
        <w:bidi w:val="0"/>
        <w:rPr>
          <w:rFonts w:hint="default" w:ascii="Times New Roman" w:hAnsi="Times New Roman" w:cs="Times New Roman"/>
          <w:color w:val="auto"/>
        </w:rPr>
      </w:pPr>
      <w:r>
        <w:rPr>
          <w:rFonts w:hint="default" w:ascii="Times New Roman" w:hAnsi="Times New Roman" w:cs="Times New Roman"/>
          <w:color w:val="auto"/>
        </w:rPr>
        <w:t>本项目主要噪声源为位于室外的水泵和风机等处理设备。采取减振、消声等措施。</w:t>
      </w:r>
    </w:p>
    <w:p>
      <w:pPr>
        <w:pStyle w:val="5"/>
        <w:rPr>
          <w:rFonts w:hint="default" w:ascii="Times New Roman" w:hAnsi="Times New Roman" w:eastAsia="宋体" w:cs="Times New Roman"/>
          <w:color w:val="auto"/>
          <w:sz w:val="28"/>
          <w:szCs w:val="28"/>
        </w:rPr>
      </w:pPr>
      <w:bookmarkStart w:id="50" w:name="_Toc3344"/>
      <w:bookmarkStart w:id="51" w:name="_Toc67414436"/>
      <w:bookmarkStart w:id="52" w:name="_Toc24869"/>
      <w:r>
        <w:rPr>
          <w:rFonts w:hint="default" w:ascii="Times New Roman" w:hAnsi="Times New Roman" w:eastAsia="宋体" w:cs="Times New Roman"/>
          <w:color w:val="auto"/>
          <w:sz w:val="28"/>
          <w:szCs w:val="28"/>
        </w:rPr>
        <w:t>4.1.4固体废物</w:t>
      </w:r>
      <w:bookmarkEnd w:id="50"/>
      <w:bookmarkEnd w:id="51"/>
      <w:bookmarkEnd w:id="52"/>
    </w:p>
    <w:p>
      <w:pPr>
        <w:pStyle w:val="87"/>
        <w:bidi w:val="0"/>
        <w:rPr>
          <w:rFonts w:hint="default" w:ascii="Times New Roman" w:hAnsi="Times New Roman" w:cs="Times New Roman"/>
          <w:color w:val="auto"/>
          <w:lang w:eastAsia="zh-CN"/>
        </w:rPr>
      </w:pPr>
      <w:r>
        <w:rPr>
          <w:rFonts w:hint="default" w:ascii="Times New Roman" w:hAnsi="Times New Roman" w:cs="Times New Roman"/>
          <w:color w:val="auto"/>
        </w:rPr>
        <w:t>本项目产生的固废主</w:t>
      </w:r>
      <w:r>
        <w:rPr>
          <w:rFonts w:hint="default" w:ascii="Times New Roman" w:hAnsi="Times New Roman" w:cs="Times New Roman"/>
          <w:color w:val="auto"/>
          <w:lang w:eastAsia="zh-CN"/>
        </w:rPr>
        <w:t>要包括一般固废、危险废物、生活垃圾。</w:t>
      </w:r>
    </w:p>
    <w:p>
      <w:pPr>
        <w:pStyle w:val="87"/>
        <w:numPr>
          <w:ilvl w:val="0"/>
          <w:numId w:val="4"/>
        </w:numPr>
        <w:ind w:left="-90" w:leftChars="0" w:firstLine="720" w:firstLineChars="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eastAsia="zh-CN"/>
        </w:rPr>
        <w:t>一般固废主要为栅渣、沉砂、污泥，</w:t>
      </w:r>
      <w:r>
        <w:rPr>
          <w:rFonts w:hint="default" w:ascii="Times New Roman" w:hAnsi="Times New Roman" w:cs="Times New Roman"/>
          <w:color w:val="auto"/>
          <w:sz w:val="24"/>
          <w:szCs w:val="24"/>
          <w:highlight w:val="none"/>
          <w:lang w:val="en-US" w:eastAsia="zh-CN"/>
        </w:rPr>
        <w:t>厂区使污泥含水率≤80%，pH范围为6-9后由</w:t>
      </w:r>
      <w:r>
        <w:rPr>
          <w:rFonts w:hint="eastAsia" w:cs="Times New Roman"/>
          <w:color w:val="auto"/>
          <w:sz w:val="24"/>
          <w:szCs w:val="24"/>
          <w:highlight w:val="none"/>
          <w:lang w:val="en-US" w:eastAsia="zh-CN"/>
        </w:rPr>
        <w:t>重庆顺齐利固体废物治理有限公司</w:t>
      </w:r>
      <w:r>
        <w:rPr>
          <w:rFonts w:hint="default" w:ascii="Times New Roman" w:hAnsi="Times New Roman" w:cs="Times New Roman"/>
          <w:color w:val="auto"/>
          <w:sz w:val="24"/>
          <w:szCs w:val="24"/>
          <w:highlight w:val="none"/>
          <w:lang w:val="en-US" w:eastAsia="zh-CN"/>
        </w:rPr>
        <w:t>处置，并签订了污泥处置服务合同（合同有效期：</w:t>
      </w:r>
      <w:r>
        <w:rPr>
          <w:rFonts w:hint="eastAsia" w:cs="Times New Roman"/>
          <w:color w:val="auto"/>
          <w:sz w:val="24"/>
          <w:szCs w:val="24"/>
          <w:highlight w:val="none"/>
          <w:lang w:val="en-US" w:eastAsia="zh-CN"/>
        </w:rPr>
        <w:t>2022</w:t>
      </w:r>
      <w:r>
        <w:rPr>
          <w:rFonts w:hint="default" w:ascii="Times New Roman" w:hAnsi="Times New Roman" w:cs="Times New Roman"/>
          <w:color w:val="auto"/>
          <w:sz w:val="24"/>
          <w:szCs w:val="24"/>
          <w:highlight w:val="none"/>
          <w:lang w:val="en-US" w:eastAsia="zh-CN"/>
        </w:rPr>
        <w:t>年3月</w:t>
      </w: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val="en-US" w:eastAsia="zh-CN"/>
        </w:rPr>
        <w:t>日至202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年3月</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根据合同，污泥相关指标符合《</w:t>
      </w:r>
      <w:r>
        <w:rPr>
          <w:rFonts w:hint="eastAsia" w:cs="Times New Roman"/>
          <w:color w:val="auto"/>
          <w:sz w:val="24"/>
          <w:szCs w:val="24"/>
          <w:highlight w:val="none"/>
          <w:lang w:val="en-US" w:eastAsia="zh-CN"/>
        </w:rPr>
        <w:t>一般工业固体废物储存和填埋污染控制标准</w:t>
      </w:r>
      <w:r>
        <w:rPr>
          <w:rFonts w:hint="default" w:ascii="Times New Roman" w:hAnsi="Times New Roman" w:cs="Times New Roman"/>
          <w:color w:val="auto"/>
          <w:sz w:val="24"/>
          <w:szCs w:val="24"/>
          <w:highlight w:val="none"/>
          <w:lang w:val="en-US" w:eastAsia="zh-CN"/>
        </w:rPr>
        <w:t>》（GB</w:t>
      </w:r>
      <w:r>
        <w:rPr>
          <w:rFonts w:hint="eastAsia" w:cs="Times New Roman"/>
          <w:color w:val="auto"/>
          <w:sz w:val="24"/>
          <w:szCs w:val="24"/>
          <w:highlight w:val="none"/>
          <w:lang w:val="en-US" w:eastAsia="zh-CN"/>
        </w:rPr>
        <w:t>18599-2020</w:t>
      </w:r>
      <w:r>
        <w:rPr>
          <w:rFonts w:hint="default" w:ascii="Times New Roman" w:hAnsi="Times New Roman" w:cs="Times New Roman"/>
          <w:color w:val="auto"/>
          <w:sz w:val="24"/>
          <w:szCs w:val="24"/>
          <w:highlight w:val="none"/>
          <w:lang w:val="en-US" w:eastAsia="zh-CN"/>
        </w:rPr>
        <w:t>）的要求，由自卸货车运输</w:t>
      </w:r>
      <w:r>
        <w:rPr>
          <w:rFonts w:hint="eastAsia" w:cs="Times New Roman"/>
          <w:color w:val="auto"/>
          <w:sz w:val="24"/>
          <w:szCs w:val="24"/>
          <w:highlight w:val="none"/>
          <w:lang w:val="en-US" w:eastAsia="zh-CN"/>
        </w:rPr>
        <w:t>至万盛煤电化园区一般工业固废填埋中心</w:t>
      </w:r>
      <w:r>
        <w:rPr>
          <w:rFonts w:hint="default" w:ascii="Times New Roman" w:hAnsi="Times New Roman" w:cs="Times New Roman"/>
          <w:color w:val="auto"/>
          <w:sz w:val="24"/>
          <w:szCs w:val="24"/>
          <w:highlight w:val="none"/>
          <w:lang w:val="en-US" w:eastAsia="zh-CN"/>
        </w:rPr>
        <w:t>。</w:t>
      </w:r>
    </w:p>
    <w:p>
      <w:pPr>
        <w:pStyle w:val="87"/>
        <w:numPr>
          <w:ilvl w:val="0"/>
          <w:numId w:val="4"/>
        </w:numPr>
        <w:ind w:left="-90" w:leftChars="0" w:firstLine="720"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危险废物主要为实验室及在线监测废液、废弃空试剂瓶等。危险废物分类收集暂存于危废暂存间，定期交由</w:t>
      </w:r>
      <w:r>
        <w:rPr>
          <w:rFonts w:hint="eastAsia" w:cs="Times New Roman"/>
          <w:color w:val="auto"/>
          <w:sz w:val="24"/>
          <w:szCs w:val="24"/>
          <w:highlight w:val="none"/>
          <w:lang w:val="en-US" w:eastAsia="zh-CN"/>
        </w:rPr>
        <w:t>重庆宏邦环保有限公司</w:t>
      </w:r>
      <w:r>
        <w:rPr>
          <w:rFonts w:hint="default" w:ascii="Times New Roman" w:hAnsi="Times New Roman" w:cs="Times New Roman"/>
          <w:color w:val="auto"/>
          <w:sz w:val="24"/>
          <w:szCs w:val="24"/>
          <w:highlight w:val="none"/>
          <w:lang w:val="en-US" w:eastAsia="zh-CN"/>
        </w:rPr>
        <w:t>处理并签订了危险废物安全处置</w:t>
      </w:r>
      <w:r>
        <w:rPr>
          <w:rFonts w:hint="eastAsia" w:cs="Times New Roman"/>
          <w:color w:val="auto"/>
          <w:sz w:val="24"/>
          <w:szCs w:val="24"/>
          <w:highlight w:val="none"/>
          <w:lang w:val="en-US" w:eastAsia="zh-CN"/>
        </w:rPr>
        <w:t>服务合同</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合同</w:t>
      </w:r>
      <w:r>
        <w:rPr>
          <w:rFonts w:hint="default" w:ascii="Times New Roman" w:hAnsi="Times New Roman" w:cs="Times New Roman"/>
          <w:color w:val="auto"/>
          <w:sz w:val="24"/>
          <w:szCs w:val="24"/>
          <w:highlight w:val="none"/>
          <w:lang w:val="en-US" w:eastAsia="zh-CN"/>
        </w:rPr>
        <w:t>有效期：</w:t>
      </w:r>
      <w:r>
        <w:rPr>
          <w:rFonts w:hint="eastAsia" w:cs="Times New Roman"/>
          <w:color w:val="auto"/>
          <w:sz w:val="24"/>
          <w:szCs w:val="24"/>
          <w:highlight w:val="none"/>
          <w:lang w:val="en-US" w:eastAsia="zh-CN"/>
        </w:rPr>
        <w:t>2022</w:t>
      </w:r>
      <w:r>
        <w:rPr>
          <w:rFonts w:hint="default" w:ascii="Times New Roman" w:hAnsi="Times New Roman" w:cs="Times New Roman"/>
          <w:color w:val="auto"/>
          <w:sz w:val="24"/>
          <w:szCs w:val="24"/>
          <w:highlight w:val="none"/>
          <w:lang w:val="en-US" w:eastAsia="zh-CN"/>
        </w:rPr>
        <w:t>年7月2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日至202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年7月2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日）</w:t>
      </w:r>
    </w:p>
    <w:p>
      <w:pPr>
        <w:pStyle w:val="87"/>
        <w:numPr>
          <w:ilvl w:val="0"/>
          <w:numId w:val="4"/>
        </w:numPr>
        <w:ind w:left="-90" w:leftChars="0" w:firstLine="720" w:firstLineChars="0"/>
        <w:rPr>
          <w:rFonts w:hint="default" w:ascii="Times New Roman" w:hAnsi="Times New Roman" w:eastAsia="宋体" w:cs="Times New Roman"/>
          <w:color w:val="auto"/>
        </w:rPr>
      </w:pPr>
      <w:r>
        <w:rPr>
          <w:rFonts w:hint="default" w:ascii="Times New Roman" w:hAnsi="Times New Roman" w:cs="Times New Roman"/>
          <w:color w:val="auto"/>
          <w:sz w:val="24"/>
          <w:szCs w:val="24"/>
          <w:lang w:val="en-US" w:eastAsia="zh-CN"/>
        </w:rPr>
        <w:t>本次提标改造项目新增员工2名，新增部分生活垃圾，生活垃圾收集后交由环卫部门处置。</w:t>
      </w:r>
    </w:p>
    <w:p>
      <w:pPr>
        <w:pStyle w:val="87"/>
        <w:bidi w:val="0"/>
        <w:rPr>
          <w:rFonts w:hint="default" w:ascii="Times New Roman" w:hAnsi="Times New Roman" w:eastAsia="宋体" w:cs="Times New Roman"/>
          <w:color w:val="auto"/>
        </w:rPr>
      </w:pPr>
      <w:r>
        <w:rPr>
          <w:rFonts w:hint="default" w:ascii="Times New Roman" w:hAnsi="Times New Roman" w:cs="Times New Roman"/>
          <w:color w:val="auto"/>
          <w:sz w:val="24"/>
          <w:szCs w:val="24"/>
          <w:lang w:val="en-US" w:eastAsia="zh-CN"/>
        </w:rPr>
        <w:t>项目固废及产生情况详见表4.1-2。</w:t>
      </w:r>
    </w:p>
    <w:p>
      <w:pPr>
        <w:pStyle w:val="79"/>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4.1-2</w:t>
      </w:r>
      <w:r>
        <w:rPr>
          <w:rFonts w:hint="default" w:ascii="Times New Roman" w:hAnsi="Times New Roman" w:cs="Times New Roman"/>
          <w:color w:val="auto"/>
          <w:lang w:eastAsia="zh-CN"/>
        </w:rPr>
        <w:t>项目</w:t>
      </w:r>
      <w:r>
        <w:rPr>
          <w:rFonts w:hint="default" w:ascii="Times New Roman" w:hAnsi="Times New Roman" w:cs="Times New Roman"/>
          <w:color w:val="auto"/>
        </w:rPr>
        <w:t>固体废物</w:t>
      </w:r>
      <w:r>
        <w:rPr>
          <w:rFonts w:hint="default" w:ascii="Times New Roman" w:hAnsi="Times New Roman" w:cs="Times New Roman"/>
          <w:color w:val="auto"/>
          <w:lang w:eastAsia="zh-CN"/>
        </w:rPr>
        <w:t>产生及</w:t>
      </w:r>
      <w:r>
        <w:rPr>
          <w:rFonts w:hint="default" w:ascii="Times New Roman" w:hAnsi="Times New Roman" w:cs="Times New Roman"/>
          <w:color w:val="auto"/>
        </w:rPr>
        <w:t>处置情况</w:t>
      </w:r>
    </w:p>
    <w:tbl>
      <w:tblPr>
        <w:tblStyle w:val="33"/>
        <w:tblpPr w:leftFromText="180" w:rightFromText="180" w:vertAnchor="text" w:horzAnchor="page" w:tblpX="1402" w:tblpY="132"/>
        <w:tblOverlap w:val="never"/>
        <w:tblW w:w="5027"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933"/>
        <w:gridCol w:w="1227"/>
        <w:gridCol w:w="1397"/>
        <w:gridCol w:w="1687"/>
        <w:gridCol w:w="1756"/>
        <w:gridCol w:w="190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5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bookmarkStart w:id="53" w:name="_Toc32327"/>
            <w:r>
              <w:rPr>
                <w:rFonts w:hint="default" w:ascii="Times New Roman" w:hAnsi="Times New Roman" w:cs="Times New Roman"/>
                <w:b/>
                <w:bCs/>
                <w:color w:val="auto"/>
                <w:sz w:val="21"/>
                <w:szCs w:val="21"/>
              </w:rPr>
              <w:t>名称</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主要组成</w:t>
            </w:r>
          </w:p>
        </w:tc>
        <w:tc>
          <w:tcPr>
            <w:tcW w:w="7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固废属性</w:t>
            </w:r>
          </w:p>
        </w:tc>
        <w:tc>
          <w:tcPr>
            <w:tcW w:w="9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处置措施</w:t>
            </w:r>
          </w:p>
        </w:tc>
        <w:tc>
          <w:tcPr>
            <w:tcW w:w="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最终去向</w:t>
            </w:r>
          </w:p>
        </w:tc>
        <w:tc>
          <w:tcPr>
            <w:tcW w:w="10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废物类别及代码</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5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污泥</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微生物菌群</w:t>
            </w:r>
            <w:r>
              <w:rPr>
                <w:rFonts w:hint="default" w:ascii="Times New Roman" w:hAnsi="Times New Roman" w:cs="Times New Roman"/>
                <w:color w:val="auto"/>
                <w:sz w:val="21"/>
                <w:szCs w:val="21"/>
                <w:lang w:eastAsia="zh-CN"/>
              </w:rPr>
              <w:t>、絮凝体</w:t>
            </w:r>
          </w:p>
        </w:tc>
        <w:tc>
          <w:tcPr>
            <w:tcW w:w="78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4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外运</w:t>
            </w:r>
          </w:p>
        </w:tc>
        <w:tc>
          <w:tcPr>
            <w:tcW w:w="9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重庆顺齐利固体废物治理有限公司</w:t>
            </w:r>
          </w:p>
        </w:tc>
        <w:tc>
          <w:tcPr>
            <w:tcW w:w="106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一般工业固废</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5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栅渣</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大颗粒物、浮渣等</w:t>
            </w:r>
          </w:p>
        </w:tc>
        <w:tc>
          <w:tcPr>
            <w:tcW w:w="7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9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9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6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5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废液</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废液</w:t>
            </w:r>
          </w:p>
        </w:tc>
        <w:tc>
          <w:tcPr>
            <w:tcW w:w="7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危险废物</w:t>
            </w:r>
          </w:p>
        </w:tc>
        <w:tc>
          <w:tcPr>
            <w:tcW w:w="9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危废暂存间暂存</w:t>
            </w:r>
          </w:p>
        </w:tc>
        <w:tc>
          <w:tcPr>
            <w:tcW w:w="9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重庆宏邦环保有限公司</w:t>
            </w:r>
          </w:p>
        </w:tc>
        <w:tc>
          <w:tcPr>
            <w:tcW w:w="10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HW49（900-047-49）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5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废弃化学试剂瓶</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化学药品</w:t>
            </w:r>
          </w:p>
        </w:tc>
        <w:tc>
          <w:tcPr>
            <w:tcW w:w="7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危险废物</w:t>
            </w:r>
          </w:p>
        </w:tc>
        <w:tc>
          <w:tcPr>
            <w:tcW w:w="9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危废暂存间暂存</w:t>
            </w:r>
          </w:p>
        </w:tc>
        <w:tc>
          <w:tcPr>
            <w:tcW w:w="9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0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HW49（900-041-49）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5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6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7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9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暂存</w:t>
            </w:r>
            <w:r>
              <w:rPr>
                <w:rFonts w:hint="default" w:ascii="Times New Roman" w:hAnsi="Times New Roman" w:cs="Times New Roman"/>
                <w:color w:val="auto"/>
                <w:sz w:val="21"/>
                <w:szCs w:val="21"/>
                <w:lang w:eastAsia="zh-CN"/>
              </w:rPr>
              <w:t>垃圾桶</w:t>
            </w:r>
          </w:p>
        </w:tc>
        <w:tc>
          <w:tcPr>
            <w:tcW w:w="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由市政环卫</w:t>
            </w:r>
            <w:r>
              <w:rPr>
                <w:rFonts w:hint="default" w:ascii="Times New Roman" w:hAnsi="Times New Roman" w:cs="Times New Roman"/>
                <w:color w:val="auto"/>
                <w:sz w:val="21"/>
                <w:szCs w:val="21"/>
                <w:lang w:eastAsia="zh-CN"/>
              </w:rPr>
              <w:t>部</w:t>
            </w:r>
            <w:r>
              <w:rPr>
                <w:rFonts w:hint="default" w:ascii="Times New Roman" w:hAnsi="Times New Roman" w:cs="Times New Roman"/>
                <w:color w:val="auto"/>
                <w:sz w:val="21"/>
                <w:szCs w:val="21"/>
              </w:rPr>
              <w:t>门统一收集</w:t>
            </w:r>
          </w:p>
        </w:tc>
        <w:tc>
          <w:tcPr>
            <w:tcW w:w="10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r>
    </w:tbl>
    <w:p>
      <w:pPr>
        <w:pStyle w:val="4"/>
        <w:bidi w:val="0"/>
        <w:rPr>
          <w:rFonts w:hint="default" w:ascii="Times New Roman" w:hAnsi="Times New Roman" w:cs="Times New Roman"/>
          <w:color w:val="auto"/>
          <w:highlight w:val="none"/>
        </w:rPr>
      </w:pPr>
      <w:bookmarkStart w:id="54" w:name="_Toc23422"/>
      <w:r>
        <w:rPr>
          <w:rFonts w:hint="default" w:ascii="Times New Roman" w:hAnsi="Times New Roman" w:cs="Times New Roman"/>
          <w:color w:val="auto"/>
          <w:highlight w:val="none"/>
        </w:rPr>
        <w:t>4.2其他环境保护设施</w:t>
      </w:r>
      <w:bookmarkEnd w:id="53"/>
      <w:bookmarkEnd w:id="54"/>
    </w:p>
    <w:p>
      <w:pPr>
        <w:pStyle w:val="5"/>
        <w:bidi w:val="0"/>
        <w:rPr>
          <w:rFonts w:hint="default" w:ascii="Times New Roman" w:hAnsi="Times New Roman" w:cs="Times New Roman"/>
          <w:color w:val="auto"/>
          <w:lang w:val="en-US" w:eastAsia="zh-CN"/>
        </w:rPr>
      </w:pPr>
      <w:bookmarkStart w:id="55" w:name="_Toc67414439"/>
      <w:bookmarkStart w:id="56" w:name="_Toc4298"/>
      <w:bookmarkStart w:id="57" w:name="_Toc29610"/>
      <w:r>
        <w:rPr>
          <w:rFonts w:hint="default" w:ascii="Times New Roman" w:hAnsi="Times New Roman" w:cs="Times New Roman"/>
          <w:color w:val="auto"/>
        </w:rPr>
        <w:t>4.2.1环境风险防范措施</w:t>
      </w:r>
      <w:bookmarkEnd w:id="55"/>
      <w:bookmarkEnd w:id="56"/>
      <w:bookmarkEnd w:id="57"/>
    </w:p>
    <w:p>
      <w:pPr>
        <w:pStyle w:val="8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根据现场踏勘，项目营运期采取了一系列风险防范措施：</w:t>
      </w:r>
    </w:p>
    <w:p>
      <w:pPr>
        <w:pStyle w:val="87"/>
        <w:numPr>
          <w:ilvl w:val="0"/>
          <w:numId w:val="5"/>
        </w:num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对污水处理构筑物、废水收集与排放管道、污泥暂存场所等进行了严格防渗。</w:t>
      </w:r>
    </w:p>
    <w:p>
      <w:pPr>
        <w:pStyle w:val="87"/>
        <w:numPr>
          <w:ilvl w:val="0"/>
          <w:numId w:val="5"/>
        </w:num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盐酸储罐区设置了围堰、收集沟、收集井、应急事故池，防止化学品泄露溢出。化学品存放区张贴有各类标识牌。</w:t>
      </w:r>
    </w:p>
    <w:p>
      <w:pPr>
        <w:pStyle w:val="87"/>
        <w:numPr>
          <w:ilvl w:val="0"/>
          <w:numId w:val="5"/>
        </w:numPr>
        <w:bidi w:val="0"/>
        <w:rPr>
          <w:rFonts w:hint="default" w:ascii="Times New Roman" w:hAnsi="Times New Roman" w:cs="Times New Roman"/>
          <w:snapToGrid w:val="0"/>
          <w:color w:val="auto"/>
        </w:rPr>
      </w:pPr>
      <w:r>
        <w:rPr>
          <w:rFonts w:hint="default" w:ascii="Times New Roman" w:hAnsi="Times New Roman" w:cs="Times New Roman"/>
          <w:snapToGrid w:val="0"/>
          <w:color w:val="auto"/>
        </w:rPr>
        <w:t>加强管理，对建构筑物、设备、管网等定期进行巡查，并积极监控厂区进出水流量变化，及时发现渗漏，并及时处置。此外，采用双电源，</w:t>
      </w:r>
      <w:r>
        <w:rPr>
          <w:rFonts w:hint="default" w:ascii="Times New Roman" w:hAnsi="Times New Roman" w:cs="Times New Roman"/>
          <w:snapToGrid w:val="0"/>
          <w:color w:val="auto"/>
          <w:lang w:eastAsia="zh-CN"/>
        </w:rPr>
        <w:t>外部备用电源</w:t>
      </w:r>
      <w:r>
        <w:rPr>
          <w:rFonts w:hint="default" w:ascii="Times New Roman" w:hAnsi="Times New Roman" w:cs="Times New Roman"/>
          <w:snapToGrid w:val="0"/>
          <w:color w:val="auto"/>
        </w:rPr>
        <w:t>作为应急备用电源，防止污水事故排放。</w:t>
      </w:r>
    </w:p>
    <w:p>
      <w:pPr>
        <w:pStyle w:val="87"/>
        <w:numPr>
          <w:ilvl w:val="0"/>
          <w:numId w:val="5"/>
        </w:numPr>
        <w:bidi w:val="0"/>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kern w:val="0"/>
          <w:highlight w:val="none"/>
          <w:lang w:eastAsia="zh-CN"/>
        </w:rPr>
        <w:t>荣昌荣隆工业园污水处理厂</w:t>
      </w:r>
      <w:r>
        <w:rPr>
          <w:rFonts w:hint="default" w:ascii="Times New Roman" w:hAnsi="Times New Roman" w:cs="Times New Roman"/>
          <w:snapToGrid w:val="0"/>
          <w:color w:val="auto"/>
          <w:highlight w:val="none"/>
        </w:rPr>
        <w:t>现有厂区采取了各项行之有效的风险防范措施，</w:t>
      </w:r>
      <w:r>
        <w:rPr>
          <w:rFonts w:hint="default" w:ascii="Times New Roman" w:hAnsi="Times New Roman" w:cs="Times New Roman"/>
          <w:color w:val="auto"/>
          <w:highlight w:val="none"/>
          <w:lang w:eastAsia="zh-CN"/>
        </w:rPr>
        <w:t>于</w:t>
      </w:r>
      <w:r>
        <w:rPr>
          <w:rFonts w:hint="default" w:ascii="Times New Roman" w:hAnsi="Times New Roman" w:cs="Times New Roman"/>
          <w:color w:val="auto"/>
          <w:highlight w:val="none"/>
          <w:lang w:val="en-US" w:eastAsia="zh-CN"/>
        </w:rPr>
        <w:t>2021年11月17日取得了重庆市荣昌区生态环境局颁发的《突发环境事件应急预案备案登记表》（备案编号：500226-2021-043-L）。于2021年11月17日取得重庆市荣昌区生态环境局颁发的《环境风险评估报告备案登记表》（备案编号：5002262021110008）。</w:t>
      </w:r>
    </w:p>
    <w:p>
      <w:pPr>
        <w:pStyle w:val="5"/>
        <w:rPr>
          <w:rFonts w:hint="default" w:ascii="Times New Roman" w:hAnsi="Times New Roman" w:eastAsia="宋体" w:cs="Times New Roman"/>
          <w:snapToGrid w:val="0"/>
          <w:color w:val="auto"/>
          <w:sz w:val="28"/>
          <w:szCs w:val="28"/>
        </w:rPr>
      </w:pPr>
      <w:bookmarkStart w:id="58" w:name="_Toc7418"/>
      <w:bookmarkStart w:id="59" w:name="_Toc28719"/>
      <w:bookmarkStart w:id="60" w:name="_Toc67414440"/>
      <w:r>
        <w:rPr>
          <w:rFonts w:hint="default" w:ascii="Times New Roman" w:hAnsi="Times New Roman" w:eastAsia="宋体" w:cs="Times New Roman"/>
          <w:snapToGrid w:val="0"/>
          <w:color w:val="auto"/>
          <w:sz w:val="28"/>
          <w:szCs w:val="28"/>
        </w:rPr>
        <w:t>4.2.2规范化排污口、监测设施及在线监测装置</w:t>
      </w:r>
      <w:bookmarkEnd w:id="58"/>
      <w:bookmarkEnd w:id="59"/>
      <w:bookmarkEnd w:id="60"/>
    </w:p>
    <w:p>
      <w:pPr>
        <w:pStyle w:val="87"/>
        <w:ind w:firstLine="480"/>
        <w:jc w:val="left"/>
        <w:rPr>
          <w:rFonts w:hint="default" w:ascii="Times New Roman" w:hAnsi="Times New Roman" w:cs="Times New Roman"/>
          <w:b/>
          <w:bCs/>
          <w:color w:val="auto"/>
          <w:lang w:val="en-US" w:eastAsia="zh-CN"/>
        </w:rPr>
      </w:pPr>
      <w:r>
        <w:rPr>
          <w:rFonts w:hint="default" w:ascii="Times New Roman" w:hAnsi="Times New Roman" w:cs="Times New Roman"/>
          <w:color w:val="auto"/>
          <w:lang w:val="en-US" w:eastAsia="zh-CN"/>
        </w:rPr>
        <w:t>废水排放口建设规范，已安装在线监测仪器对项目污水处理厂进水口及出水口</w:t>
      </w:r>
      <w:r>
        <w:rPr>
          <w:rFonts w:hint="default" w:ascii="Times New Roman" w:hAnsi="Times New Roman" w:cs="Times New Roman"/>
          <w:color w:val="auto"/>
        </w:rPr>
        <w:t>COD</w:t>
      </w:r>
      <w:r>
        <w:rPr>
          <w:rFonts w:hint="default" w:ascii="Times New Roman" w:hAnsi="Times New Roman" w:cs="Times New Roman"/>
          <w:color w:val="auto"/>
          <w:vertAlign w:val="subscript"/>
        </w:rPr>
        <w:t>Cr</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pH值、总磷、总氮等进行实时监控，在线监测设备已联网。</w:t>
      </w:r>
    </w:p>
    <w:p>
      <w:pPr>
        <w:pStyle w:val="5"/>
        <w:rPr>
          <w:rFonts w:hint="default" w:ascii="Times New Roman" w:hAnsi="Times New Roman" w:cs="Times New Roman"/>
          <w:color w:val="auto"/>
          <w:sz w:val="28"/>
          <w:szCs w:val="28"/>
          <w:lang w:val="en-US" w:eastAsia="zh-CN"/>
        </w:rPr>
      </w:pPr>
      <w:bookmarkStart w:id="61" w:name="_Toc23408"/>
      <w:r>
        <w:rPr>
          <w:rFonts w:hint="default" w:ascii="Times New Roman" w:hAnsi="Times New Roman" w:cs="Times New Roman"/>
          <w:color w:val="auto"/>
          <w:sz w:val="28"/>
          <w:szCs w:val="28"/>
          <w:lang w:val="en-US" w:eastAsia="zh-CN"/>
        </w:rPr>
        <w:t>4.2.3环保投诉情况</w:t>
      </w:r>
      <w:bookmarkEnd w:id="61"/>
    </w:p>
    <w:p>
      <w:pPr>
        <w:pStyle w:val="87"/>
        <w:bidi w:val="0"/>
        <w:rPr>
          <w:rFonts w:hint="default" w:ascii="Times New Roman" w:hAnsi="Times New Roman" w:cs="Times New Roman"/>
          <w:color w:val="auto"/>
          <w:lang w:val="en-US" w:eastAsia="zh-CN"/>
        </w:rPr>
      </w:pPr>
      <w:bookmarkStart w:id="62" w:name="_Toc19230"/>
      <w:bookmarkStart w:id="63" w:name="_Toc2737"/>
      <w:r>
        <w:rPr>
          <w:rFonts w:hint="default" w:ascii="Times New Roman" w:hAnsi="Times New Roman" w:cs="Times New Roman"/>
          <w:color w:val="auto"/>
          <w:lang w:val="en-US" w:eastAsia="zh-CN"/>
        </w:rPr>
        <w:t>2019年7月西南侧敏感点反应过臭气扰民情况，因此建设单位对产臭单位最大的预处理区（粗格栅调节提升泵池、细格栅曝气沉砂池和水解酸化池）全部加盖密封，产生的臭气收集经生物滤池除臭后通过15m排气筒排放，该废气处理系统2019年9月份投入运营使用后未收到投诉。</w:t>
      </w:r>
    </w:p>
    <w:p>
      <w:pPr>
        <w:pStyle w:val="4"/>
        <w:keepNext w:val="0"/>
        <w:keepLines w:val="0"/>
        <w:pageBreakBefore w:val="0"/>
        <w:widowControl/>
        <w:tabs>
          <w:tab w:val="left" w:pos="541"/>
          <w:tab w:val="left" w:pos="576"/>
        </w:tabs>
        <w:kinsoku/>
        <w:wordWrap/>
        <w:overflowPunct/>
        <w:topLinePunct w:val="0"/>
        <w:autoSpaceDE/>
        <w:autoSpaceDN/>
        <w:bidi w:val="0"/>
        <w:adjustRightInd/>
        <w:snapToGrid/>
        <w:textAlignment w:val="auto"/>
        <w:rPr>
          <w:rFonts w:hint="default" w:ascii="Times New Roman" w:hAnsi="Times New Roman" w:cs="Times New Roman"/>
          <w:color w:val="auto"/>
        </w:rPr>
      </w:pPr>
      <w:bookmarkStart w:id="64" w:name="_Toc10098"/>
      <w:r>
        <w:rPr>
          <w:rFonts w:hint="default" w:ascii="Times New Roman" w:hAnsi="Times New Roman" w:cs="Times New Roman"/>
          <w:color w:val="auto"/>
        </w:rPr>
        <w:t>4.3环保设施投资及“三同时”落实情况</w:t>
      </w:r>
      <w:bookmarkEnd w:id="62"/>
      <w:bookmarkEnd w:id="64"/>
    </w:p>
    <w:p>
      <w:pPr>
        <w:pStyle w:val="5"/>
        <w:tabs>
          <w:tab w:val="left" w:pos="0"/>
          <w:tab w:val="left" w:pos="91"/>
          <w:tab w:val="left" w:pos="132"/>
          <w:tab w:val="left" w:pos="377"/>
          <w:tab w:val="left" w:pos="479"/>
          <w:tab w:val="left" w:pos="561"/>
          <w:tab w:val="left" w:pos="582"/>
          <w:tab w:val="left" w:pos="643"/>
        </w:tabs>
        <w:rPr>
          <w:rStyle w:val="94"/>
          <w:rFonts w:hint="default" w:ascii="Times New Roman" w:hAnsi="Times New Roman" w:cs="Times New Roman"/>
          <w:b/>
          <w:color w:val="auto"/>
        </w:rPr>
      </w:pPr>
      <w:bookmarkStart w:id="65" w:name="_Toc498945650"/>
      <w:bookmarkStart w:id="66" w:name="_Toc498945380"/>
      <w:bookmarkStart w:id="67" w:name="_Toc524414925"/>
      <w:bookmarkStart w:id="68" w:name="_Toc18829"/>
      <w:bookmarkStart w:id="69" w:name="_Toc15169"/>
      <w:r>
        <w:rPr>
          <w:rStyle w:val="94"/>
          <w:rFonts w:hint="default" w:ascii="Times New Roman" w:hAnsi="Times New Roman" w:cs="Times New Roman"/>
          <w:b/>
          <w:color w:val="auto"/>
          <w:spacing w:val="0"/>
          <w:w w:val="100"/>
        </w:rPr>
        <w:t>4.3.1项目环保投资明细</w:t>
      </w:r>
      <w:bookmarkEnd w:id="65"/>
      <w:bookmarkEnd w:id="66"/>
      <w:bookmarkEnd w:id="67"/>
      <w:bookmarkEnd w:id="68"/>
      <w:bookmarkEnd w:id="69"/>
    </w:p>
    <w:p>
      <w:pPr>
        <w:pStyle w:val="87"/>
        <w:bidi w:val="0"/>
        <w:rPr>
          <w:rFonts w:hint="default" w:ascii="Times New Roman" w:hAnsi="Times New Roman" w:cs="Times New Roman"/>
          <w:color w:val="auto"/>
          <w:lang w:val="en-US" w:eastAsia="zh-CN"/>
        </w:rPr>
      </w:pPr>
      <w:r>
        <w:rPr>
          <w:rFonts w:hint="default" w:ascii="Times New Roman" w:hAnsi="Times New Roman" w:cs="Times New Roman"/>
          <w:color w:val="auto"/>
        </w:rPr>
        <w:t>项目实际总投资</w:t>
      </w:r>
      <w:r>
        <w:rPr>
          <w:rFonts w:hint="default" w:ascii="Times New Roman" w:hAnsi="Times New Roman" w:cs="Times New Roman"/>
          <w:color w:val="auto"/>
          <w:lang w:val="en-US" w:eastAsia="zh-CN"/>
        </w:rPr>
        <w:t>2830.38</w:t>
      </w:r>
      <w:r>
        <w:rPr>
          <w:rFonts w:hint="default" w:ascii="Times New Roman" w:hAnsi="Times New Roman" w:cs="Times New Roman"/>
          <w:color w:val="auto"/>
        </w:rPr>
        <w:t>万元，</w:t>
      </w:r>
      <w:r>
        <w:rPr>
          <w:rFonts w:hint="default" w:ascii="Times New Roman" w:hAnsi="Times New Roman" w:cs="Times New Roman"/>
          <w:color w:val="auto"/>
          <w:lang w:val="en-US" w:eastAsia="zh-CN"/>
        </w:rPr>
        <w:t>其中环保投资27万元，占项目总投资0.95%。</w:t>
      </w:r>
      <w:r>
        <w:rPr>
          <w:rFonts w:hint="default" w:ascii="Times New Roman" w:hAnsi="Times New Roman" w:cs="Times New Roman"/>
          <w:color w:val="auto"/>
          <w:lang w:eastAsia="zh-CN"/>
        </w:rPr>
        <w:t>本次提标改造</w:t>
      </w:r>
      <w:r>
        <w:rPr>
          <w:rFonts w:hint="default" w:ascii="Times New Roman" w:hAnsi="Times New Roman" w:cs="Times New Roman"/>
          <w:color w:val="auto"/>
          <w:lang w:val="en-US" w:eastAsia="zh-CN"/>
        </w:rPr>
        <w:t>新增两个15m排气筒</w:t>
      </w:r>
      <w:r>
        <w:rPr>
          <w:rFonts w:hint="default" w:ascii="Times New Roman" w:hAnsi="Times New Roman" w:cs="Times New Roman"/>
          <w:color w:val="auto"/>
          <w:lang w:eastAsia="zh-CN"/>
        </w:rPr>
        <w:t>。</w:t>
      </w:r>
    </w:p>
    <w:p>
      <w:pPr>
        <w:pStyle w:val="5"/>
        <w:tabs>
          <w:tab w:val="left" w:pos="0"/>
          <w:tab w:val="left" w:pos="91"/>
          <w:tab w:val="left" w:pos="132"/>
          <w:tab w:val="left" w:pos="377"/>
          <w:tab w:val="left" w:pos="479"/>
          <w:tab w:val="left" w:pos="561"/>
          <w:tab w:val="left" w:pos="582"/>
          <w:tab w:val="left" w:pos="643"/>
        </w:tabs>
        <w:bidi w:val="0"/>
        <w:rPr>
          <w:rFonts w:hint="default" w:ascii="Times New Roman" w:hAnsi="Times New Roman" w:cs="Times New Roman"/>
          <w:color w:val="auto"/>
          <w:sz w:val="28"/>
          <w:szCs w:val="28"/>
        </w:rPr>
      </w:pPr>
      <w:bookmarkStart w:id="70" w:name="_Toc650"/>
      <w:r>
        <w:rPr>
          <w:rFonts w:hint="default"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rPr>
        <w:t>.3.2“三同时”落实情况</w:t>
      </w:r>
      <w:bookmarkEnd w:id="70"/>
    </w:p>
    <w:p>
      <w:pPr>
        <w:spacing w:line="360" w:lineRule="auto"/>
        <w:ind w:firstLine="480" w:firstLineChars="200"/>
        <w:rPr>
          <w:rFonts w:hint="default" w:ascii="Times New Roman" w:hAnsi="Times New Roman" w:cs="Times New Roman"/>
          <w:bCs/>
          <w:color w:val="auto"/>
          <w:sz w:val="24"/>
          <w:lang w:val="zh-CN"/>
        </w:rPr>
      </w:pPr>
      <w:r>
        <w:rPr>
          <w:rFonts w:hint="default" w:ascii="Times New Roman" w:hAnsi="Times New Roman" w:cs="Times New Roman"/>
          <w:bCs/>
          <w:color w:val="auto"/>
          <w:sz w:val="24"/>
          <w:lang w:val="zh-CN"/>
        </w:rPr>
        <w:t>根据企业自查后提供的相关资料，结合报告编制人员的现场踏勘及资料调研，该项目实际建设内容与</w:t>
      </w:r>
      <w:r>
        <w:rPr>
          <w:rFonts w:hint="default" w:ascii="Times New Roman" w:hAnsi="Times New Roman" w:cs="Times New Roman"/>
          <w:bCs/>
          <w:color w:val="auto"/>
          <w:sz w:val="24"/>
          <w:highlight w:val="none"/>
          <w:lang w:val="zh-CN"/>
        </w:rPr>
        <w:t>环评</w:t>
      </w:r>
      <w:r>
        <w:rPr>
          <w:rFonts w:hint="default" w:ascii="Times New Roman" w:hAnsi="Times New Roman" w:cs="Times New Roman"/>
          <w:bCs/>
          <w:color w:val="auto"/>
          <w:sz w:val="24"/>
          <w:lang w:val="zh-CN"/>
        </w:rPr>
        <w:t>的工程建设内容基本一致，其污染治理设施及措施基本按该项目环境影响报告</w:t>
      </w:r>
      <w:r>
        <w:rPr>
          <w:rFonts w:hint="default" w:ascii="Times New Roman" w:hAnsi="Times New Roman" w:cs="Times New Roman"/>
          <w:bCs/>
          <w:color w:val="auto"/>
          <w:sz w:val="24"/>
          <w:lang w:val="en-US" w:eastAsia="zh-CN"/>
        </w:rPr>
        <w:t>表</w:t>
      </w:r>
      <w:r>
        <w:rPr>
          <w:rFonts w:hint="default" w:ascii="Times New Roman" w:hAnsi="Times New Roman" w:cs="Times New Roman"/>
          <w:bCs/>
          <w:color w:val="auto"/>
          <w:sz w:val="24"/>
          <w:lang w:val="zh-CN"/>
        </w:rPr>
        <w:t>提出的各项环保措施和要求落实。</w:t>
      </w:r>
    </w:p>
    <w:p>
      <w:pPr>
        <w:spacing w:before="13"/>
        <w:ind w:right="510" w:firstLine="480" w:firstLineChars="200"/>
        <w:rPr>
          <w:rFonts w:hint="default" w:ascii="Times New Roman" w:hAnsi="Times New Roman" w:cs="Times New Roman"/>
          <w:bCs/>
          <w:color w:val="auto"/>
          <w:sz w:val="24"/>
          <w:lang w:val="zh-CN"/>
        </w:rPr>
        <w:sectPr>
          <w:pgSz w:w="11907" w:h="16840"/>
          <w:pgMar w:top="1440" w:right="1531" w:bottom="1440" w:left="1531" w:header="850" w:footer="851" w:gutter="0"/>
          <w:pgBorders>
            <w:top w:val="none" w:sz="0" w:space="0"/>
            <w:left w:val="none" w:sz="0" w:space="0"/>
            <w:bottom w:val="none" w:sz="0" w:space="0"/>
            <w:right w:val="none" w:sz="0" w:space="0"/>
          </w:pgBorders>
          <w:pgNumType w:fmt="decimal"/>
          <w:cols w:space="720" w:num="1"/>
          <w:rtlGutter w:val="0"/>
          <w:docGrid w:linePitch="299" w:charSpace="0"/>
        </w:sectPr>
      </w:pPr>
      <w:r>
        <w:rPr>
          <w:rFonts w:hint="default" w:ascii="Times New Roman" w:hAnsi="Times New Roman" w:cs="Times New Roman"/>
          <w:bCs/>
          <w:color w:val="auto"/>
          <w:sz w:val="24"/>
          <w:lang w:val="zh-CN"/>
        </w:rPr>
        <w:t>该项目环境保护设施“三同时”落实情况表见表4.3-2。</w:t>
      </w:r>
      <w:bookmarkStart w:id="71" w:name="_Toc14710_WPSOffice_Level2"/>
      <w:bookmarkStart w:id="72" w:name="_Toc16976_WPSOffice_Level2"/>
    </w:p>
    <w:p>
      <w:pPr>
        <w:spacing w:line="360" w:lineRule="auto"/>
        <w:ind w:firstLine="422" w:firstLineChars="200"/>
        <w:jc w:val="center"/>
        <w:rPr>
          <w:rFonts w:hint="default" w:ascii="Times New Roman" w:hAnsi="Times New Roman" w:cs="Times New Roman"/>
          <w:b/>
          <w:bCs/>
          <w:color w:val="auto"/>
          <w:szCs w:val="21"/>
          <w:lang w:val="zh-CN"/>
        </w:rPr>
      </w:pPr>
      <w:bookmarkStart w:id="73" w:name="_Toc19147_WPSOffice_Level2"/>
      <w:r>
        <w:rPr>
          <w:rFonts w:hint="default" w:ascii="Times New Roman" w:hAnsi="Times New Roman" w:cs="Times New Roman"/>
          <w:b/>
          <w:bCs/>
          <w:color w:val="auto"/>
          <w:szCs w:val="21"/>
          <w:lang w:val="zh-CN"/>
        </w:rPr>
        <w:t>表4.3-2 环境保护设施“三同时”落实情况表</w:t>
      </w:r>
      <w:bookmarkEnd w:id="71"/>
      <w:bookmarkEnd w:id="72"/>
      <w:bookmarkEnd w:id="73"/>
    </w:p>
    <w:tbl>
      <w:tblPr>
        <w:tblStyle w:val="33"/>
        <w:tblpPr w:leftFromText="180" w:rightFromText="180" w:vertAnchor="text" w:tblpXSpec="center" w:tblpY="1"/>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833"/>
        <w:gridCol w:w="975"/>
        <w:gridCol w:w="5630"/>
        <w:gridCol w:w="5341"/>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29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34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排污口/位置</w:t>
            </w:r>
          </w:p>
        </w:tc>
        <w:tc>
          <w:tcPr>
            <w:tcW w:w="198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环保措施</w:t>
            </w:r>
          </w:p>
        </w:tc>
        <w:tc>
          <w:tcPr>
            <w:tcW w:w="1884"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实际建设内容</w:t>
            </w:r>
          </w:p>
        </w:tc>
        <w:tc>
          <w:tcPr>
            <w:tcW w:w="308"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9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污水处理厂</w:t>
            </w:r>
          </w:p>
        </w:tc>
        <w:tc>
          <w:tcPr>
            <w:tcW w:w="34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排污口</w:t>
            </w:r>
          </w:p>
        </w:tc>
        <w:tc>
          <w:tcPr>
            <w:tcW w:w="198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设计总处理能力达7500m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/d，工程采用</w:t>
            </w:r>
            <w:r>
              <w:rPr>
                <w:rFonts w:hint="default" w:ascii="Times New Roman" w:hAnsi="Times New Roman" w:eastAsia="宋体" w:cs="Times New Roman"/>
                <w:bCs/>
                <w:color w:val="auto"/>
                <w:sz w:val="21"/>
                <w:szCs w:val="21"/>
              </w:rPr>
              <w:t>“粗格栅—调节池—细格栅—混凝沉淀池—气浮—水解酸化池—</w:t>
            </w:r>
            <w:r>
              <w:rPr>
                <w:rFonts w:hint="default" w:ascii="Times New Roman" w:hAnsi="Times New Roman" w:eastAsia="宋体" w:cs="Times New Roman"/>
                <w:color w:val="auto"/>
                <w:sz w:val="21"/>
                <w:szCs w:val="21"/>
              </w:rPr>
              <w:t>厌氧+</w:t>
            </w:r>
            <w:r>
              <w:rPr>
                <w:rFonts w:hint="default" w:ascii="Times New Roman" w:hAnsi="Times New Roman" w:eastAsia="宋体" w:cs="Times New Roman"/>
                <w:bCs/>
                <w:color w:val="auto"/>
                <w:sz w:val="21"/>
                <w:szCs w:val="21"/>
              </w:rPr>
              <w:t>二级AO反应池—二沉池—深度絮凝沉淀过滤设备—消毒”的组合处理</w:t>
            </w:r>
            <w:r>
              <w:rPr>
                <w:rFonts w:hint="default" w:ascii="Times New Roman" w:hAnsi="Times New Roman" w:eastAsia="宋体" w:cs="Times New Roman"/>
                <w:color w:val="auto"/>
                <w:sz w:val="21"/>
                <w:szCs w:val="21"/>
              </w:rPr>
              <w:t>工艺</w:t>
            </w:r>
          </w:p>
        </w:tc>
        <w:tc>
          <w:tcPr>
            <w:tcW w:w="1884"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设计总处理能力达7500m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/d，工程采用</w:t>
            </w:r>
            <w:r>
              <w:rPr>
                <w:rFonts w:hint="default" w:ascii="Times New Roman" w:hAnsi="Times New Roman" w:eastAsia="宋体" w:cs="Times New Roman"/>
                <w:bCs/>
                <w:color w:val="auto"/>
                <w:sz w:val="21"/>
                <w:szCs w:val="21"/>
              </w:rPr>
              <w:t>“粗格栅—调节池—细格栅—混凝沉淀池—气浮—水解酸化池—</w:t>
            </w:r>
            <w:r>
              <w:rPr>
                <w:rFonts w:hint="default" w:ascii="Times New Roman" w:hAnsi="Times New Roman" w:eastAsia="宋体" w:cs="Times New Roman"/>
                <w:color w:val="auto"/>
                <w:sz w:val="21"/>
                <w:szCs w:val="21"/>
              </w:rPr>
              <w:t>厌氧+</w:t>
            </w:r>
            <w:r>
              <w:rPr>
                <w:rFonts w:hint="default" w:ascii="Times New Roman" w:hAnsi="Times New Roman" w:eastAsia="宋体" w:cs="Times New Roman"/>
                <w:bCs/>
                <w:color w:val="auto"/>
                <w:sz w:val="21"/>
                <w:szCs w:val="21"/>
              </w:rPr>
              <w:t>二级AO反应池—二沉池—深度絮凝沉淀过滤设备—消毒”的组合处理</w:t>
            </w:r>
            <w:r>
              <w:rPr>
                <w:rFonts w:hint="default" w:ascii="Times New Roman" w:hAnsi="Times New Roman" w:eastAsia="宋体" w:cs="Times New Roman"/>
                <w:color w:val="auto"/>
                <w:sz w:val="21"/>
                <w:szCs w:val="21"/>
              </w:rPr>
              <w:t>工艺</w:t>
            </w:r>
          </w:p>
        </w:tc>
        <w:tc>
          <w:tcPr>
            <w:tcW w:w="308"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294"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污水处理厂臭气产生源</w:t>
            </w:r>
          </w:p>
        </w:tc>
        <w:tc>
          <w:tcPr>
            <w:tcW w:w="34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1#排气筒</w:t>
            </w:r>
          </w:p>
        </w:tc>
        <w:tc>
          <w:tcPr>
            <w:tcW w:w="198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现有预处理区（粗格栅调节提升泵池、细格栅曝气沉砂池和水解酸化池）全部加盖密封，产生的臭气收集经生物滤池除臭后通过15m的1#排气排放，处理风量10000m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884"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现有预处理区（粗格栅调节提升泵池、细格栅曝气沉砂池和水解酸化池）全部加盖密封，产生的臭气收集经生物滤池除臭后通过15m的1#排气排放，处理风量10000m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08" w:type="pct"/>
            <w:vAlign w:val="center"/>
          </w:tcPr>
          <w:p>
            <w:pP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 w:type="pct"/>
            <w:vMerge w:val="continue"/>
            <w:vAlign w:val="center"/>
          </w:tcPr>
          <w:p>
            <w:pPr>
              <w:jc w:val="center"/>
              <w:rPr>
                <w:rFonts w:hint="default" w:ascii="Times New Roman" w:hAnsi="Times New Roman" w:eastAsia="宋体" w:cs="Times New Roman"/>
                <w:color w:val="auto"/>
                <w:sz w:val="21"/>
                <w:szCs w:val="21"/>
              </w:rPr>
            </w:pPr>
          </w:p>
        </w:tc>
        <w:tc>
          <w:tcPr>
            <w:tcW w:w="294" w:type="pct"/>
            <w:vMerge w:val="continue"/>
            <w:vAlign w:val="center"/>
          </w:tcPr>
          <w:p>
            <w:pPr>
              <w:jc w:val="center"/>
              <w:rPr>
                <w:rFonts w:hint="default" w:ascii="Times New Roman" w:hAnsi="Times New Roman" w:eastAsia="宋体" w:cs="Times New Roman"/>
                <w:color w:val="auto"/>
                <w:sz w:val="21"/>
                <w:szCs w:val="21"/>
              </w:rPr>
            </w:pPr>
          </w:p>
        </w:tc>
        <w:tc>
          <w:tcPr>
            <w:tcW w:w="34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2#排气筒</w:t>
            </w:r>
          </w:p>
        </w:tc>
        <w:tc>
          <w:tcPr>
            <w:tcW w:w="198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新增预处理区（浮渣收集池、混凝沉淀池、气浮一体化设备和新增水解酸化池）和事故池全部加盖密封，产生的臭气收集经“碱液洗涤+UV光催化氧化活性炭”除臭后通过15m的2#排气排放，处理风量15000m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884"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新增预处理区（浮渣收集池、混凝沉淀池、气浮一体化设备和新增水解酸化池）和事故池全部加盖密封，产生的臭气收集经“碱液洗涤+UV光催化氧化活性炭”除臭后通过15m的2#排气排放，处理风量</w:t>
            </w:r>
            <w:r>
              <w:rPr>
                <w:rFonts w:hint="default" w:ascii="Times New Roman" w:hAnsi="Times New Roman" w:eastAsia="宋体" w:cs="Times New Roman"/>
                <w:color w:val="auto"/>
                <w:sz w:val="21"/>
                <w:szCs w:val="21"/>
                <w:lang w:val="en-US" w:eastAsia="zh-CN"/>
              </w:rPr>
              <w:t>29000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08" w:type="pct"/>
            <w:vAlign w:val="center"/>
          </w:tcPr>
          <w:p>
            <w:pP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固体废物</w:t>
            </w:r>
          </w:p>
        </w:tc>
        <w:tc>
          <w:tcPr>
            <w:tcW w:w="638" w:type="pct"/>
            <w:gridSpan w:val="2"/>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废气处理设施</w:t>
            </w:r>
          </w:p>
        </w:tc>
        <w:tc>
          <w:tcPr>
            <w:tcW w:w="1986" w:type="pct"/>
            <w:vAlign w:val="center"/>
          </w:tcPr>
          <w:p>
            <w:pPr>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收集后交由具有危废处理资质单位处置，危险暂存点要做到“四防”（防风、防雨、防晒、防渗漏）</w:t>
            </w:r>
          </w:p>
        </w:tc>
        <w:tc>
          <w:tcPr>
            <w:tcW w:w="1884" w:type="pct"/>
            <w:vAlign w:val="center"/>
          </w:tcPr>
          <w:p>
            <w:pPr>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收集后交由具有危废处理资质单位处置，危险暂存点要做到“四防”（防风、防雨、防晒、防渗漏）</w:t>
            </w:r>
          </w:p>
        </w:tc>
        <w:tc>
          <w:tcPr>
            <w:tcW w:w="308" w:type="pct"/>
            <w:vAlign w:val="center"/>
          </w:tcPr>
          <w:p>
            <w:pP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w:t>
            </w:r>
          </w:p>
        </w:tc>
        <w:tc>
          <w:tcPr>
            <w:tcW w:w="294"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w:t>
            </w:r>
          </w:p>
        </w:tc>
        <w:tc>
          <w:tcPr>
            <w:tcW w:w="344"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p>
        </w:tc>
        <w:tc>
          <w:tcPr>
            <w:tcW w:w="1986"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对主要噪声设备采取隔声、减振等措施</w:t>
            </w:r>
          </w:p>
        </w:tc>
        <w:tc>
          <w:tcPr>
            <w:tcW w:w="1884"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对主要噪声设备采取隔声、减振等措施</w:t>
            </w:r>
          </w:p>
        </w:tc>
        <w:tc>
          <w:tcPr>
            <w:tcW w:w="308" w:type="pct"/>
            <w:vAlign w:val="center"/>
          </w:tcPr>
          <w:p>
            <w:pP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环境风险</w:t>
            </w:r>
          </w:p>
        </w:tc>
        <w:tc>
          <w:tcPr>
            <w:tcW w:w="294"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44"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986" w:type="pct"/>
            <w:vAlign w:val="center"/>
          </w:tcPr>
          <w:p>
            <w:pPr>
              <w:adjustRightInd w:val="0"/>
              <w:snapToGrid w:val="0"/>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硫酸设置有效容积为1.8</w:t>
            </w:r>
            <w:r>
              <w:rPr>
                <w:rFonts w:hint="default" w:ascii="Times New Roman" w:hAnsi="Times New Roman" w:eastAsia="宋体" w:cs="Times New Roman"/>
                <w:color w:val="auto"/>
                <w:sz w:val="21"/>
                <w:szCs w:val="21"/>
              </w:rPr>
              <w:t xml:space="preserve">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w:t>
            </w:r>
            <w:r>
              <w:rPr>
                <w:rFonts w:hint="default" w:ascii="Times New Roman" w:hAnsi="Times New Roman" w:eastAsia="宋体" w:cs="Times New Roman"/>
                <w:color w:val="auto"/>
                <w:spacing w:val="-6"/>
                <w:sz w:val="21"/>
                <w:szCs w:val="21"/>
              </w:rPr>
              <w:t>围堰；</w:t>
            </w:r>
            <w:r>
              <w:rPr>
                <w:rFonts w:hint="default" w:ascii="Times New Roman" w:hAnsi="Times New Roman" w:eastAsia="宋体" w:cs="Times New Roman"/>
                <w:color w:val="auto"/>
                <w:sz w:val="21"/>
                <w:szCs w:val="21"/>
              </w:rPr>
              <w:t>片碱堆放区设置托盘；</w:t>
            </w:r>
            <w:r>
              <w:rPr>
                <w:rFonts w:hint="default" w:ascii="Times New Roman" w:hAnsi="Times New Roman" w:eastAsia="宋体" w:cs="Times New Roman"/>
                <w:color w:val="auto"/>
                <w:spacing w:val="-6"/>
                <w:sz w:val="21"/>
                <w:szCs w:val="21"/>
              </w:rPr>
              <w:t>设置</w:t>
            </w:r>
            <w:r>
              <w:rPr>
                <w:rFonts w:hint="default" w:ascii="Times New Roman" w:hAnsi="Times New Roman" w:eastAsia="宋体" w:cs="Times New Roman"/>
                <w:color w:val="auto"/>
                <w:sz w:val="21"/>
                <w:szCs w:val="21"/>
              </w:rPr>
              <w:t>事故池（3840m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6"/>
                <w:sz w:val="21"/>
                <w:szCs w:val="21"/>
              </w:rPr>
              <w:t>收集事故时污水；定期进行设备和管道巡查、检修；设联动机制。</w:t>
            </w:r>
          </w:p>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进水水质（COD、TP、TN）自动监测装置及配套事故池提升装置等</w:t>
            </w:r>
          </w:p>
        </w:tc>
        <w:tc>
          <w:tcPr>
            <w:tcW w:w="1884" w:type="pct"/>
            <w:vAlign w:val="center"/>
          </w:tcPr>
          <w:p>
            <w:pPr>
              <w:adjustRightInd w:val="0"/>
              <w:snapToGrid w:val="0"/>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硫酸设置有效容积为1.8</w:t>
            </w:r>
            <w:r>
              <w:rPr>
                <w:rFonts w:hint="default" w:ascii="Times New Roman" w:hAnsi="Times New Roman" w:eastAsia="宋体" w:cs="Times New Roman"/>
                <w:color w:val="auto"/>
                <w:sz w:val="21"/>
                <w:szCs w:val="21"/>
              </w:rPr>
              <w:t xml:space="preserve">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w:t>
            </w:r>
            <w:r>
              <w:rPr>
                <w:rFonts w:hint="default" w:ascii="Times New Roman" w:hAnsi="Times New Roman" w:eastAsia="宋体" w:cs="Times New Roman"/>
                <w:color w:val="auto"/>
                <w:spacing w:val="-6"/>
                <w:sz w:val="21"/>
                <w:szCs w:val="21"/>
              </w:rPr>
              <w:t>围堰；</w:t>
            </w:r>
            <w:r>
              <w:rPr>
                <w:rFonts w:hint="default" w:ascii="Times New Roman" w:hAnsi="Times New Roman" w:eastAsia="宋体" w:cs="Times New Roman"/>
                <w:color w:val="auto"/>
                <w:sz w:val="21"/>
                <w:szCs w:val="21"/>
              </w:rPr>
              <w:t>片碱堆放区设置托盘；</w:t>
            </w:r>
            <w:r>
              <w:rPr>
                <w:rFonts w:hint="default" w:ascii="Times New Roman" w:hAnsi="Times New Roman" w:eastAsia="宋体" w:cs="Times New Roman"/>
                <w:color w:val="auto"/>
                <w:spacing w:val="-6"/>
                <w:sz w:val="21"/>
                <w:szCs w:val="21"/>
              </w:rPr>
              <w:t>设置</w:t>
            </w:r>
            <w:r>
              <w:rPr>
                <w:rFonts w:hint="default" w:ascii="Times New Roman" w:hAnsi="Times New Roman" w:eastAsia="宋体" w:cs="Times New Roman"/>
                <w:color w:val="auto"/>
                <w:sz w:val="21"/>
                <w:szCs w:val="21"/>
              </w:rPr>
              <w:t>事故池（3840m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6"/>
                <w:sz w:val="21"/>
                <w:szCs w:val="21"/>
              </w:rPr>
              <w:t>收集事故时污水；定期进行设备和管道巡查、检修；设联动机制。</w:t>
            </w:r>
          </w:p>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进水水质（COD、TP、TN）自动监测装置及配套事故池提升装置等</w:t>
            </w:r>
          </w:p>
        </w:tc>
        <w:tc>
          <w:tcPr>
            <w:tcW w:w="308" w:type="pct"/>
            <w:vAlign w:val="center"/>
          </w:tcPr>
          <w:p>
            <w:pP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1"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地下水</w:t>
            </w:r>
          </w:p>
        </w:tc>
        <w:tc>
          <w:tcPr>
            <w:tcW w:w="294"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重点防渗区</w:t>
            </w:r>
          </w:p>
        </w:tc>
        <w:tc>
          <w:tcPr>
            <w:tcW w:w="344" w:type="pct"/>
            <w:vAlign w:val="center"/>
          </w:tcPr>
          <w:p>
            <w:pPr>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水处理设备</w:t>
            </w:r>
          </w:p>
        </w:tc>
        <w:tc>
          <w:tcPr>
            <w:tcW w:w="1986" w:type="pct"/>
            <w:vAlign w:val="center"/>
          </w:tcPr>
          <w:p>
            <w:pPr>
              <w:pStyle w:val="128"/>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重点防渗区：新增水处理构筑物、加药间及厂区污水管网。等效黏土防渗层Mb≥6.0m，K≤1×10-7cm/s或参照GB18598执行。</w:t>
            </w:r>
          </w:p>
        </w:tc>
        <w:tc>
          <w:tcPr>
            <w:tcW w:w="1884" w:type="pct"/>
            <w:vAlign w:val="center"/>
          </w:tcPr>
          <w:p>
            <w:pPr>
              <w:pStyle w:val="128"/>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重点防渗区：新增水处理构筑物、加药间及厂区污水管网。等效黏土防渗层Mb≥6.0m，K≤1×10-7cm/s或参照GB18598执行。</w:t>
            </w:r>
          </w:p>
        </w:tc>
        <w:tc>
          <w:tcPr>
            <w:tcW w:w="308" w:type="pct"/>
            <w:vAlign w:val="center"/>
          </w:tcPr>
          <w:p>
            <w:pPr>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已落实</w:t>
            </w:r>
          </w:p>
        </w:tc>
      </w:tr>
    </w:tbl>
    <w:p>
      <w:pPr>
        <w:pStyle w:val="2"/>
        <w:rPr>
          <w:rFonts w:hint="default" w:ascii="Times New Roman" w:hAnsi="Times New Roman" w:cs="Times New Roman"/>
          <w:color w:val="auto"/>
          <w:lang w:val="zh-CN"/>
        </w:rPr>
        <w:sectPr>
          <w:pgSz w:w="16840" w:h="11907" w:orient="landscape"/>
          <w:pgMar w:top="1531" w:right="1440" w:bottom="1531" w:left="1440" w:header="850" w:footer="851" w:gutter="0"/>
          <w:pgBorders>
            <w:top w:val="none" w:sz="0" w:space="0"/>
            <w:left w:val="none" w:sz="0" w:space="0"/>
            <w:bottom w:val="none" w:sz="0" w:space="0"/>
            <w:right w:val="none" w:sz="0" w:space="0"/>
          </w:pgBorders>
          <w:pgNumType w:fmt="decimal"/>
          <w:cols w:space="720" w:num="1"/>
          <w:rtlGutter w:val="0"/>
          <w:docGrid w:linePitch="299" w:charSpace="0"/>
        </w:sectPr>
      </w:pPr>
    </w:p>
    <w:bookmarkEnd w:id="63"/>
    <w:p>
      <w:pPr>
        <w:pStyle w:val="3"/>
        <w:bidi w:val="0"/>
        <w:jc w:val="center"/>
        <w:rPr>
          <w:rFonts w:hint="default" w:ascii="Times New Roman" w:hAnsi="Times New Roman" w:eastAsia="宋体" w:cs="Times New Roman"/>
          <w:color w:val="auto"/>
          <w:lang w:val="en-US" w:eastAsia="zh-CN"/>
        </w:rPr>
      </w:pPr>
      <w:bookmarkStart w:id="74" w:name="_Toc12905"/>
      <w:bookmarkStart w:id="75" w:name="_Toc9370"/>
      <w:r>
        <w:rPr>
          <w:rFonts w:hint="default" w:ascii="Times New Roman" w:hAnsi="Times New Roman" w:cs="Times New Roman"/>
          <w:color w:val="auto"/>
        </w:rPr>
        <w:t>5</w:t>
      </w:r>
      <w:bookmarkEnd w:id="74"/>
      <w:r>
        <w:rPr>
          <w:rFonts w:hint="default" w:ascii="Times New Roman" w:hAnsi="Times New Roman" w:cs="Times New Roman"/>
          <w:b/>
          <w:color w:val="auto"/>
          <w:sz w:val="30"/>
          <w:szCs w:val="30"/>
        </w:rPr>
        <w:t>建设项目环评报告</w:t>
      </w:r>
      <w:r>
        <w:rPr>
          <w:rFonts w:hint="eastAsia" w:ascii="Times New Roman" w:hAnsi="Times New Roman" w:cs="Times New Roman"/>
          <w:b/>
          <w:color w:val="auto"/>
          <w:sz w:val="30"/>
          <w:szCs w:val="30"/>
          <w:lang w:val="en-US" w:eastAsia="zh-CN"/>
        </w:rPr>
        <w:t>表</w:t>
      </w:r>
      <w:r>
        <w:rPr>
          <w:rFonts w:hint="default" w:ascii="Times New Roman" w:hAnsi="Times New Roman" w:cs="Times New Roman"/>
          <w:b/>
          <w:color w:val="auto"/>
          <w:sz w:val="30"/>
          <w:szCs w:val="30"/>
        </w:rPr>
        <w:t>的主要结论</w:t>
      </w:r>
      <w:bookmarkEnd w:id="75"/>
    </w:p>
    <w:p>
      <w:pPr>
        <w:pStyle w:val="4"/>
        <w:bidi w:val="0"/>
        <w:rPr>
          <w:rFonts w:hint="default" w:ascii="Times New Roman" w:hAnsi="Times New Roman" w:cs="Times New Roman"/>
          <w:color w:val="auto"/>
          <w:lang w:val="en-US" w:eastAsia="zh-CN"/>
        </w:rPr>
      </w:pPr>
      <w:bookmarkStart w:id="76" w:name="_Toc21491_WPSOffice_Level1"/>
      <w:bookmarkStart w:id="77" w:name="_Toc2583_WPSOffice_Level1"/>
      <w:bookmarkStart w:id="78" w:name="_Toc5767"/>
      <w:bookmarkStart w:id="79" w:name="_Toc12697"/>
      <w:r>
        <w:rPr>
          <w:rFonts w:hint="default" w:ascii="Times New Roman" w:hAnsi="Times New Roman" w:cs="Times New Roman"/>
          <w:color w:val="auto"/>
          <w:lang w:val="en-US" w:eastAsia="zh-CN"/>
        </w:rPr>
        <w:t>5.1建设项目环评报告</w:t>
      </w:r>
      <w:r>
        <w:rPr>
          <w:rFonts w:hint="eastAsia" w:ascii="Times New Roman" w:hAnsi="Times New Roman" w:cs="Times New Roman"/>
          <w:color w:val="auto"/>
          <w:lang w:val="en-US" w:eastAsia="zh-CN"/>
        </w:rPr>
        <w:t>表</w:t>
      </w:r>
      <w:r>
        <w:rPr>
          <w:rFonts w:hint="default" w:ascii="Times New Roman" w:hAnsi="Times New Roman" w:cs="Times New Roman"/>
          <w:color w:val="auto"/>
          <w:lang w:val="en-US" w:eastAsia="zh-CN"/>
        </w:rPr>
        <w:t>的主要结论及建议</w:t>
      </w:r>
      <w:bookmarkEnd w:id="76"/>
      <w:bookmarkEnd w:id="77"/>
      <w:r>
        <w:rPr>
          <w:rFonts w:hint="eastAsia" w:cs="Times New Roman"/>
          <w:color w:val="auto"/>
          <w:lang w:val="en-US" w:eastAsia="zh-CN"/>
        </w:rPr>
        <w:t>（摘录）</w:t>
      </w:r>
      <w:bookmarkEnd w:id="78"/>
    </w:p>
    <w:p>
      <w:pPr>
        <w:pStyle w:val="153"/>
        <w:rPr>
          <w:rFonts w:hint="default" w:ascii="Times New Roman" w:hAnsi="Times New Roman" w:eastAsia="宋体" w:cs="Times New Roman"/>
          <w:b/>
          <w:bCs w:val="0"/>
          <w:color w:val="auto"/>
          <w:kern w:val="2"/>
          <w:sz w:val="28"/>
          <w:lang w:val="en-US" w:eastAsia="zh-CN" w:bidi="ar-SA"/>
        </w:rPr>
      </w:pPr>
      <w:bookmarkStart w:id="80" w:name="_Toc15063"/>
      <w:r>
        <w:rPr>
          <w:rFonts w:hint="default" w:ascii="Times New Roman" w:hAnsi="Times New Roman" w:cs="Times New Roman"/>
          <w:b/>
          <w:bCs w:val="0"/>
          <w:color w:val="auto"/>
          <w:kern w:val="2"/>
          <w:sz w:val="28"/>
          <w:lang w:val="en-US" w:eastAsia="zh-CN" w:bidi="ar-SA"/>
        </w:rPr>
        <w:t>5.1.1</w:t>
      </w:r>
      <w:r>
        <w:rPr>
          <w:rFonts w:hint="default" w:ascii="Times New Roman" w:hAnsi="Times New Roman" w:eastAsia="宋体" w:cs="Times New Roman"/>
          <w:b/>
          <w:bCs w:val="0"/>
          <w:color w:val="auto"/>
          <w:kern w:val="2"/>
          <w:sz w:val="28"/>
          <w:lang w:val="en-US" w:eastAsia="zh-CN" w:bidi="ar-SA"/>
        </w:rPr>
        <w:t>结论</w:t>
      </w:r>
      <w:r>
        <w:rPr>
          <w:rFonts w:hint="default" w:ascii="Times New Roman" w:hAnsi="Times New Roman" w:cs="Times New Roman"/>
          <w:b/>
          <w:bCs w:val="0"/>
          <w:color w:val="auto"/>
          <w:kern w:val="2"/>
          <w:sz w:val="28"/>
          <w:lang w:val="en-US" w:eastAsia="zh-CN" w:bidi="ar-SA"/>
        </w:rPr>
        <w:t>及建议</w:t>
      </w:r>
      <w:bookmarkEnd w:id="80"/>
    </w:p>
    <w:p>
      <w:pPr>
        <w:pStyle w:val="154"/>
        <w:rPr>
          <w:rFonts w:hint="default" w:ascii="Times New Roman" w:hAnsi="Times New Roman" w:eastAsia="宋体" w:cs="Times New Roman"/>
          <w:b/>
          <w:bCs w:val="0"/>
          <w:color w:val="auto"/>
          <w:kern w:val="2"/>
          <w:sz w:val="28"/>
          <w:lang w:val="en-US" w:eastAsia="zh-CN" w:bidi="ar-SA"/>
        </w:rPr>
      </w:pPr>
      <w:r>
        <w:rPr>
          <w:rFonts w:hint="default" w:ascii="Times New Roman" w:hAnsi="Times New Roman" w:cs="Times New Roman"/>
          <w:b/>
          <w:bCs w:val="0"/>
          <w:color w:val="auto"/>
          <w:kern w:val="2"/>
          <w:sz w:val="28"/>
          <w:lang w:val="en-US" w:eastAsia="zh-CN" w:bidi="ar-SA"/>
        </w:rPr>
        <w:t>5.1.1.1</w:t>
      </w:r>
      <w:r>
        <w:rPr>
          <w:rFonts w:hint="default" w:ascii="Times New Roman" w:hAnsi="Times New Roman" w:eastAsia="宋体" w:cs="Times New Roman"/>
          <w:b/>
          <w:bCs w:val="0"/>
          <w:color w:val="auto"/>
          <w:kern w:val="2"/>
          <w:sz w:val="28"/>
          <w:lang w:val="en-US" w:eastAsia="zh-CN" w:bidi="ar-SA"/>
        </w:rPr>
        <w:t>项目概况</w:t>
      </w:r>
    </w:p>
    <w:p>
      <w:pPr>
        <w:pStyle w:val="148"/>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重庆宏烨实业集团有限公司投资2830.38万元，在现有厂区东侧新增占地3200m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，建设“荣昌荣隆工业园污水处理厂提标及工艺技改工程”（以下简称“本项目”）。本项目提标改造规模为现建成运营规模0.75万m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/d，拟新增和改造部分污水处理池，将现有主体工艺A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/O工艺（具体为</w:t>
      </w:r>
      <w:r>
        <w:rPr>
          <w:rFonts w:hint="default" w:ascii="Times New Roman" w:hAnsi="Times New Roman" w:cs="Times New Roman"/>
          <w:bCs w:val="0"/>
          <w:color w:val="auto"/>
          <w:sz w:val="24"/>
          <w:szCs w:val="24"/>
        </w:rPr>
        <w:t>“粗格栅—调节池—细格栅—气浮—水解酸化池—A</w:t>
      </w:r>
      <w:r>
        <w:rPr>
          <w:rFonts w:hint="default" w:ascii="Times New Roman" w:hAnsi="Times New Roman" w:cs="Times New Roman"/>
          <w:bCs w:val="0"/>
          <w:color w:val="auto"/>
          <w:sz w:val="24"/>
          <w:szCs w:val="24"/>
          <w:vertAlign w:val="superscript"/>
        </w:rPr>
        <w:t>2</w:t>
      </w:r>
      <w:r>
        <w:rPr>
          <w:rFonts w:hint="default" w:ascii="Times New Roman" w:hAnsi="Times New Roman" w:cs="Times New Roman"/>
          <w:bCs w:val="0"/>
          <w:color w:val="auto"/>
          <w:sz w:val="24"/>
          <w:szCs w:val="24"/>
        </w:rPr>
        <w:t>O生物池—二沉池—消毒”</w:t>
      </w:r>
      <w:r>
        <w:rPr>
          <w:rFonts w:hint="default" w:ascii="Times New Roman" w:hAnsi="Times New Roman" w:cs="Times New Roman"/>
          <w:color w:val="auto"/>
          <w:sz w:val="24"/>
          <w:szCs w:val="24"/>
        </w:rPr>
        <w:t>）改为</w:t>
      </w:r>
      <w:r>
        <w:rPr>
          <w:rFonts w:hint="default" w:ascii="Times New Roman" w:hAnsi="Times New Roman" w:cs="Times New Roman"/>
          <w:bCs w:val="0"/>
          <w:color w:val="auto"/>
          <w:sz w:val="24"/>
          <w:szCs w:val="24"/>
        </w:rPr>
        <w:t>“粗格栅—调节池—细格栅—</w:t>
      </w:r>
      <w:r>
        <w:rPr>
          <w:rFonts w:hint="default" w:ascii="Times New Roman" w:hAnsi="Times New Roman" w:cs="Times New Roman"/>
          <w:b/>
          <w:bCs w:val="0"/>
          <w:color w:val="auto"/>
          <w:sz w:val="24"/>
          <w:szCs w:val="24"/>
        </w:rPr>
        <w:t>混凝沉淀池</w:t>
      </w:r>
      <w:r>
        <w:rPr>
          <w:rFonts w:hint="default" w:ascii="Times New Roman" w:hAnsi="Times New Roman" w:cs="Times New Roman"/>
          <w:bCs w:val="0"/>
          <w:color w:val="auto"/>
          <w:sz w:val="24"/>
          <w:szCs w:val="24"/>
        </w:rPr>
        <w:t>—</w:t>
      </w:r>
      <w:r>
        <w:rPr>
          <w:rFonts w:hint="default" w:ascii="Times New Roman" w:hAnsi="Times New Roman" w:cs="Times New Roman"/>
          <w:b/>
          <w:bCs w:val="0"/>
          <w:color w:val="auto"/>
          <w:sz w:val="24"/>
          <w:szCs w:val="24"/>
        </w:rPr>
        <w:t>气浮</w:t>
      </w:r>
      <w:r>
        <w:rPr>
          <w:rFonts w:hint="default" w:ascii="Times New Roman" w:hAnsi="Times New Roman" w:cs="Times New Roman"/>
          <w:bCs w:val="0"/>
          <w:color w:val="auto"/>
          <w:sz w:val="24"/>
          <w:szCs w:val="24"/>
        </w:rPr>
        <w:t>—水解酸化池—</w:t>
      </w:r>
      <w:r>
        <w:rPr>
          <w:rFonts w:hint="default" w:ascii="Times New Roman" w:hAnsi="Times New Roman" w:cs="Times New Roman"/>
          <w:b/>
          <w:color w:val="auto"/>
          <w:sz w:val="24"/>
          <w:szCs w:val="24"/>
        </w:rPr>
        <w:t>厌氧+</w:t>
      </w:r>
      <w:r>
        <w:rPr>
          <w:rFonts w:hint="default" w:ascii="Times New Roman" w:hAnsi="Times New Roman" w:cs="Times New Roman"/>
          <w:b/>
          <w:bCs w:val="0"/>
          <w:color w:val="auto"/>
          <w:sz w:val="24"/>
          <w:szCs w:val="24"/>
        </w:rPr>
        <w:t>二级AO反应池</w:t>
      </w:r>
      <w:r>
        <w:rPr>
          <w:rFonts w:hint="default" w:ascii="Times New Roman" w:hAnsi="Times New Roman" w:cs="Times New Roman"/>
          <w:bCs w:val="0"/>
          <w:color w:val="auto"/>
          <w:sz w:val="24"/>
          <w:szCs w:val="24"/>
        </w:rPr>
        <w:t>—二沉池—</w:t>
      </w:r>
      <w:r>
        <w:rPr>
          <w:rFonts w:hint="default" w:ascii="Times New Roman" w:hAnsi="Times New Roman" w:cs="Times New Roman"/>
          <w:b/>
          <w:bCs w:val="0"/>
          <w:color w:val="auto"/>
          <w:sz w:val="24"/>
          <w:szCs w:val="24"/>
        </w:rPr>
        <w:t>深度絮凝沉淀过滤设备</w:t>
      </w:r>
      <w:r>
        <w:rPr>
          <w:rFonts w:hint="default" w:ascii="Times New Roman" w:hAnsi="Times New Roman" w:cs="Times New Roman"/>
          <w:bCs w:val="0"/>
          <w:color w:val="auto"/>
          <w:sz w:val="24"/>
          <w:szCs w:val="24"/>
        </w:rPr>
        <w:t>—消毒”的组合处理</w:t>
      </w:r>
      <w:r>
        <w:rPr>
          <w:rFonts w:hint="default" w:ascii="Times New Roman" w:hAnsi="Times New Roman" w:cs="Times New Roman"/>
          <w:color w:val="auto"/>
          <w:sz w:val="24"/>
          <w:szCs w:val="24"/>
        </w:rPr>
        <w:t>工艺，出水水质执行《城镇污水处理厂污染物排放标准》（GB 18918-2002）一级A标准。</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本项目提标改造只针对污水处理厂厂内改造，不涉及厂外排水管网工程和泵站，并依托现有排污口进行排污。</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本次技改项目总投资2830.38万元，其中环保投资27万元，投资比例0.95%。</w:t>
      </w:r>
    </w:p>
    <w:p>
      <w:pPr>
        <w:pStyle w:val="153"/>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val="0"/>
          <w:color w:val="auto"/>
          <w:kern w:val="2"/>
          <w:sz w:val="28"/>
          <w:lang w:val="en-US" w:eastAsia="zh-CN" w:bidi="ar-SA"/>
        </w:rPr>
      </w:pPr>
      <w:bookmarkStart w:id="81" w:name="_Toc6228"/>
      <w:r>
        <w:rPr>
          <w:rFonts w:hint="default" w:ascii="Times New Roman" w:hAnsi="Times New Roman" w:cs="Times New Roman"/>
          <w:b/>
          <w:bCs w:val="0"/>
          <w:color w:val="auto"/>
          <w:kern w:val="2"/>
          <w:sz w:val="28"/>
          <w:lang w:val="en-US" w:eastAsia="zh-CN" w:bidi="ar-SA"/>
        </w:rPr>
        <w:t>5.1.1.2</w:t>
      </w:r>
      <w:r>
        <w:rPr>
          <w:rFonts w:hint="default" w:ascii="Times New Roman" w:hAnsi="Times New Roman" w:eastAsia="宋体" w:cs="Times New Roman"/>
          <w:b/>
          <w:bCs w:val="0"/>
          <w:color w:val="auto"/>
          <w:kern w:val="2"/>
          <w:sz w:val="28"/>
          <w:lang w:val="en-US" w:eastAsia="zh-CN" w:bidi="ar-SA"/>
        </w:rPr>
        <w:t>项目与相关政策、规划的符合性</w:t>
      </w:r>
      <w:bookmarkEnd w:id="81"/>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为污水处理厂项目，根据《产业结构调整指导目录》（2019年本）（2013修订），本项目属于鼓励类中的“四十三、环境保护与资源节约综合利用，15、“三废”综合利用及治理工程”，项目的建设符合国家的产业政策。</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根据重庆市荣昌区发展和改革委员会下发的重庆市企业投资项目备案证（项目编码：2019-500153-77-01-076742）和立项批复（荣发改审[2019]</w:t>
      </w:r>
      <w:r>
        <w:rPr>
          <w:rFonts w:hint="eastAsia" w:cs="Times New Roman"/>
          <w:color w:val="auto"/>
          <w:sz w:val="24"/>
          <w:szCs w:val="24"/>
          <w:lang w:val="en-US" w:eastAsia="zh-CN"/>
        </w:rPr>
        <w:t>139</w:t>
      </w:r>
      <w:r>
        <w:rPr>
          <w:rFonts w:hint="default" w:ascii="Times New Roman" w:hAnsi="Times New Roman" w:cs="Times New Roman"/>
          <w:color w:val="auto"/>
          <w:sz w:val="24"/>
          <w:szCs w:val="24"/>
        </w:rPr>
        <w:t>号），表明该项目符合本地区产业政策和准入标准。</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本项目符合《重庆市产业投资准入工作手册》、“三线一单”等。</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本项目新增占地位于工业园区内，目前建设单位现在办理用地手续。</w:t>
      </w:r>
    </w:p>
    <w:p>
      <w:pPr>
        <w:pStyle w:val="153"/>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val="0"/>
          <w:color w:val="auto"/>
          <w:kern w:val="2"/>
          <w:sz w:val="28"/>
          <w:lang w:val="en-US" w:eastAsia="zh-CN" w:bidi="ar-SA"/>
        </w:rPr>
      </w:pPr>
      <w:bookmarkStart w:id="82" w:name="_Toc13958"/>
      <w:r>
        <w:rPr>
          <w:rFonts w:hint="default" w:ascii="Times New Roman" w:hAnsi="Times New Roman" w:cs="Times New Roman"/>
          <w:b/>
          <w:bCs w:val="0"/>
          <w:color w:val="auto"/>
          <w:kern w:val="2"/>
          <w:sz w:val="28"/>
          <w:lang w:val="en-US" w:eastAsia="zh-CN" w:bidi="ar-SA"/>
        </w:rPr>
        <w:t>5.1.1.3</w:t>
      </w:r>
      <w:r>
        <w:rPr>
          <w:rFonts w:hint="default" w:ascii="Times New Roman" w:hAnsi="Times New Roman" w:eastAsia="宋体" w:cs="Times New Roman"/>
          <w:b/>
          <w:bCs w:val="0"/>
          <w:color w:val="auto"/>
          <w:kern w:val="2"/>
          <w:sz w:val="28"/>
          <w:lang w:val="en-US" w:eastAsia="zh-CN" w:bidi="ar-SA"/>
        </w:rPr>
        <w:t>项目所处环境功能区、环境质量现状及存在的环境问题</w:t>
      </w:r>
      <w:bookmarkEnd w:id="82"/>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环境空气：项目位于不达标区，但项目所处区域NH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S满足《环境影响评价技术导则 大气环境》（HJ2.2-2018）附录D其他污染物空气质量浓度参考限值。</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地表水环境：濑溪河高洞电站断面pH、COD、BOD</w:t>
      </w:r>
      <w:r>
        <w:rPr>
          <w:rFonts w:hint="default" w:ascii="Times New Roman" w:hAnsi="Times New Roman" w:cs="Times New Roman"/>
          <w:bCs/>
          <w:color w:val="auto"/>
          <w:sz w:val="24"/>
          <w:szCs w:val="24"/>
          <w:vertAlign w:val="subscript"/>
        </w:rPr>
        <w:t>5</w:t>
      </w:r>
      <w:r>
        <w:rPr>
          <w:rFonts w:hint="default" w:ascii="Times New Roman" w:hAnsi="Times New Roman" w:cs="Times New Roman"/>
          <w:bCs/>
          <w:color w:val="auto"/>
          <w:sz w:val="24"/>
          <w:szCs w:val="24"/>
        </w:rPr>
        <w:t>、氨氮、总磷和石油类满足《地表水环境质量标准》（</w:t>
      </w:r>
      <w:r>
        <w:rPr>
          <w:rFonts w:hint="default" w:ascii="Times New Roman" w:hAnsi="Times New Roman" w:cs="Times New Roman"/>
          <w:color w:val="auto"/>
          <w:sz w:val="24"/>
          <w:szCs w:val="24"/>
        </w:rPr>
        <w:t>GB3838-2002）中Ⅲ类水域水质标准，COD监测值标准指数为1，总氮超标。荣昌区人民政府发布了《荣昌区2019年濑溪河流域污染防治攻坚行动实施方案》，该方案要求“巩固和深化污水处理厂（站）建设运维专项整治方面，完成城市污水处理厂、工业园污水处理厂（板桥、荣隆、广富）、镇街污水处理厂提标升级，完善配套设施，确保稳定达标运行”。本项目为荣隆工业园配套污水处理厂，为提标改造项目，满足《荣昌区2019年濑溪河流域污染防治攻坚行动实施方案》要求，且技改后，外排污染物进一步减少，将进一步改善区域地表水环境。</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声环境：监测点昼间、夜间噪声满足《声环境质量标准》（GB3096-2008）3类标准。</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地下水：本项目所在区域地下水监测因子除锰和总大肠菌群外均能满足《地下水质量标准》（GB/T14848-2017）中Ⅲ类标准限值要求。</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土壤：区域土壤大体无酸化或碱化，局部轻度酸化。GB36600中的基本因子+石油烃均满足《土壤环境质量 建设用地土壤污染风险管控标准（试行）》（GB36600—2018）中筛选值标准。</w:t>
      </w:r>
    </w:p>
    <w:p>
      <w:pPr>
        <w:pStyle w:val="153"/>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val="0"/>
          <w:color w:val="auto"/>
          <w:kern w:val="2"/>
          <w:sz w:val="28"/>
          <w:lang w:val="en-US" w:eastAsia="zh-CN" w:bidi="ar-SA"/>
        </w:rPr>
      </w:pPr>
      <w:bookmarkStart w:id="83" w:name="_Toc13858"/>
      <w:r>
        <w:rPr>
          <w:rFonts w:hint="default" w:ascii="Times New Roman" w:hAnsi="Times New Roman" w:cs="Times New Roman"/>
          <w:b/>
          <w:bCs w:val="0"/>
          <w:color w:val="auto"/>
          <w:kern w:val="2"/>
          <w:sz w:val="28"/>
          <w:lang w:val="en-US" w:eastAsia="zh-CN" w:bidi="ar-SA"/>
        </w:rPr>
        <w:t>5.1.1.4</w:t>
      </w:r>
      <w:r>
        <w:rPr>
          <w:rFonts w:hint="default" w:ascii="Times New Roman" w:hAnsi="Times New Roman" w:eastAsia="宋体" w:cs="Times New Roman"/>
          <w:b/>
          <w:bCs w:val="0"/>
          <w:color w:val="auto"/>
          <w:kern w:val="2"/>
          <w:sz w:val="28"/>
          <w:lang w:val="en-US" w:eastAsia="zh-CN" w:bidi="ar-SA"/>
        </w:rPr>
        <w:t>营运期环境保护措施及环境影响</w:t>
      </w:r>
      <w:bookmarkEnd w:id="83"/>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（1）大气环境保护措施及环境影响</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现有预处理区（粗格栅调节提升泵池、细格栅曝气沉砂池和水解酸化池）全部加盖密封，产生的臭气收集经生物滤池除臭后通过15m的1#排气排放，处理风量10000m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/h，未通过环保验收，纳入本次验收范围内。</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新增预处理区（浮渣收集池、混凝沉淀池、气浮一体化设备和新增水解酸化池）和事故池全部加盖密封，产生的臭气收集经“碱液洗涤+UV光催化氧化活性炭”除臭后通过15m的2#排气排放，处理风量15000m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建设单位应加强废气处理设施的营运维护管理，正常情况下，项目排放废气对周边环境的影响较小，环境可以接受。</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（2）地表水环境保护措施及环境影响</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本次技改后污水处理厂设计排放水量未变，将现有主体工艺A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/O工艺（具体为</w:t>
      </w:r>
      <w:r>
        <w:rPr>
          <w:rFonts w:hint="default" w:ascii="Times New Roman" w:hAnsi="Times New Roman" w:cs="Times New Roman"/>
          <w:bCs w:val="0"/>
          <w:color w:val="auto"/>
          <w:sz w:val="24"/>
          <w:szCs w:val="24"/>
        </w:rPr>
        <w:t>“粗格栅—调节池—细格栅—气浮—水解酸化池—A</w:t>
      </w:r>
      <w:r>
        <w:rPr>
          <w:rFonts w:hint="default" w:ascii="Times New Roman" w:hAnsi="Times New Roman" w:cs="Times New Roman"/>
          <w:bCs w:val="0"/>
          <w:color w:val="auto"/>
          <w:sz w:val="24"/>
          <w:szCs w:val="24"/>
          <w:vertAlign w:val="superscript"/>
        </w:rPr>
        <w:t>2</w:t>
      </w:r>
      <w:r>
        <w:rPr>
          <w:rFonts w:hint="default" w:ascii="Times New Roman" w:hAnsi="Times New Roman" w:cs="Times New Roman"/>
          <w:bCs w:val="0"/>
          <w:color w:val="auto"/>
          <w:sz w:val="24"/>
          <w:szCs w:val="24"/>
        </w:rPr>
        <w:t>O生物池—二沉池—消毒”</w:t>
      </w:r>
      <w:r>
        <w:rPr>
          <w:rFonts w:hint="default" w:ascii="Times New Roman" w:hAnsi="Times New Roman" w:cs="Times New Roman"/>
          <w:color w:val="auto"/>
          <w:sz w:val="24"/>
          <w:szCs w:val="24"/>
        </w:rPr>
        <w:t>）改为</w:t>
      </w:r>
      <w:r>
        <w:rPr>
          <w:rFonts w:hint="default" w:ascii="Times New Roman" w:hAnsi="Times New Roman" w:cs="Times New Roman"/>
          <w:bCs w:val="0"/>
          <w:color w:val="auto"/>
          <w:sz w:val="24"/>
          <w:szCs w:val="24"/>
        </w:rPr>
        <w:t>“粗格栅—调节池—细格栅—</w:t>
      </w:r>
      <w:r>
        <w:rPr>
          <w:rFonts w:hint="default" w:ascii="Times New Roman" w:hAnsi="Times New Roman" w:cs="Times New Roman"/>
          <w:b/>
          <w:bCs w:val="0"/>
          <w:color w:val="auto"/>
          <w:sz w:val="24"/>
          <w:szCs w:val="24"/>
        </w:rPr>
        <w:t>混凝沉淀池</w:t>
      </w:r>
      <w:r>
        <w:rPr>
          <w:rFonts w:hint="default" w:ascii="Times New Roman" w:hAnsi="Times New Roman" w:cs="Times New Roman"/>
          <w:bCs w:val="0"/>
          <w:color w:val="auto"/>
          <w:sz w:val="24"/>
          <w:szCs w:val="24"/>
        </w:rPr>
        <w:t>—</w:t>
      </w:r>
      <w:r>
        <w:rPr>
          <w:rFonts w:hint="default" w:ascii="Times New Roman" w:hAnsi="Times New Roman" w:cs="Times New Roman"/>
          <w:b/>
          <w:bCs w:val="0"/>
          <w:color w:val="auto"/>
          <w:sz w:val="24"/>
          <w:szCs w:val="24"/>
        </w:rPr>
        <w:t>气浮</w:t>
      </w:r>
      <w:r>
        <w:rPr>
          <w:rFonts w:hint="default" w:ascii="Times New Roman" w:hAnsi="Times New Roman" w:cs="Times New Roman"/>
          <w:bCs w:val="0"/>
          <w:color w:val="auto"/>
          <w:sz w:val="24"/>
          <w:szCs w:val="24"/>
        </w:rPr>
        <w:t>—水解酸化池—</w:t>
      </w:r>
      <w:r>
        <w:rPr>
          <w:rFonts w:hint="default" w:ascii="Times New Roman" w:hAnsi="Times New Roman" w:cs="Times New Roman"/>
          <w:b/>
          <w:color w:val="auto"/>
          <w:sz w:val="24"/>
          <w:szCs w:val="24"/>
        </w:rPr>
        <w:t>厌氧+</w:t>
      </w:r>
      <w:r>
        <w:rPr>
          <w:rFonts w:hint="default" w:ascii="Times New Roman" w:hAnsi="Times New Roman" w:cs="Times New Roman"/>
          <w:b/>
          <w:bCs w:val="0"/>
          <w:color w:val="auto"/>
          <w:sz w:val="24"/>
          <w:szCs w:val="24"/>
        </w:rPr>
        <w:t>二级AO反应池</w:t>
      </w:r>
      <w:r>
        <w:rPr>
          <w:rFonts w:hint="default" w:ascii="Times New Roman" w:hAnsi="Times New Roman" w:cs="Times New Roman"/>
          <w:bCs w:val="0"/>
          <w:color w:val="auto"/>
          <w:sz w:val="24"/>
          <w:szCs w:val="24"/>
        </w:rPr>
        <w:t>—二沉池—</w:t>
      </w:r>
      <w:r>
        <w:rPr>
          <w:rFonts w:hint="default" w:ascii="Times New Roman" w:hAnsi="Times New Roman" w:cs="Times New Roman"/>
          <w:b/>
          <w:bCs w:val="0"/>
          <w:color w:val="auto"/>
          <w:sz w:val="24"/>
          <w:szCs w:val="24"/>
        </w:rPr>
        <w:t>深度絮凝沉淀过滤设备</w:t>
      </w:r>
      <w:r>
        <w:rPr>
          <w:rFonts w:hint="default" w:ascii="Times New Roman" w:hAnsi="Times New Roman" w:cs="Times New Roman"/>
          <w:bCs w:val="0"/>
          <w:color w:val="auto"/>
          <w:sz w:val="24"/>
          <w:szCs w:val="24"/>
        </w:rPr>
        <w:t>—消毒”的组合处理</w:t>
      </w:r>
      <w:r>
        <w:rPr>
          <w:rFonts w:hint="default" w:ascii="Times New Roman" w:hAnsi="Times New Roman" w:cs="Times New Roman"/>
          <w:color w:val="auto"/>
          <w:sz w:val="24"/>
          <w:szCs w:val="24"/>
        </w:rPr>
        <w:t>工艺，排水标准由《城镇污水处理厂污染物排放标准》（GB18918-2002）一级B标准提高至《城镇污水处理厂污染物排放标准》（GB18918-2002）一级A标准。根据三本账核算总量章节分析，本次评价后满负荷时总排放口的各污染物总量在现有基础上减少，地表水环境质量将在现有基础上得到提升。</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本次技改后对地表水环境起到正效益，符合地表水环境质量改善目标。</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（3）声环境保护措施及环境影响</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技改新增噪声源主要为水泵、风机等，其噪声范围值为80~90dB（A）。经预测，叠加现状厂界实测排放噪声后，厂界噪声能满足《工业企业场界环境噪声排放标准》（GB12348-2008）3类标准。周边敏感点能满足《声环境质量标准》（GB3096-2008）2类标准</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采取基础减震或设置消音器等相关措施后，本项目对四周声环境影响较小。</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（4）固体废物处置措施及环境影响</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本项目营运期新增固废主要为污泥和废活性炭。</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新增污泥脱水后，依托已验收的固废处置措施，定期送往荣昌高新区一般工业固废处置场集中处置；新增废活性炭，属于危废，收集后交由具有危废处理资质单位处置。</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（5）地下水环境保护措施及环境影响</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本次技改主要为新增水处理构筑物、加药间及厂区污水管网。水处理构筑物池底及池壁、污水管网基础等满足等效黏土防渗层Mb≥6.0m，K1≤1×10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cm/s；或参照GB16889执行。</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结合环境水文地质条件、地下水环境影响、地下水环境污染防控措施、建设项目总平面布置的合理性等方面进行综合评价，项目对地下水环境的影响可接受。</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（6）土壤环境保护措施及环境影响</w:t>
      </w:r>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通过加强维护保障污水处理设施和防渗层防渗能力完好，可以做到避免土壤环境污染，土壤环境可接受。</w:t>
      </w:r>
    </w:p>
    <w:p>
      <w:pPr>
        <w:pStyle w:val="153"/>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val="0"/>
          <w:color w:val="auto"/>
          <w:kern w:val="2"/>
          <w:sz w:val="28"/>
          <w:lang w:val="en-US" w:eastAsia="zh-CN" w:bidi="ar-SA"/>
        </w:rPr>
      </w:pPr>
      <w:bookmarkStart w:id="84" w:name="_Toc28199"/>
      <w:r>
        <w:rPr>
          <w:rFonts w:hint="default" w:ascii="Times New Roman" w:hAnsi="Times New Roman" w:cs="Times New Roman"/>
          <w:b/>
          <w:bCs w:val="0"/>
          <w:color w:val="auto"/>
          <w:kern w:val="2"/>
          <w:sz w:val="28"/>
          <w:lang w:val="en-US" w:eastAsia="zh-CN" w:bidi="ar-SA"/>
        </w:rPr>
        <w:t>5.1.1.5</w:t>
      </w:r>
      <w:r>
        <w:rPr>
          <w:rFonts w:hint="default" w:ascii="Times New Roman" w:hAnsi="Times New Roman" w:eastAsia="宋体" w:cs="Times New Roman"/>
          <w:b/>
          <w:bCs w:val="0"/>
          <w:color w:val="auto"/>
          <w:kern w:val="2"/>
          <w:sz w:val="28"/>
          <w:lang w:val="en-US" w:eastAsia="zh-CN" w:bidi="ar-SA"/>
        </w:rPr>
        <w:t>环境风险评价结论</w:t>
      </w:r>
      <w:bookmarkEnd w:id="84"/>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本项目风险为危险化学品暂存和事故废水排放。</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硫酸设置有效容积为1.8 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的围堰；片碱堆放区设置托盘；设置事故池（3840m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）收集事故时污水；定期进行设备和管道巡查、检修；设联动机制。进水水质（COD、TP、TN）自动监测装置及配套事故池提升装置等。</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在采取上述环境风险管理及防范措施后，项目环境风险可防可控，环境风险影响是可接受的。</w:t>
      </w:r>
    </w:p>
    <w:p>
      <w:pPr>
        <w:pStyle w:val="153"/>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val="0"/>
          <w:color w:val="auto"/>
          <w:kern w:val="2"/>
          <w:sz w:val="28"/>
          <w:lang w:val="en-US" w:eastAsia="zh-CN" w:bidi="ar-SA"/>
        </w:rPr>
      </w:pPr>
      <w:bookmarkStart w:id="85" w:name="_Toc4415"/>
      <w:r>
        <w:rPr>
          <w:rFonts w:hint="default" w:ascii="Times New Roman" w:hAnsi="Times New Roman" w:cs="Times New Roman"/>
          <w:b/>
          <w:bCs w:val="0"/>
          <w:color w:val="auto"/>
          <w:kern w:val="2"/>
          <w:sz w:val="28"/>
          <w:lang w:val="en-US" w:eastAsia="zh-CN" w:bidi="ar-SA"/>
        </w:rPr>
        <w:t>5.1.1.6</w:t>
      </w:r>
      <w:r>
        <w:rPr>
          <w:rFonts w:hint="default" w:ascii="Times New Roman" w:hAnsi="Times New Roman" w:eastAsia="宋体" w:cs="Times New Roman"/>
          <w:b/>
          <w:bCs w:val="0"/>
          <w:color w:val="auto"/>
          <w:kern w:val="2"/>
          <w:sz w:val="28"/>
          <w:lang w:val="en-US" w:eastAsia="zh-CN" w:bidi="ar-SA"/>
        </w:rPr>
        <w:t>总量控制</w:t>
      </w:r>
      <w:bookmarkEnd w:id="85"/>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val="fr-FR"/>
        </w:rPr>
      </w:pPr>
      <w:r>
        <w:rPr>
          <w:rFonts w:hint="default" w:ascii="Times New Roman" w:hAnsi="Times New Roman" w:cs="Times New Roman"/>
          <w:color w:val="auto"/>
          <w:sz w:val="24"/>
          <w:szCs w:val="24"/>
        </w:rPr>
        <w:t>本项目污水处理厂改建后全厂的污水总量控制指标为：COD136.88t/a、</w:t>
      </w:r>
      <w:r>
        <w:rPr>
          <w:rFonts w:hint="default" w:ascii="Times New Roman" w:hAnsi="Times New Roman" w:cs="Times New Roman"/>
          <w:color w:val="auto"/>
          <w:sz w:val="24"/>
          <w:szCs w:val="24"/>
          <w:lang w:val="en-GB"/>
        </w:rPr>
        <w:t>氨氮</w:t>
      </w:r>
      <w:r>
        <w:rPr>
          <w:rFonts w:hint="default" w:ascii="Times New Roman" w:hAnsi="Times New Roman" w:cs="Times New Roman"/>
          <w:color w:val="auto"/>
          <w:sz w:val="24"/>
          <w:szCs w:val="24"/>
        </w:rPr>
        <w:t>21.90t/a。</w:t>
      </w:r>
    </w:p>
    <w:p>
      <w:pPr>
        <w:pStyle w:val="153"/>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val="0"/>
          <w:color w:val="auto"/>
          <w:kern w:val="2"/>
          <w:sz w:val="28"/>
          <w:lang w:val="en-US" w:eastAsia="zh-CN" w:bidi="ar-SA"/>
        </w:rPr>
      </w:pPr>
      <w:bookmarkStart w:id="86" w:name="_Toc14193"/>
      <w:r>
        <w:rPr>
          <w:rFonts w:hint="default" w:ascii="Times New Roman" w:hAnsi="Times New Roman" w:cs="Times New Roman"/>
          <w:b/>
          <w:bCs w:val="0"/>
          <w:color w:val="auto"/>
          <w:kern w:val="2"/>
          <w:sz w:val="28"/>
          <w:lang w:val="en-US" w:eastAsia="zh-CN" w:bidi="ar-SA"/>
        </w:rPr>
        <w:t>5.1.1.7</w:t>
      </w:r>
      <w:r>
        <w:rPr>
          <w:rFonts w:hint="default" w:ascii="Times New Roman" w:hAnsi="Times New Roman" w:eastAsia="宋体" w:cs="Times New Roman"/>
          <w:b/>
          <w:bCs w:val="0"/>
          <w:color w:val="auto"/>
          <w:kern w:val="2"/>
          <w:sz w:val="28"/>
          <w:lang w:val="en-US" w:eastAsia="zh-CN" w:bidi="ar-SA"/>
        </w:rPr>
        <w:t>环境管理与环境监测</w:t>
      </w:r>
      <w:bookmarkEnd w:id="86"/>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运营单位做好运营期项目环境管理工作，对废水、废气、噪声进行定期监测，以便掌握设施运行及处理效果，确保污染治理设施正常运行。验收监测及例行监测均委托有资质的环境监测单位承担。</w:t>
      </w:r>
    </w:p>
    <w:p>
      <w:pPr>
        <w:pStyle w:val="153"/>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val="0"/>
          <w:color w:val="auto"/>
          <w:kern w:val="2"/>
          <w:sz w:val="28"/>
          <w:lang w:val="en-US" w:eastAsia="zh-CN" w:bidi="ar-SA"/>
        </w:rPr>
      </w:pPr>
      <w:bookmarkStart w:id="87" w:name="_Toc924"/>
      <w:r>
        <w:rPr>
          <w:rFonts w:hint="default" w:ascii="Times New Roman" w:hAnsi="Times New Roman" w:cs="Times New Roman"/>
          <w:b/>
          <w:bCs w:val="0"/>
          <w:color w:val="auto"/>
          <w:kern w:val="2"/>
          <w:sz w:val="28"/>
          <w:lang w:val="en-US" w:eastAsia="zh-CN" w:bidi="ar-SA"/>
        </w:rPr>
        <w:t>5.1.1.8</w:t>
      </w:r>
      <w:r>
        <w:rPr>
          <w:rFonts w:hint="default" w:ascii="Times New Roman" w:hAnsi="Times New Roman" w:eastAsia="宋体" w:cs="Times New Roman"/>
          <w:b/>
          <w:bCs w:val="0"/>
          <w:color w:val="auto"/>
          <w:kern w:val="2"/>
          <w:sz w:val="28"/>
          <w:lang w:val="en-US" w:eastAsia="zh-CN" w:bidi="ar-SA"/>
        </w:rPr>
        <w:t>环保投资及效益</w:t>
      </w:r>
      <w:bookmarkEnd w:id="87"/>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本项目总投资2830.38万元，其中环保投资27万元，占总投资的0.95％。环保资金的投入可确保各项污染防治措施的落实，实现达标排放，使环境效益、经济效益、社会效益得到协调发展。</w:t>
      </w:r>
    </w:p>
    <w:p>
      <w:pPr>
        <w:pStyle w:val="153"/>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b/>
          <w:bCs w:val="0"/>
          <w:color w:val="auto"/>
          <w:kern w:val="2"/>
          <w:sz w:val="28"/>
          <w:lang w:val="en-US" w:eastAsia="zh-CN" w:bidi="ar-SA"/>
        </w:rPr>
      </w:pPr>
      <w:bookmarkStart w:id="88" w:name="_Toc23361"/>
      <w:r>
        <w:rPr>
          <w:rFonts w:hint="default" w:ascii="Times New Roman" w:hAnsi="Times New Roman" w:cs="Times New Roman"/>
          <w:b/>
          <w:bCs w:val="0"/>
          <w:color w:val="auto"/>
          <w:kern w:val="2"/>
          <w:sz w:val="28"/>
          <w:lang w:val="en-US" w:eastAsia="zh-CN" w:bidi="ar-SA"/>
        </w:rPr>
        <w:t>5.1.1.9</w:t>
      </w:r>
      <w:r>
        <w:rPr>
          <w:rFonts w:hint="default" w:ascii="Times New Roman" w:hAnsi="Times New Roman" w:eastAsia="宋体" w:cs="Times New Roman"/>
          <w:b/>
          <w:bCs w:val="0"/>
          <w:color w:val="auto"/>
          <w:kern w:val="2"/>
          <w:sz w:val="28"/>
          <w:lang w:val="en-US" w:eastAsia="zh-CN" w:bidi="ar-SA"/>
        </w:rPr>
        <w:t>综合结论</w:t>
      </w:r>
      <w:bookmarkEnd w:id="88"/>
    </w:p>
    <w:p>
      <w:pPr>
        <w:keepNext w:val="0"/>
        <w:keepLines w:val="0"/>
        <w:pageBreakBefore w:val="0"/>
        <w:widowControl/>
        <w:tabs>
          <w:tab w:val="left" w:pos="612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符合国家的产业政策及相关规划要求。工程实施产生的各类污染物在采取污染防治措施后其不利影响能得到有效治理和控制，能为环境所接受。技改工程运行后，有利于保护和改善濑溪河水质，项目的建成将获得良好的社会效益和环境效益。</w:t>
      </w:r>
    </w:p>
    <w:p>
      <w:pPr>
        <w:pStyle w:val="19"/>
        <w:keepNext w:val="0"/>
        <w:keepLines w:val="0"/>
        <w:pageBreakBefore w:val="0"/>
        <w:widowControl/>
        <w:kinsoku/>
        <w:wordWrap/>
        <w:overflowPunct/>
        <w:topLinePunct w:val="0"/>
        <w:autoSpaceDE/>
        <w:autoSpaceDN/>
        <w:bidi w:val="0"/>
        <w:spacing w:line="360" w:lineRule="auto"/>
        <w:ind w:firstLine="520"/>
        <w:textAlignment w:val="auto"/>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从环境保护的角度分析，本工程在拟选地址上建设可行。</w:t>
      </w:r>
    </w:p>
    <w:p>
      <w:pPr>
        <w:pStyle w:val="153"/>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bookmarkStart w:id="89" w:name="_Toc30353"/>
      <w:r>
        <w:rPr>
          <w:rFonts w:hint="default" w:ascii="Times New Roman" w:hAnsi="Times New Roman" w:cs="Times New Roman"/>
          <w:b/>
          <w:bCs w:val="0"/>
          <w:color w:val="auto"/>
          <w:kern w:val="2"/>
          <w:sz w:val="28"/>
          <w:lang w:val="en-US" w:eastAsia="zh-CN" w:bidi="ar-SA"/>
        </w:rPr>
        <w:t>5.1.2</w:t>
      </w:r>
      <w:r>
        <w:rPr>
          <w:rFonts w:hint="default" w:ascii="Times New Roman" w:hAnsi="Times New Roman" w:eastAsia="宋体" w:cs="Times New Roman"/>
          <w:b/>
          <w:bCs w:val="0"/>
          <w:color w:val="auto"/>
          <w:kern w:val="2"/>
          <w:sz w:val="28"/>
          <w:lang w:val="en-US" w:eastAsia="zh-CN" w:bidi="ar-SA"/>
        </w:rPr>
        <w:t>对项目的建议：</w:t>
      </w:r>
      <w:bookmarkEnd w:id="89"/>
    </w:p>
    <w:p>
      <w:pPr>
        <w:pStyle w:val="148"/>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（1）排污许可证申请应按照《排污许可证申请与核发技术规定 水处理（试行）》（HJ 978-2018）填报。</w:t>
      </w:r>
    </w:p>
    <w:p>
      <w:pPr>
        <w:keepNext w:val="0"/>
        <w:keepLines w:val="0"/>
        <w:pageBreakBefore w:val="0"/>
        <w:widowControl/>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（2）确保落实环保资金，保证环保设施和环保工程的建设。</w:t>
      </w:r>
    </w:p>
    <w:p>
      <w:pPr>
        <w:pStyle w:val="87"/>
        <w:keepNext w:val="0"/>
        <w:keepLines w:val="0"/>
        <w:pageBreakBefore w:val="0"/>
        <w:widowControl/>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（3）落实原环评提出的</w:t>
      </w:r>
      <w:r>
        <w:rPr>
          <w:rFonts w:hint="default" w:ascii="Times New Roman" w:hAnsi="Times New Roman" w:cs="Times New Roman"/>
          <w:color w:val="auto"/>
          <w:kern w:val="0"/>
          <w:sz w:val="24"/>
          <w:szCs w:val="24"/>
        </w:rPr>
        <w:t>100m（东厂界外95m、南厂界外70m、西厂界外50m、北厂界外55m）卫生环境防护距离内搬迁问题。</w:t>
      </w:r>
    </w:p>
    <w:bookmarkEnd w:id="79"/>
    <w:p>
      <w:pPr>
        <w:rPr>
          <w:rFonts w:hint="default" w:ascii="Times New Roman" w:hAnsi="Times New Roman" w:cs="Times New Roman"/>
          <w:color w:val="auto"/>
        </w:rPr>
      </w:pPr>
      <w:bookmarkStart w:id="90" w:name="_Toc30064"/>
      <w:r>
        <w:rPr>
          <w:rFonts w:hint="default" w:ascii="Times New Roman" w:hAnsi="Times New Roman" w:cs="Times New Roman"/>
          <w:color w:val="auto"/>
        </w:rPr>
        <w:br w:type="page"/>
      </w:r>
    </w:p>
    <w:p>
      <w:pPr>
        <w:pStyle w:val="3"/>
        <w:bidi w:val="0"/>
        <w:rPr>
          <w:rFonts w:hint="default" w:ascii="Times New Roman" w:hAnsi="Times New Roman" w:cs="Times New Roman"/>
          <w:color w:val="auto"/>
        </w:rPr>
      </w:pPr>
      <w:bookmarkStart w:id="91" w:name="_Toc31190"/>
      <w:r>
        <w:rPr>
          <w:rFonts w:hint="default" w:ascii="Times New Roman" w:hAnsi="Times New Roman" w:cs="Times New Roman"/>
          <w:color w:val="auto"/>
        </w:rPr>
        <w:t>6验收执行标准</w:t>
      </w:r>
      <w:bookmarkEnd w:id="90"/>
      <w:bookmarkEnd w:id="91"/>
    </w:p>
    <w:p>
      <w:pPr>
        <w:pStyle w:val="4"/>
        <w:bidi w:val="0"/>
        <w:rPr>
          <w:rFonts w:hint="default" w:ascii="Times New Roman" w:hAnsi="Times New Roman" w:cs="Times New Roman"/>
          <w:color w:val="auto"/>
          <w:lang w:val="en-US" w:eastAsia="en-US"/>
        </w:rPr>
      </w:pPr>
      <w:bookmarkStart w:id="92" w:name="_Toc13544"/>
      <w:bookmarkStart w:id="93" w:name="_Toc31897"/>
      <w:bookmarkStart w:id="94" w:name="_Toc4146"/>
      <w:bookmarkStart w:id="95" w:name="_Toc29206"/>
      <w:r>
        <w:rPr>
          <w:rFonts w:hint="default" w:ascii="Times New Roman" w:hAnsi="Times New Roman" w:cs="Times New Roman"/>
          <w:color w:val="auto"/>
          <w:lang w:val="en-US" w:eastAsia="zh-CN"/>
        </w:rPr>
        <w:t>6.1</w:t>
      </w:r>
      <w:r>
        <w:rPr>
          <w:rFonts w:hint="default" w:ascii="Times New Roman" w:hAnsi="Times New Roman" w:cs="Times New Roman"/>
          <w:color w:val="auto"/>
          <w:lang w:val="en-US" w:eastAsia="en-US"/>
        </w:rPr>
        <w:t>废水执行标准</w:t>
      </w:r>
      <w:bookmarkEnd w:id="92"/>
      <w:bookmarkEnd w:id="93"/>
      <w:bookmarkEnd w:id="94"/>
    </w:p>
    <w:p>
      <w:pPr>
        <w:pStyle w:val="87"/>
        <w:bidi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zh-CN"/>
        </w:rPr>
        <w:t>根据提标改造设计要求，验收</w:t>
      </w:r>
      <w:r>
        <w:rPr>
          <w:rFonts w:hint="default" w:ascii="Times New Roman" w:hAnsi="Times New Roman" w:cs="Times New Roman"/>
          <w:color w:val="auto"/>
          <w:lang w:val="en-US" w:eastAsia="en-US"/>
        </w:rPr>
        <w:t>项目外排废水执行《城镇污水处理厂污染物排放标准》（GB18918-2002）表1 一级A标准。</w:t>
      </w:r>
    </w:p>
    <w:p>
      <w:pPr>
        <w:pStyle w:val="79"/>
        <w:bidi w:val="0"/>
        <w:rPr>
          <w:rFonts w:hint="default" w:ascii="Times New Roman" w:hAnsi="Times New Roman" w:cs="Times New Roman"/>
          <w:color w:val="auto"/>
        </w:rPr>
      </w:pPr>
      <w:r>
        <w:rPr>
          <w:rFonts w:hint="default" w:ascii="Times New Roman" w:hAnsi="Times New Roman" w:cs="Times New Roman"/>
          <w:color w:val="auto"/>
        </w:rPr>
        <w:t>表6</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废水执行标准</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682"/>
        <w:gridCol w:w="1356"/>
        <w:gridCol w:w="1201"/>
        <w:gridCol w:w="3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28"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928"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411" w:type="pct"/>
            <w:gridSpan w:val="2"/>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参考执行标准限值</w:t>
            </w:r>
          </w:p>
        </w:tc>
        <w:tc>
          <w:tcPr>
            <w:tcW w:w="2031"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标准依据及标准号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74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限值</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28"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废水</w:t>
            </w: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031"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执行《城镇污水处理厂污染物排放标准》（GB18918-2002）</w:t>
            </w:r>
            <w:r>
              <w:rPr>
                <w:rFonts w:hint="default" w:ascii="Times New Roman" w:hAnsi="Times New Roman" w:eastAsia="宋体" w:cs="Times New Roman"/>
                <w:color w:val="auto"/>
                <w:sz w:val="21"/>
                <w:szCs w:val="21"/>
                <w:lang w:val="en-US" w:eastAsia="zh-CN"/>
              </w:rPr>
              <w:t xml:space="preserve">表1 </w:t>
            </w:r>
            <w:r>
              <w:rPr>
                <w:rFonts w:hint="default" w:ascii="Times New Roman" w:hAnsi="Times New Roman" w:eastAsia="宋体" w:cs="Times New Roman"/>
                <w:color w:val="auto"/>
                <w:sz w:val="21"/>
                <w:szCs w:val="21"/>
              </w:rPr>
              <w:t>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TN</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TP</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0.5</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石油类</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13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动植物油</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13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阴离子表面活性剂</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0.5</w:t>
            </w:r>
          </w:p>
        </w:tc>
        <w:tc>
          <w:tcPr>
            <w:tcW w:w="113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色度</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30</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倍</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粪大肠菌群</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vertAlign w:val="superscript"/>
                <w:lang w:val="en-US" w:eastAsia="zh-CN"/>
              </w:rPr>
              <w:t>3</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个/L</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28"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pH值</w:t>
            </w:r>
          </w:p>
        </w:tc>
        <w:tc>
          <w:tcPr>
            <w:tcW w:w="7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6-9</w:t>
            </w:r>
          </w:p>
        </w:tc>
        <w:tc>
          <w:tcPr>
            <w:tcW w:w="66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无量纲</w:t>
            </w:r>
          </w:p>
        </w:tc>
        <w:tc>
          <w:tcPr>
            <w:tcW w:w="2031"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28"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4371" w:type="pct"/>
            <w:gridSpan w:val="4"/>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bl>
    <w:p>
      <w:pPr>
        <w:pStyle w:val="4"/>
        <w:bidi w:val="0"/>
        <w:rPr>
          <w:rFonts w:hint="default" w:ascii="Times New Roman" w:hAnsi="Times New Roman" w:cs="Times New Roman"/>
          <w:color w:val="auto"/>
          <w:lang w:val="en-US" w:eastAsia="zh-CN"/>
        </w:rPr>
      </w:pPr>
      <w:bookmarkStart w:id="96" w:name="_Toc27151"/>
      <w:r>
        <w:rPr>
          <w:rFonts w:hint="default" w:ascii="Times New Roman" w:hAnsi="Times New Roman" w:cs="Times New Roman"/>
          <w:color w:val="auto"/>
          <w:lang w:val="en-US" w:eastAsia="zh-CN"/>
        </w:rPr>
        <w:t>6.2废气执行标准</w:t>
      </w:r>
      <w:bookmarkEnd w:id="96"/>
    </w:p>
    <w:p>
      <w:pPr>
        <w:pStyle w:val="87"/>
        <w:bidi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zh-CN"/>
        </w:rPr>
        <w:t>根据提标改造设计要求，验收</w:t>
      </w:r>
      <w:r>
        <w:rPr>
          <w:rFonts w:hint="default" w:ascii="Times New Roman" w:hAnsi="Times New Roman" w:cs="Times New Roman"/>
          <w:color w:val="auto"/>
          <w:lang w:val="en-US" w:eastAsia="en-US"/>
        </w:rPr>
        <w:t>项目</w:t>
      </w:r>
      <w:r>
        <w:rPr>
          <w:rFonts w:hint="default" w:ascii="Times New Roman" w:hAnsi="Times New Roman" w:cs="Times New Roman"/>
          <w:color w:val="auto"/>
          <w:lang w:val="en-US" w:eastAsia="zh-CN"/>
        </w:rPr>
        <w:t>无组织废气</w:t>
      </w:r>
      <w:r>
        <w:rPr>
          <w:rFonts w:hint="default" w:ascii="Times New Roman" w:hAnsi="Times New Roman" w:cs="Times New Roman"/>
          <w:color w:val="auto"/>
          <w:lang w:val="en-US" w:eastAsia="en-US"/>
        </w:rPr>
        <w:t>执行《城镇污水处理厂污染物排放标准》（GB18918-2002）</w:t>
      </w:r>
      <w:r>
        <w:rPr>
          <w:rFonts w:hint="default" w:ascii="Times New Roman" w:hAnsi="Times New Roman" w:cs="Times New Roman"/>
          <w:color w:val="auto"/>
          <w:lang w:val="en-US" w:eastAsia="zh-CN"/>
        </w:rPr>
        <w:t>表4中二级</w:t>
      </w:r>
      <w:r>
        <w:rPr>
          <w:rFonts w:hint="default" w:ascii="Times New Roman" w:hAnsi="Times New Roman" w:cs="Times New Roman"/>
          <w:color w:val="auto"/>
          <w:lang w:val="en-US" w:eastAsia="en-US"/>
        </w:rPr>
        <w:t>标准</w:t>
      </w:r>
      <w:r>
        <w:rPr>
          <w:rFonts w:hint="default" w:ascii="Times New Roman" w:hAnsi="Times New Roman" w:cs="Times New Roman"/>
          <w:color w:val="auto"/>
          <w:lang w:val="en-US" w:eastAsia="zh-CN"/>
        </w:rPr>
        <w:t>，有组织废气执行《恶臭污染物排放标准》（GB14554-93）表2</w:t>
      </w:r>
      <w:r>
        <w:rPr>
          <w:rFonts w:hint="default" w:ascii="Times New Roman" w:hAnsi="Times New Roman" w:cs="Times New Roman"/>
          <w:color w:val="auto"/>
          <w:lang w:val="en-US" w:eastAsia="en-US"/>
        </w:rPr>
        <w:t>。</w:t>
      </w:r>
    </w:p>
    <w:p>
      <w:pPr>
        <w:pStyle w:val="7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表6.2-1废气排放标准</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255"/>
        <w:gridCol w:w="1127"/>
        <w:gridCol w:w="1721"/>
        <w:gridCol w:w="1485"/>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blHeader/>
        </w:trPr>
        <w:tc>
          <w:tcPr>
            <w:tcW w:w="626"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bookmarkStart w:id="97" w:name="_Toc28890"/>
            <w:bookmarkStart w:id="98" w:name="_Toc27555"/>
            <w:bookmarkStart w:id="99" w:name="_Toc16916"/>
            <w:bookmarkStart w:id="100" w:name="_Toc5861"/>
            <w:bookmarkStart w:id="101" w:name="_Toc23557"/>
            <w:bookmarkStart w:id="102" w:name="_Toc1704"/>
            <w:bookmarkStart w:id="103" w:name="_Toc4826"/>
            <w:r>
              <w:rPr>
                <w:rFonts w:hint="default" w:ascii="Times New Roman" w:hAnsi="Times New Roman" w:eastAsia="宋体" w:cs="Times New Roman"/>
                <w:b/>
                <w:color w:val="auto"/>
                <w:sz w:val="21"/>
                <w:szCs w:val="21"/>
              </w:rPr>
              <w:t>类别</w:t>
            </w:r>
          </w:p>
        </w:tc>
        <w:tc>
          <w:tcPr>
            <w:tcW w:w="693"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622"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烟囱高度（m）</w:t>
            </w:r>
          </w:p>
        </w:tc>
        <w:tc>
          <w:tcPr>
            <w:tcW w:w="1770" w:type="pct"/>
            <w:gridSpan w:val="2"/>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参考执行标准限值</w:t>
            </w:r>
          </w:p>
        </w:tc>
        <w:tc>
          <w:tcPr>
            <w:tcW w:w="1287"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标准依据及标准号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blHeader/>
        </w:trPr>
        <w:tc>
          <w:tcPr>
            <w:tcW w:w="626"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693"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622"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950"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最高允许排放浓度</w:t>
            </w:r>
          </w:p>
        </w:tc>
        <w:tc>
          <w:tcPr>
            <w:tcW w:w="819"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color w:val="auto"/>
                <w:spacing w:val="-12"/>
                <w:sz w:val="21"/>
                <w:szCs w:val="21"/>
              </w:rPr>
            </w:pPr>
            <w:r>
              <w:rPr>
                <w:rFonts w:hint="default" w:ascii="Times New Roman" w:hAnsi="Times New Roman" w:eastAsia="宋体" w:cs="Times New Roman"/>
                <w:b/>
                <w:color w:val="auto"/>
                <w:spacing w:val="-12"/>
                <w:sz w:val="21"/>
                <w:szCs w:val="21"/>
              </w:rPr>
              <w:t>最高允许排放速率</w:t>
            </w:r>
          </w:p>
        </w:tc>
        <w:tc>
          <w:tcPr>
            <w:tcW w:w="1287"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26"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有组织废气</w:t>
            </w:r>
          </w:p>
        </w:tc>
        <w:tc>
          <w:tcPr>
            <w:tcW w:w="69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tc>
        <w:tc>
          <w:tcPr>
            <w:tcW w:w="6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50"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（无量纲）</w:t>
            </w:r>
          </w:p>
        </w:tc>
        <w:tc>
          <w:tcPr>
            <w:tcW w:w="1287"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《恶臭污染物排放标准》（GB14554-93）</w:t>
            </w:r>
            <w:r>
              <w:rPr>
                <w:rFonts w:hint="default" w:ascii="Times New Roman" w:hAnsi="Times New Roman" w:eastAsia="宋体" w:cs="Times New Roman"/>
                <w:color w:val="auto"/>
                <w:sz w:val="21"/>
                <w:szCs w:val="21"/>
                <w:lang w:val="en-US" w:eastAsia="zh-CN"/>
              </w:rPr>
              <w:t>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26"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69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硫化氢</w:t>
            </w:r>
          </w:p>
        </w:tc>
        <w:tc>
          <w:tcPr>
            <w:tcW w:w="6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50"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0.33kg/h</w:t>
            </w:r>
          </w:p>
        </w:tc>
        <w:tc>
          <w:tcPr>
            <w:tcW w:w="1287"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26"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69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w:t>
            </w:r>
          </w:p>
        </w:tc>
        <w:tc>
          <w:tcPr>
            <w:tcW w:w="6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50"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81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4.9kg/h</w:t>
            </w:r>
          </w:p>
        </w:tc>
        <w:tc>
          <w:tcPr>
            <w:tcW w:w="1287"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26"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无组织废气</w:t>
            </w:r>
          </w:p>
        </w:tc>
        <w:tc>
          <w:tcPr>
            <w:tcW w:w="69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臭气浓度</w:t>
            </w:r>
          </w:p>
        </w:tc>
        <w:tc>
          <w:tcPr>
            <w:tcW w:w="6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（无量纲）</w:t>
            </w:r>
          </w:p>
        </w:tc>
        <w:tc>
          <w:tcPr>
            <w:tcW w:w="819"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87" w:type="pct"/>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《城镇污水处理厂污染物排放标准》（GB18918-2002）表5 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26"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69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硫化氢</w:t>
            </w:r>
          </w:p>
        </w:tc>
        <w:tc>
          <w:tcPr>
            <w:tcW w:w="6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superscript"/>
                <w:lang w:val="en-US" w:eastAsia="zh-CN" w:bidi="ar-SA"/>
              </w:rPr>
            </w:pPr>
            <w:r>
              <w:rPr>
                <w:rFonts w:hint="default" w:ascii="Times New Roman" w:hAnsi="Times New Roman" w:eastAsia="宋体" w:cs="Times New Roman"/>
                <w:color w:val="auto"/>
                <w:sz w:val="21"/>
                <w:szCs w:val="21"/>
                <w:highlight w:val="none"/>
              </w:rPr>
              <w:t>0.06mg/m</w:t>
            </w:r>
            <w:r>
              <w:rPr>
                <w:rFonts w:hint="default" w:ascii="Times New Roman" w:hAnsi="Times New Roman" w:eastAsia="宋体" w:cs="Times New Roman"/>
                <w:color w:val="auto"/>
                <w:sz w:val="21"/>
                <w:szCs w:val="21"/>
                <w:highlight w:val="none"/>
                <w:vertAlign w:val="superscript"/>
              </w:rPr>
              <w:t>3</w:t>
            </w:r>
          </w:p>
        </w:tc>
        <w:tc>
          <w:tcPr>
            <w:tcW w:w="819"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87"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26"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69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w:t>
            </w:r>
          </w:p>
        </w:tc>
        <w:tc>
          <w:tcPr>
            <w:tcW w:w="6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superscript"/>
                <w:lang w:val="en-US" w:eastAsia="zh-CN" w:bidi="ar-SA"/>
              </w:rPr>
            </w:pPr>
            <w:r>
              <w:rPr>
                <w:rFonts w:hint="default" w:ascii="Times New Roman" w:hAnsi="Times New Roman" w:eastAsia="宋体" w:cs="Times New Roman"/>
                <w:color w:val="auto"/>
                <w:sz w:val="21"/>
                <w:szCs w:val="21"/>
                <w:highlight w:val="none"/>
              </w:rPr>
              <w:t>1.5mg/m</w:t>
            </w:r>
            <w:r>
              <w:rPr>
                <w:rFonts w:hint="default" w:ascii="Times New Roman" w:hAnsi="Times New Roman" w:eastAsia="宋体" w:cs="Times New Roman"/>
                <w:color w:val="auto"/>
                <w:sz w:val="21"/>
                <w:szCs w:val="21"/>
                <w:highlight w:val="none"/>
                <w:vertAlign w:val="superscript"/>
              </w:rPr>
              <w:t>3</w:t>
            </w:r>
          </w:p>
        </w:tc>
        <w:tc>
          <w:tcPr>
            <w:tcW w:w="819"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87"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26"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c>
          <w:tcPr>
            <w:tcW w:w="693"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甲烷</w:t>
            </w:r>
          </w:p>
        </w:tc>
        <w:tc>
          <w:tcPr>
            <w:tcW w:w="622"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5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19"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87" w:type="pct"/>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26" w:type="pc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4373" w:type="pct"/>
            <w:gridSpan w:val="5"/>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bl>
    <w:p>
      <w:pPr>
        <w:pStyle w:val="4"/>
        <w:bidi w:val="0"/>
        <w:rPr>
          <w:rFonts w:hint="default" w:ascii="Times New Roman" w:hAnsi="Times New Roman" w:cs="Times New Roman"/>
          <w:color w:val="auto"/>
          <w:lang w:val="en-US" w:eastAsia="zh-CN"/>
        </w:rPr>
      </w:pPr>
      <w:bookmarkStart w:id="104" w:name="_Toc11806"/>
      <w:r>
        <w:rPr>
          <w:rFonts w:hint="default" w:ascii="Times New Roman" w:hAnsi="Times New Roman" w:cs="Times New Roman"/>
          <w:color w:val="auto"/>
          <w:lang w:val="en-US" w:eastAsia="zh-CN"/>
        </w:rPr>
        <w:t>6.3噪声执行标准</w:t>
      </w:r>
      <w:bookmarkEnd w:id="97"/>
      <w:bookmarkEnd w:id="98"/>
      <w:bookmarkEnd w:id="99"/>
      <w:bookmarkEnd w:id="100"/>
      <w:bookmarkEnd w:id="101"/>
      <w:bookmarkEnd w:id="102"/>
      <w:bookmarkEnd w:id="103"/>
      <w:bookmarkEnd w:id="104"/>
    </w:p>
    <w:p>
      <w:pPr>
        <w:pStyle w:val="87"/>
        <w:bidi w:val="0"/>
        <w:rPr>
          <w:rFonts w:hint="default" w:ascii="Times New Roman" w:hAnsi="Times New Roman" w:cs="Times New Roman"/>
          <w:color w:val="auto"/>
          <w:lang w:val="en-US" w:eastAsia="en-US"/>
        </w:rPr>
      </w:pPr>
      <w:r>
        <w:rPr>
          <w:rFonts w:hint="default" w:ascii="Times New Roman" w:hAnsi="Times New Roman" w:cs="Times New Roman"/>
          <w:color w:val="auto"/>
          <w:lang w:val="en-US" w:eastAsia="en-US"/>
        </w:rPr>
        <w:t>项目边界噪声执行《工业企业厂界环境噪声排放标准》（GB12348-2008）</w:t>
      </w:r>
      <w:r>
        <w:rPr>
          <w:rFonts w:hint="default" w:ascii="Times New Roman" w:hAnsi="Times New Roman" w:cs="Times New Roman"/>
          <w:color w:val="auto"/>
          <w:lang w:val="en-US" w:eastAsia="zh-CN"/>
        </w:rPr>
        <w:t>表1 3</w:t>
      </w:r>
      <w:r>
        <w:rPr>
          <w:rFonts w:hint="default" w:ascii="Times New Roman" w:hAnsi="Times New Roman" w:cs="Times New Roman"/>
          <w:color w:val="auto"/>
          <w:lang w:val="en-US" w:eastAsia="en-US"/>
        </w:rPr>
        <w:t>类</w:t>
      </w:r>
      <w:r>
        <w:rPr>
          <w:rFonts w:hint="default" w:ascii="Times New Roman" w:hAnsi="Times New Roman" w:cs="Times New Roman"/>
          <w:color w:val="auto"/>
          <w:lang w:val="en-US" w:eastAsia="zh-CN"/>
        </w:rPr>
        <w:t>声功能区</w:t>
      </w:r>
      <w:r>
        <w:rPr>
          <w:rFonts w:hint="default" w:ascii="Times New Roman" w:hAnsi="Times New Roman" w:cs="Times New Roman"/>
          <w:color w:val="auto"/>
          <w:lang w:val="en-US" w:eastAsia="en-US"/>
        </w:rPr>
        <w:t>。</w:t>
      </w:r>
    </w:p>
    <w:p>
      <w:pPr>
        <w:pStyle w:val="79"/>
        <w:bidi w:val="0"/>
        <w:rPr>
          <w:rFonts w:hint="default" w:ascii="Times New Roman" w:hAnsi="Times New Roman" w:cs="Times New Roman"/>
          <w:color w:val="auto"/>
        </w:rPr>
      </w:pPr>
      <w:r>
        <w:rPr>
          <w:rFonts w:hint="default" w:ascii="Times New Roman" w:hAnsi="Times New Roman" w:cs="Times New Roman"/>
          <w:color w:val="auto"/>
        </w:rPr>
        <w:t>表6</w:t>
      </w:r>
      <w:r>
        <w:rPr>
          <w:rFonts w:hint="default" w:ascii="Times New Roman" w:hAnsi="Times New Roman" w:cs="Times New Roman"/>
          <w:color w:val="auto"/>
          <w:lang w:val="en-US" w:eastAsia="zh-CN"/>
        </w:rPr>
        <w:t>.3-1</w:t>
      </w:r>
      <w:r>
        <w:rPr>
          <w:rFonts w:hint="default" w:ascii="Times New Roman" w:hAnsi="Times New Roman" w:cs="Times New Roman"/>
          <w:color w:val="auto"/>
        </w:rPr>
        <w:t>噪声执行标准</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1019"/>
        <w:gridCol w:w="1095"/>
        <w:gridCol w:w="5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bookmarkStart w:id="105" w:name="_Toc29272"/>
            <w:r>
              <w:rPr>
                <w:rFonts w:hint="default" w:ascii="Times New Roman" w:hAnsi="Times New Roman" w:eastAsia="宋体" w:cs="Times New Roman"/>
                <w:b/>
                <w:color w:val="auto"/>
                <w:sz w:val="21"/>
                <w:szCs w:val="21"/>
              </w:rPr>
              <w:t>类别</w:t>
            </w:r>
          </w:p>
        </w:tc>
        <w:tc>
          <w:tcPr>
            <w:tcW w:w="5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c>
          <w:tcPr>
            <w:tcW w:w="6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夜间</w:t>
            </w:r>
          </w:p>
        </w:tc>
        <w:tc>
          <w:tcPr>
            <w:tcW w:w="30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标准依据及标准号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w:t>
            </w:r>
          </w:p>
        </w:tc>
        <w:tc>
          <w:tcPr>
            <w:tcW w:w="5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65dB</w:t>
            </w:r>
          </w:p>
        </w:tc>
        <w:tc>
          <w:tcPr>
            <w:tcW w:w="6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55dB</w:t>
            </w:r>
          </w:p>
        </w:tc>
        <w:tc>
          <w:tcPr>
            <w:tcW w:w="30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工业企业厂界环境噪声排放标准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GB12348—2008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表1 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4193"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bl>
    <w:p>
      <w:pPr>
        <w:pStyle w:val="4"/>
        <w:bidi w:val="0"/>
        <w:rPr>
          <w:rFonts w:hint="default" w:ascii="Times New Roman" w:hAnsi="Times New Roman" w:cs="Times New Roman"/>
          <w:color w:val="auto"/>
        </w:rPr>
      </w:pPr>
      <w:bookmarkStart w:id="106" w:name="_Toc13198"/>
      <w:r>
        <w:rPr>
          <w:rFonts w:hint="default" w:ascii="Times New Roman" w:hAnsi="Times New Roman" w:cs="Times New Roman"/>
          <w:color w:val="auto"/>
        </w:rPr>
        <w:t>6.4固体废物污染管控要求</w:t>
      </w:r>
      <w:bookmarkEnd w:id="105"/>
      <w:bookmarkEnd w:id="106"/>
    </w:p>
    <w:p>
      <w:pPr>
        <w:pStyle w:val="87"/>
        <w:bidi w:val="0"/>
        <w:rPr>
          <w:rFonts w:hint="default" w:ascii="Times New Roman" w:hAnsi="Times New Roman" w:cs="Times New Roman"/>
          <w:color w:val="auto"/>
        </w:rPr>
      </w:pPr>
      <w:r>
        <w:rPr>
          <w:rFonts w:hint="default" w:ascii="Times New Roman" w:hAnsi="Times New Roman" w:cs="Times New Roman"/>
          <w:color w:val="auto"/>
        </w:rPr>
        <w:t>一般固体废物执行《一般工业固体废物贮存、处置场污染物控制标准》（GB18599-2</w:t>
      </w:r>
      <w:r>
        <w:rPr>
          <w:rFonts w:hint="default" w:ascii="Times New Roman" w:hAnsi="Times New Roman" w:cs="Times New Roman"/>
          <w:color w:val="auto"/>
          <w:lang w:val="en-US" w:eastAsia="zh-CN"/>
        </w:rPr>
        <w:t>020</w:t>
      </w:r>
      <w:r>
        <w:rPr>
          <w:rFonts w:hint="default" w:ascii="Times New Roman" w:hAnsi="Times New Roman" w:cs="Times New Roman"/>
          <w:color w:val="auto"/>
        </w:rPr>
        <w:t>）中</w:t>
      </w:r>
      <w:r>
        <w:rPr>
          <w:rFonts w:hint="default" w:ascii="Times New Roman" w:hAnsi="Times New Roman" w:cs="Times New Roman"/>
          <w:color w:val="auto"/>
          <w:lang w:eastAsia="zh-CN"/>
        </w:rPr>
        <w:t>的相关规定</w:t>
      </w:r>
      <w:r>
        <w:rPr>
          <w:rFonts w:hint="default" w:ascii="Times New Roman" w:hAnsi="Times New Roman" w:cs="Times New Roman"/>
          <w:color w:val="auto"/>
        </w:rPr>
        <w:t>。</w:t>
      </w:r>
    </w:p>
    <w:p>
      <w:pPr>
        <w:pStyle w:val="87"/>
        <w:bidi w:val="0"/>
        <w:rPr>
          <w:rFonts w:hint="default" w:ascii="Times New Roman" w:hAnsi="Times New Roman" w:cs="Times New Roman"/>
          <w:b/>
          <w:bCs/>
          <w:color w:val="auto"/>
          <w:lang w:val="en-US" w:eastAsia="zh-CN"/>
        </w:rPr>
      </w:pPr>
      <w:r>
        <w:rPr>
          <w:rFonts w:hint="default" w:ascii="Times New Roman" w:hAnsi="Times New Roman" w:cs="Times New Roman"/>
          <w:color w:val="auto"/>
        </w:rPr>
        <w:t>危险废物执行《危险废物贮存污染物控制标准》（GB18597-2001）中的处理处置要求。</w:t>
      </w:r>
    </w:p>
    <w:bookmarkEnd w:id="95"/>
    <w:p>
      <w:pPr>
        <w:pStyle w:val="4"/>
        <w:rPr>
          <w:rFonts w:hint="default" w:ascii="Times New Roman" w:hAnsi="Times New Roman" w:eastAsia="宋体" w:cs="Times New Roman"/>
          <w:color w:val="auto"/>
          <w:sz w:val="30"/>
          <w:szCs w:val="30"/>
        </w:rPr>
      </w:pPr>
      <w:bookmarkStart w:id="107" w:name="_Toc14228"/>
      <w:bookmarkStart w:id="108" w:name="_Toc2453"/>
      <w:r>
        <w:rPr>
          <w:rFonts w:hint="default" w:ascii="Times New Roman" w:hAnsi="Times New Roman" w:eastAsia="宋体" w:cs="Times New Roman"/>
          <w:color w:val="auto"/>
          <w:sz w:val="30"/>
          <w:szCs w:val="30"/>
        </w:rPr>
        <w:t>6.</w:t>
      </w:r>
      <w:r>
        <w:rPr>
          <w:rFonts w:hint="default" w:ascii="Times New Roman" w:hAnsi="Times New Roman" w:cs="Times New Roman"/>
          <w:color w:val="auto"/>
          <w:sz w:val="30"/>
          <w:szCs w:val="30"/>
          <w:lang w:val="en-US" w:eastAsia="zh-CN"/>
        </w:rPr>
        <w:t>5</w:t>
      </w:r>
      <w:r>
        <w:rPr>
          <w:rFonts w:hint="default" w:ascii="Times New Roman" w:hAnsi="Times New Roman" w:eastAsia="宋体" w:cs="Times New Roman"/>
          <w:color w:val="auto"/>
          <w:sz w:val="30"/>
          <w:szCs w:val="30"/>
        </w:rPr>
        <w:t>总量控制指标</w:t>
      </w:r>
      <w:bookmarkEnd w:id="107"/>
      <w:bookmarkEnd w:id="108"/>
    </w:p>
    <w:p>
      <w:pPr>
        <w:pStyle w:val="87"/>
        <w:ind w:firstLine="480"/>
        <w:rPr>
          <w:rFonts w:hint="default" w:ascii="Times New Roman" w:hAnsi="Times New Roman" w:eastAsia="宋体" w:cs="Times New Roman"/>
          <w:color w:val="auto"/>
        </w:rPr>
      </w:pPr>
      <w:r>
        <w:rPr>
          <w:rFonts w:hint="default" w:ascii="Times New Roman" w:hAnsi="Times New Roman" w:cs="Times New Roman"/>
          <w:color w:val="auto"/>
          <w:lang w:eastAsia="zh-CN"/>
        </w:rPr>
        <w:t>根据</w:t>
      </w:r>
      <w:r>
        <w:rPr>
          <w:rFonts w:hint="default" w:ascii="Times New Roman" w:hAnsi="Times New Roman" w:cs="Times New Roman"/>
          <w:color w:val="auto"/>
          <w:lang w:val="en-US" w:eastAsia="zh-CN"/>
        </w:rPr>
        <w:t>荣昌荣隆污水处理厂提标及工艺技改工程</w:t>
      </w:r>
      <w:r>
        <w:rPr>
          <w:rFonts w:hint="default" w:ascii="Times New Roman" w:hAnsi="Times New Roman" w:cs="Times New Roman"/>
          <w:color w:val="auto"/>
          <w:lang w:eastAsia="zh-CN"/>
        </w:rPr>
        <w:t>环评，项目</w:t>
      </w:r>
      <w:r>
        <w:rPr>
          <w:rFonts w:hint="default" w:ascii="Times New Roman" w:hAnsi="Times New Roman" w:eastAsia="宋体" w:cs="Times New Roman"/>
          <w:color w:val="auto"/>
        </w:rPr>
        <w:t>总量指标为：</w:t>
      </w:r>
    </w:p>
    <w:p>
      <w:pPr>
        <w:pStyle w:val="87"/>
        <w:ind w:firstLine="480"/>
        <w:jc w:val="center"/>
        <w:rPr>
          <w:rFonts w:hint="default" w:ascii="Times New Roman" w:hAnsi="Times New Roman" w:eastAsia="宋体" w:cs="Times New Roman"/>
          <w:b/>
          <w:bCs w:val="0"/>
          <w:color w:val="auto"/>
          <w:vertAlign w:val="baseline"/>
          <w:lang w:val="en-US" w:eastAsia="zh-CN"/>
        </w:rPr>
      </w:pPr>
      <w:r>
        <w:rPr>
          <w:rFonts w:hint="default" w:ascii="Times New Roman" w:hAnsi="Times New Roman" w:cs="Times New Roman"/>
          <w:b/>
          <w:bCs w:val="0"/>
          <w:color w:val="auto"/>
          <w:lang w:val="en-US" w:eastAsia="zh-CN"/>
        </w:rPr>
        <w:t>表6.5-1污染物总量控制</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52"/>
        <w:gridCol w:w="852"/>
        <w:gridCol w:w="852"/>
        <w:gridCol w:w="852"/>
        <w:gridCol w:w="852"/>
        <w:gridCol w:w="852"/>
        <w:gridCol w:w="854"/>
        <w:gridCol w:w="1105"/>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控制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r>
              <w:rPr>
                <w:rFonts w:hint="default" w:ascii="Times New Roman" w:hAnsi="Times New Roman" w:cs="Times New Roman"/>
                <w:color w:val="auto"/>
                <w:sz w:val="21"/>
                <w:szCs w:val="21"/>
                <w:lang w:val="en-US" w:eastAsia="zh-CN"/>
              </w:rPr>
              <w:t>（t/a）</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（t/a）</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r>
              <w:rPr>
                <w:rFonts w:hint="default" w:ascii="Times New Roman" w:hAnsi="Times New Roman" w:cs="Times New Roman"/>
                <w:color w:val="auto"/>
                <w:sz w:val="21"/>
                <w:szCs w:val="21"/>
                <w:lang w:val="en-US" w:eastAsia="zh-CN"/>
              </w:rPr>
              <w:t>（t/a）</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r>
              <w:rPr>
                <w:rFonts w:hint="default" w:ascii="Times New Roman" w:hAnsi="Times New Roman" w:cs="Times New Roman"/>
                <w:color w:val="auto"/>
                <w:sz w:val="21"/>
                <w:szCs w:val="21"/>
                <w:lang w:val="en-US" w:eastAsia="zh-CN"/>
              </w:rPr>
              <w:t>（t/a）</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r>
              <w:rPr>
                <w:rFonts w:hint="default" w:ascii="Times New Roman" w:hAnsi="Times New Roman" w:cs="Times New Roman"/>
                <w:color w:val="auto"/>
                <w:sz w:val="21"/>
                <w:szCs w:val="21"/>
                <w:lang w:val="en-US" w:eastAsia="zh-CN"/>
              </w:rPr>
              <w:t>（t/a）</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石油类</w:t>
            </w:r>
            <w:r>
              <w:rPr>
                <w:rFonts w:hint="default" w:ascii="Times New Roman" w:hAnsi="Times New Roman" w:cs="Times New Roman"/>
                <w:color w:val="auto"/>
                <w:sz w:val="21"/>
                <w:szCs w:val="21"/>
                <w:lang w:val="en-US" w:eastAsia="zh-CN"/>
              </w:rPr>
              <w:t>（t/a）</w:t>
            </w:r>
          </w:p>
        </w:tc>
        <w:tc>
          <w:tcPr>
            <w:tcW w:w="6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c>
          <w:tcPr>
            <w:tcW w:w="6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硫化氢</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排放量</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136.88</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27.38</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27.38</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21.90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41.06</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2.74</w:t>
            </w:r>
          </w:p>
        </w:tc>
        <w:tc>
          <w:tcPr>
            <w:tcW w:w="61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0.155</w:t>
            </w:r>
          </w:p>
        </w:tc>
        <w:tc>
          <w:tcPr>
            <w:tcW w:w="62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允许排放量</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136.88</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27.38</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27.38</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21.90</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41.06</w:t>
            </w:r>
          </w:p>
        </w:tc>
        <w:tc>
          <w:tcPr>
            <w:tcW w:w="47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1.37</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2.74</w:t>
            </w:r>
          </w:p>
        </w:tc>
        <w:tc>
          <w:tcPr>
            <w:tcW w:w="6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62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bl>
    <w:p>
      <w:pPr>
        <w:pStyle w:val="87"/>
        <w:ind w:firstLine="480"/>
        <w:jc w:val="center"/>
        <w:rPr>
          <w:rFonts w:hint="default" w:ascii="Times New Roman" w:hAnsi="Times New Roman" w:eastAsia="宋体" w:cs="Times New Roman"/>
          <w:bCs/>
          <w:color w:val="auto"/>
          <w:lang w:val="en-US" w:eastAsia="zh-CN"/>
        </w:rPr>
        <w:sectPr>
          <w:pgSz w:w="11907" w:h="16840"/>
          <w:pgMar w:top="1440" w:right="1531" w:bottom="1440" w:left="1531" w:header="850" w:footer="851" w:gutter="0"/>
          <w:pgBorders>
            <w:top w:val="none" w:sz="0" w:space="0"/>
            <w:left w:val="none" w:sz="0" w:space="0"/>
            <w:bottom w:val="none" w:sz="0" w:space="0"/>
            <w:right w:val="none" w:sz="0" w:space="0"/>
          </w:pgBorders>
          <w:pgNumType w:fmt="decimal"/>
          <w:cols w:space="720" w:num="1"/>
          <w:rtlGutter w:val="0"/>
          <w:docGrid w:linePitch="299" w:charSpace="0"/>
        </w:sectPr>
      </w:pPr>
    </w:p>
    <w:p>
      <w:pPr>
        <w:pStyle w:val="3"/>
        <w:bidi w:val="0"/>
        <w:rPr>
          <w:rFonts w:hint="default" w:ascii="Times New Roman" w:hAnsi="Times New Roman" w:cs="Times New Roman"/>
          <w:color w:val="auto"/>
        </w:rPr>
      </w:pPr>
      <w:bookmarkStart w:id="109" w:name="_Toc742"/>
      <w:bookmarkStart w:id="110" w:name="_Toc1789"/>
      <w:r>
        <w:rPr>
          <w:rFonts w:hint="default" w:ascii="Times New Roman" w:hAnsi="Times New Roman" w:cs="Times New Roman"/>
          <w:color w:val="auto"/>
        </w:rPr>
        <w:t>7验收监测内容</w:t>
      </w:r>
      <w:bookmarkEnd w:id="109"/>
      <w:bookmarkEnd w:id="110"/>
    </w:p>
    <w:p>
      <w:pPr>
        <w:pStyle w:val="87"/>
        <w:bidi w:val="0"/>
        <w:rPr>
          <w:rFonts w:hint="default" w:ascii="Times New Roman" w:hAnsi="Times New Roman" w:cs="Times New Roman"/>
          <w:color w:val="auto"/>
        </w:rPr>
      </w:pPr>
      <w:r>
        <w:rPr>
          <w:rFonts w:hint="default" w:ascii="Times New Roman" w:hAnsi="Times New Roman" w:cs="Times New Roman"/>
          <w:color w:val="auto"/>
        </w:rPr>
        <w:t>本次竣工环境保护验收监测方案依据《建设项目竣工环境保护验收技术指南污染影响类》项目</w:t>
      </w:r>
      <w:r>
        <w:rPr>
          <w:rFonts w:hint="default" w:ascii="Times New Roman" w:hAnsi="Times New Roman" w:cs="Times New Roman"/>
          <w:color w:val="auto"/>
          <w:lang w:eastAsia="zh-CN"/>
        </w:rPr>
        <w:t>提标改造设计要求</w:t>
      </w:r>
      <w:r>
        <w:rPr>
          <w:rFonts w:hint="default" w:ascii="Times New Roman" w:hAnsi="Times New Roman" w:cs="Times New Roman"/>
          <w:color w:val="auto"/>
        </w:rPr>
        <w:t>及现场实际情况编制。</w:t>
      </w:r>
    </w:p>
    <w:p>
      <w:pPr>
        <w:pStyle w:val="4"/>
        <w:bidi w:val="0"/>
        <w:rPr>
          <w:rFonts w:hint="default" w:ascii="Times New Roman" w:hAnsi="Times New Roman" w:cs="Times New Roman"/>
          <w:color w:val="auto"/>
        </w:rPr>
      </w:pPr>
      <w:bookmarkStart w:id="111" w:name="_Toc497833618"/>
      <w:bookmarkStart w:id="112" w:name="_Toc22899"/>
      <w:bookmarkStart w:id="113" w:name="_Toc6609"/>
      <w:bookmarkStart w:id="114" w:name="_Toc646"/>
      <w:r>
        <w:rPr>
          <w:rFonts w:hint="default" w:ascii="Times New Roman" w:hAnsi="Times New Roman" w:cs="Times New Roman"/>
          <w:color w:val="auto"/>
        </w:rPr>
        <w:t>7.1</w:t>
      </w:r>
      <w:bookmarkEnd w:id="111"/>
      <w:r>
        <w:rPr>
          <w:rFonts w:hint="default" w:ascii="Times New Roman" w:hAnsi="Times New Roman" w:cs="Times New Roman"/>
          <w:color w:val="auto"/>
        </w:rPr>
        <w:t>废气达标排放监测</w:t>
      </w:r>
      <w:bookmarkEnd w:id="112"/>
      <w:bookmarkEnd w:id="113"/>
    </w:p>
    <w:p>
      <w:pPr>
        <w:pStyle w:val="87"/>
        <w:bidi w:val="0"/>
        <w:rPr>
          <w:rFonts w:hint="default" w:ascii="Times New Roman" w:hAnsi="Times New Roman" w:cs="Times New Roman"/>
          <w:color w:val="auto"/>
        </w:rPr>
      </w:pPr>
      <w:r>
        <w:rPr>
          <w:rFonts w:hint="default" w:ascii="Times New Roman" w:hAnsi="Times New Roman" w:cs="Times New Roman"/>
          <w:color w:val="auto"/>
        </w:rPr>
        <w:t>根据本项目废气污染物种类、排放方式，废气监测因子、点位、频率等见表7.1-1。</w:t>
      </w:r>
    </w:p>
    <w:p>
      <w:pPr>
        <w:pStyle w:val="79"/>
        <w:bidi w:val="0"/>
        <w:rPr>
          <w:rFonts w:hint="default" w:ascii="Times New Roman" w:hAnsi="Times New Roman" w:cs="Times New Roman"/>
          <w:color w:val="auto"/>
        </w:rPr>
      </w:pPr>
      <w:r>
        <w:rPr>
          <w:rFonts w:hint="default" w:ascii="Times New Roman" w:hAnsi="Times New Roman" w:cs="Times New Roman"/>
          <w:color w:val="auto"/>
        </w:rPr>
        <w:t>表7.1-1废气监测项目、点位、频次一览表</w:t>
      </w:r>
      <w:bookmarkStart w:id="115" w:name="_Toc497833621"/>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1955"/>
        <w:gridCol w:w="3414"/>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0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监测点位数</w:t>
            </w:r>
          </w:p>
        </w:tc>
        <w:tc>
          <w:tcPr>
            <w:tcW w:w="1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无组织废气</w:t>
            </w:r>
          </w:p>
        </w:tc>
        <w:tc>
          <w:tcPr>
            <w:tcW w:w="10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厂界A1-A4</w:t>
            </w:r>
          </w:p>
        </w:tc>
        <w:tc>
          <w:tcPr>
            <w:tcW w:w="1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臭气浓度、硫化氢、氨、甲烷</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采样</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次/天，共2天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bookmarkStart w:id="116" w:name="_Toc13670"/>
            <w:r>
              <w:rPr>
                <w:rFonts w:hint="default" w:ascii="Times New Roman" w:hAnsi="Times New Roman" w:eastAsia="宋体" w:cs="Times New Roman"/>
                <w:color w:val="auto"/>
                <w:sz w:val="21"/>
                <w:szCs w:val="21"/>
                <w:lang w:val="en-US" w:eastAsia="zh-CN"/>
              </w:rPr>
              <w:t>有组织废气</w:t>
            </w:r>
          </w:p>
        </w:tc>
        <w:tc>
          <w:tcPr>
            <w:tcW w:w="10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1#排气筒</w:t>
            </w:r>
            <w:r>
              <w:rPr>
                <w:rFonts w:hint="default" w:ascii="Times New Roman" w:hAnsi="Times New Roman" w:eastAsia="宋体" w:cs="Times New Roman"/>
                <w:color w:val="auto"/>
                <w:sz w:val="21"/>
                <w:szCs w:val="21"/>
                <w:lang w:val="en-US" w:eastAsia="zh-CN"/>
              </w:rPr>
              <w:t>FQ1</w:t>
            </w:r>
          </w:p>
        </w:tc>
        <w:tc>
          <w:tcPr>
            <w:tcW w:w="1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烟气参数、</w:t>
            </w:r>
            <w:r>
              <w:rPr>
                <w:rFonts w:hint="default" w:ascii="Times New Roman" w:hAnsi="Times New Roman" w:eastAsia="宋体" w:cs="Times New Roman"/>
                <w:color w:val="auto"/>
                <w:sz w:val="21"/>
                <w:szCs w:val="21"/>
                <w:lang w:val="en-US" w:eastAsia="zh-CN"/>
              </w:rPr>
              <w:t>臭气浓度、硫化氢、氨</w:t>
            </w:r>
          </w:p>
        </w:tc>
        <w:tc>
          <w:tcPr>
            <w:tcW w:w="11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采样</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次/天，共2天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pct"/>
            <w:vMerge w:val="continue"/>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7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2#排气筒</w:t>
            </w:r>
            <w:r>
              <w:rPr>
                <w:rFonts w:hint="default" w:ascii="Times New Roman" w:hAnsi="Times New Roman" w:eastAsia="宋体" w:cs="Times New Roman"/>
                <w:color w:val="auto"/>
                <w:sz w:val="21"/>
                <w:szCs w:val="21"/>
                <w:lang w:val="en-US" w:eastAsia="zh-CN"/>
              </w:rPr>
              <w:t>FQ2</w:t>
            </w:r>
          </w:p>
        </w:tc>
        <w:tc>
          <w:tcPr>
            <w:tcW w:w="188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烟气参数、</w:t>
            </w:r>
            <w:r>
              <w:rPr>
                <w:rFonts w:hint="default" w:ascii="Times New Roman" w:hAnsi="Times New Roman" w:eastAsia="宋体" w:cs="Times New Roman"/>
                <w:color w:val="auto"/>
                <w:sz w:val="21"/>
                <w:szCs w:val="21"/>
                <w:lang w:val="en-US" w:eastAsia="zh-CN"/>
              </w:rPr>
              <w:t>臭气浓度、硫化氢、氨</w:t>
            </w:r>
          </w:p>
        </w:tc>
        <w:tc>
          <w:tcPr>
            <w:tcW w:w="118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采样</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次/天，共2天</w:t>
            </w:r>
          </w:p>
        </w:tc>
      </w:tr>
    </w:tbl>
    <w:p>
      <w:pPr>
        <w:pStyle w:val="4"/>
        <w:bidi w:val="0"/>
        <w:rPr>
          <w:rFonts w:hint="default" w:ascii="Times New Roman" w:hAnsi="Times New Roman" w:cs="Times New Roman"/>
          <w:color w:val="auto"/>
        </w:rPr>
      </w:pPr>
      <w:bookmarkStart w:id="117" w:name="_Toc12348"/>
      <w:r>
        <w:rPr>
          <w:rFonts w:hint="default" w:ascii="Times New Roman" w:hAnsi="Times New Roman" w:cs="Times New Roman"/>
          <w:color w:val="auto"/>
        </w:rPr>
        <w:t>7.2废水达标排放监测</w:t>
      </w:r>
      <w:bookmarkEnd w:id="116"/>
      <w:bookmarkEnd w:id="117"/>
    </w:p>
    <w:p>
      <w:pPr>
        <w:pStyle w:val="87"/>
        <w:bidi w:val="0"/>
        <w:rPr>
          <w:rFonts w:hint="default" w:ascii="Times New Roman" w:hAnsi="Times New Roman" w:cs="Times New Roman"/>
          <w:color w:val="auto"/>
        </w:rPr>
      </w:pPr>
      <w:r>
        <w:rPr>
          <w:rFonts w:hint="default" w:ascii="Times New Roman" w:hAnsi="Times New Roman" w:cs="Times New Roman"/>
          <w:color w:val="auto"/>
        </w:rPr>
        <w:t>根据本项目废水污染物种类、排放方式，废水监测因子、点位、频率等见表7.2-1。</w:t>
      </w:r>
    </w:p>
    <w:p>
      <w:pPr>
        <w:pStyle w:val="79"/>
        <w:bidi w:val="0"/>
        <w:rPr>
          <w:rFonts w:hint="default" w:ascii="Times New Roman" w:hAnsi="Times New Roman" w:cs="Times New Roman"/>
          <w:color w:val="auto"/>
        </w:rPr>
      </w:pPr>
      <w:r>
        <w:rPr>
          <w:rFonts w:hint="default" w:ascii="Times New Roman" w:hAnsi="Times New Roman" w:cs="Times New Roman"/>
          <w:color w:val="auto"/>
        </w:rPr>
        <w:t>表7.2-1废水监测项目、点位、频次一览表</w:t>
      </w:r>
    </w:p>
    <w:tbl>
      <w:tblPr>
        <w:tblStyle w:val="3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2048"/>
        <w:gridCol w:w="4327"/>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9" w:type="dxa"/>
            <w:tcBorders>
              <w:tl2br w:val="nil"/>
              <w:tr2bl w:val="nil"/>
            </w:tcBorders>
            <w:noWrap w:val="0"/>
            <w:vAlign w:val="center"/>
          </w:tcPr>
          <w:p>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w w:val="100"/>
                <w:sz w:val="21"/>
                <w:szCs w:val="21"/>
                <w:lang w:val="en-US" w:eastAsia="zh-CN"/>
              </w:rPr>
            </w:pPr>
            <w:r>
              <w:rPr>
                <w:rFonts w:hint="default" w:ascii="Times New Roman" w:hAnsi="Times New Roman" w:eastAsia="宋体" w:cs="Times New Roman"/>
                <w:b/>
                <w:bCs w:val="0"/>
                <w:color w:val="auto"/>
                <w:spacing w:val="0"/>
                <w:w w:val="100"/>
                <w:sz w:val="21"/>
                <w:szCs w:val="21"/>
                <w:lang w:val="en-US" w:eastAsia="zh-CN"/>
              </w:rPr>
              <w:t>项目</w:t>
            </w:r>
          </w:p>
        </w:tc>
        <w:tc>
          <w:tcPr>
            <w:tcW w:w="2048" w:type="dxa"/>
            <w:tcBorders>
              <w:tl2br w:val="nil"/>
              <w:tr2bl w:val="nil"/>
            </w:tcBorders>
            <w:noWrap w:val="0"/>
            <w:vAlign w:val="center"/>
          </w:tcPr>
          <w:p>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w w:val="100"/>
                <w:sz w:val="21"/>
                <w:szCs w:val="21"/>
                <w:lang w:val="en-US" w:eastAsia="zh-CN"/>
              </w:rPr>
            </w:pPr>
            <w:r>
              <w:rPr>
                <w:rFonts w:hint="default" w:ascii="Times New Roman" w:hAnsi="Times New Roman" w:eastAsia="宋体" w:cs="Times New Roman"/>
                <w:b/>
                <w:bCs w:val="0"/>
                <w:color w:val="auto"/>
                <w:spacing w:val="0"/>
                <w:w w:val="100"/>
                <w:sz w:val="21"/>
                <w:szCs w:val="21"/>
                <w:lang w:val="en-US" w:eastAsia="zh-CN"/>
              </w:rPr>
              <w:t>监测点位数</w:t>
            </w:r>
          </w:p>
        </w:tc>
        <w:tc>
          <w:tcPr>
            <w:tcW w:w="4327" w:type="dxa"/>
            <w:tcBorders>
              <w:tl2br w:val="nil"/>
              <w:tr2bl w:val="nil"/>
            </w:tcBorders>
            <w:noWrap w:val="0"/>
            <w:vAlign w:val="center"/>
          </w:tcPr>
          <w:p>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w w:val="100"/>
                <w:sz w:val="21"/>
                <w:szCs w:val="21"/>
                <w:lang w:val="en-US" w:eastAsia="zh-CN"/>
              </w:rPr>
            </w:pPr>
            <w:r>
              <w:rPr>
                <w:rFonts w:hint="default" w:ascii="Times New Roman" w:hAnsi="Times New Roman" w:eastAsia="宋体" w:cs="Times New Roman"/>
                <w:b/>
                <w:bCs w:val="0"/>
                <w:color w:val="auto"/>
                <w:spacing w:val="0"/>
                <w:w w:val="100"/>
                <w:sz w:val="21"/>
                <w:szCs w:val="21"/>
                <w:lang w:val="en-US" w:eastAsia="zh-CN"/>
              </w:rPr>
              <w:t>监测因子</w:t>
            </w:r>
          </w:p>
        </w:tc>
        <w:tc>
          <w:tcPr>
            <w:tcW w:w="1636" w:type="dxa"/>
            <w:tcBorders>
              <w:tl2br w:val="nil"/>
              <w:tr2bl w:val="nil"/>
            </w:tcBorders>
            <w:noWrap w:val="0"/>
            <w:vAlign w:val="center"/>
          </w:tcPr>
          <w:p>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w w:val="100"/>
                <w:sz w:val="21"/>
                <w:szCs w:val="21"/>
                <w:lang w:val="en-US" w:eastAsia="zh-CN"/>
              </w:rPr>
            </w:pPr>
            <w:r>
              <w:rPr>
                <w:rFonts w:hint="default" w:ascii="Times New Roman" w:hAnsi="Times New Roman" w:eastAsia="宋体" w:cs="Times New Roman"/>
                <w:b/>
                <w:bCs w:val="0"/>
                <w:color w:val="auto"/>
                <w:spacing w:val="0"/>
                <w:w w:val="100"/>
                <w:sz w:val="21"/>
                <w:szCs w:val="21"/>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049" w:type="dxa"/>
            <w:vMerge w:val="restart"/>
            <w:tcBorders>
              <w:tl2br w:val="nil"/>
              <w:tr2bl w:val="nil"/>
            </w:tcBorders>
            <w:noWrap w:val="0"/>
            <w:vAlign w:val="center"/>
          </w:tcPr>
          <w:p>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pacing w:val="0"/>
                <w:w w:val="100"/>
                <w:sz w:val="21"/>
                <w:szCs w:val="21"/>
                <w:lang w:val="en-US" w:eastAsia="zh-CN"/>
              </w:rPr>
            </w:pPr>
            <w:r>
              <w:rPr>
                <w:rFonts w:hint="default" w:ascii="Times New Roman" w:hAnsi="Times New Roman" w:eastAsia="宋体" w:cs="Times New Roman"/>
                <w:b w:val="0"/>
                <w:bCs/>
                <w:color w:val="auto"/>
                <w:spacing w:val="0"/>
                <w:w w:val="100"/>
                <w:sz w:val="21"/>
                <w:szCs w:val="21"/>
                <w:lang w:val="en-US" w:eastAsia="zh-CN"/>
              </w:rPr>
              <w:t>废水</w:t>
            </w:r>
          </w:p>
        </w:tc>
        <w:tc>
          <w:tcPr>
            <w:tcW w:w="20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进水口</w:t>
            </w:r>
            <w:r>
              <w:rPr>
                <w:rFonts w:hint="default" w:ascii="Times New Roman" w:hAnsi="Times New Roman" w:eastAsia="宋体" w:cs="Times New Roman"/>
                <w:color w:val="auto"/>
                <w:sz w:val="21"/>
                <w:szCs w:val="21"/>
              </w:rPr>
              <w:t>WS1</w:t>
            </w:r>
          </w:p>
        </w:tc>
        <w:tc>
          <w:tcPr>
            <w:tcW w:w="43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pH值、</w:t>
            </w:r>
            <w:r>
              <w:rPr>
                <w:rFonts w:hint="default" w:ascii="Times New Roman" w:hAnsi="Times New Roman" w:eastAsia="宋体" w:cs="Times New Roman"/>
                <w:color w:val="auto"/>
                <w:sz w:val="21"/>
                <w:szCs w:val="21"/>
                <w:lang w:val="en-US" w:eastAsia="zh-CN"/>
              </w:rPr>
              <w:t>化学需氧量、五日生化需氧量、悬浮物、氨氮、总磷、总氮、石油类、动植物油、阴离子表面活性剂、粪大肠菌群、色度</w:t>
            </w:r>
          </w:p>
        </w:tc>
        <w:tc>
          <w:tcPr>
            <w:tcW w:w="1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采样4次/天，共2天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049" w:type="dxa"/>
            <w:vMerge w:val="continue"/>
          </w:tcPr>
          <w:p>
            <w:pPr>
              <w:pStyle w:val="1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pacing w:val="0"/>
                <w:w w:val="100"/>
                <w:sz w:val="21"/>
                <w:szCs w:val="21"/>
                <w:lang w:val="en-US" w:eastAsia="zh-CN"/>
              </w:rPr>
            </w:pPr>
            <w:bookmarkStart w:id="118" w:name="_Toc21340"/>
          </w:p>
        </w:tc>
        <w:tc>
          <w:tcPr>
            <w:tcW w:w="20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排污口</w:t>
            </w:r>
            <w:r>
              <w:rPr>
                <w:rFonts w:hint="default" w:ascii="Times New Roman" w:hAnsi="Times New Roman" w:eastAsia="宋体" w:cs="Times New Roman"/>
                <w:color w:val="auto"/>
                <w:sz w:val="21"/>
                <w:szCs w:val="21"/>
              </w:rPr>
              <w:t>WS</w:t>
            </w:r>
            <w:r>
              <w:rPr>
                <w:rFonts w:hint="default" w:ascii="Times New Roman" w:hAnsi="Times New Roman" w:eastAsia="宋体" w:cs="Times New Roman"/>
                <w:color w:val="auto"/>
                <w:sz w:val="21"/>
                <w:szCs w:val="21"/>
                <w:lang w:val="en-US" w:eastAsia="zh-CN"/>
              </w:rPr>
              <w:t>2</w:t>
            </w:r>
          </w:p>
        </w:tc>
        <w:tc>
          <w:tcPr>
            <w:tcW w:w="43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pH值、</w:t>
            </w:r>
            <w:r>
              <w:rPr>
                <w:rFonts w:hint="default" w:ascii="Times New Roman" w:hAnsi="Times New Roman" w:eastAsia="宋体" w:cs="Times New Roman"/>
                <w:color w:val="auto"/>
                <w:sz w:val="21"/>
                <w:szCs w:val="21"/>
                <w:lang w:val="en-US" w:eastAsia="zh-CN"/>
              </w:rPr>
              <w:t>化学需氧量、五日生化需氧量、悬浮物、氨氮、总磷、总氮、石油类、动植物油、阴离子表面活性剂、粪大肠菌群、色度</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采样4次/天，共2天</w:t>
            </w:r>
          </w:p>
        </w:tc>
      </w:tr>
    </w:tbl>
    <w:p>
      <w:pPr>
        <w:pStyle w:val="4"/>
        <w:bidi w:val="0"/>
        <w:rPr>
          <w:rFonts w:hint="default" w:ascii="Times New Roman" w:hAnsi="Times New Roman" w:cs="Times New Roman"/>
          <w:color w:val="auto"/>
        </w:rPr>
      </w:pPr>
      <w:bookmarkStart w:id="119" w:name="_Toc30400"/>
      <w:r>
        <w:rPr>
          <w:rFonts w:hint="default" w:ascii="Times New Roman" w:hAnsi="Times New Roman" w:cs="Times New Roman"/>
          <w:color w:val="auto"/>
        </w:rPr>
        <w:t>7.3厂界噪声</w:t>
      </w:r>
      <w:bookmarkEnd w:id="115"/>
      <w:r>
        <w:rPr>
          <w:rFonts w:hint="default" w:ascii="Times New Roman" w:hAnsi="Times New Roman" w:cs="Times New Roman"/>
          <w:color w:val="auto"/>
        </w:rPr>
        <w:t>达标监测</w:t>
      </w:r>
      <w:bookmarkEnd w:id="118"/>
      <w:bookmarkEnd w:id="119"/>
    </w:p>
    <w:p>
      <w:pPr>
        <w:pStyle w:val="87"/>
        <w:bidi w:val="0"/>
        <w:rPr>
          <w:rFonts w:hint="default" w:ascii="Times New Roman" w:hAnsi="Times New Roman" w:cs="Times New Roman"/>
          <w:color w:val="auto"/>
        </w:rPr>
      </w:pPr>
      <w:r>
        <w:rPr>
          <w:rFonts w:hint="default" w:ascii="Times New Roman" w:hAnsi="Times New Roman" w:cs="Times New Roman"/>
          <w:color w:val="auto"/>
        </w:rPr>
        <w:t>噪声监测点位设置</w:t>
      </w:r>
      <w:r>
        <w:rPr>
          <w:rFonts w:hint="default" w:ascii="Times New Roman" w:hAnsi="Times New Roman" w:cs="Times New Roman"/>
          <w:color w:val="auto"/>
          <w:lang w:val="en-US" w:eastAsia="zh-CN"/>
        </w:rPr>
        <w:t>厂界四周</w:t>
      </w:r>
      <w:r>
        <w:rPr>
          <w:rFonts w:hint="default" w:ascii="Times New Roman" w:hAnsi="Times New Roman" w:cs="Times New Roman"/>
          <w:color w:val="auto"/>
        </w:rPr>
        <w:t>。</w:t>
      </w:r>
    </w:p>
    <w:p>
      <w:pPr>
        <w:pStyle w:val="79"/>
        <w:bidi w:val="0"/>
        <w:rPr>
          <w:rFonts w:hint="default" w:ascii="Times New Roman" w:hAnsi="Times New Roman" w:cs="Times New Roman"/>
          <w:color w:val="auto"/>
        </w:rPr>
      </w:pPr>
      <w:r>
        <w:rPr>
          <w:rFonts w:hint="default" w:ascii="Times New Roman" w:hAnsi="Times New Roman" w:cs="Times New Roman"/>
          <w:color w:val="auto"/>
        </w:rPr>
        <w:t>表7.3-1噪声监测项目、点位、频次一览表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 w:type="dxa"/>
          <w:left w:w="108" w:type="dxa"/>
          <w:bottom w:w="11" w:type="dxa"/>
          <w:right w:w="108" w:type="dxa"/>
        </w:tblCellMar>
      </w:tblPr>
      <w:tblGrid>
        <w:gridCol w:w="2232"/>
        <w:gridCol w:w="3239"/>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369" w:hRule="atLeast"/>
          <w:jc w:val="center"/>
        </w:trPr>
        <w:tc>
          <w:tcPr>
            <w:tcW w:w="1232" w:type="pct"/>
            <w:tcBorders>
              <w:tl2br w:val="nil"/>
              <w:tr2bl w:val="nil"/>
            </w:tcBorders>
            <w:noWrap w:val="0"/>
            <w:vAlign w:val="center"/>
          </w:tcPr>
          <w:p>
            <w:pPr>
              <w:pStyle w:val="128"/>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监测项目</w:t>
            </w:r>
          </w:p>
        </w:tc>
        <w:tc>
          <w:tcPr>
            <w:tcW w:w="1788" w:type="pct"/>
            <w:tcBorders>
              <w:tl2br w:val="nil"/>
              <w:tr2bl w:val="nil"/>
            </w:tcBorders>
            <w:noWrap w:val="0"/>
            <w:vAlign w:val="center"/>
          </w:tcPr>
          <w:p>
            <w:pPr>
              <w:pStyle w:val="128"/>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监测点位</w:t>
            </w:r>
          </w:p>
        </w:tc>
        <w:tc>
          <w:tcPr>
            <w:tcW w:w="1979" w:type="pct"/>
            <w:tcBorders>
              <w:tl2br w:val="nil"/>
              <w:tr2bl w:val="nil"/>
            </w:tcBorders>
            <w:noWrap w:val="0"/>
            <w:vAlign w:val="center"/>
          </w:tcPr>
          <w:p>
            <w:pPr>
              <w:pStyle w:val="128"/>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108" w:type="dxa"/>
            <w:bottom w:w="11" w:type="dxa"/>
            <w:right w:w="108" w:type="dxa"/>
          </w:tblCellMar>
        </w:tblPrEx>
        <w:trPr>
          <w:trHeight w:val="369" w:hRule="atLeast"/>
          <w:jc w:val="center"/>
        </w:trPr>
        <w:tc>
          <w:tcPr>
            <w:tcW w:w="1232" w:type="pct"/>
            <w:tcBorders>
              <w:tl2br w:val="nil"/>
              <w:tr2bl w:val="nil"/>
            </w:tcBorders>
            <w:noWrap w:val="0"/>
            <w:vAlign w:val="center"/>
          </w:tcPr>
          <w:p>
            <w:pPr>
              <w:pStyle w:val="128"/>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厂界噪声</w:t>
            </w:r>
          </w:p>
        </w:tc>
        <w:tc>
          <w:tcPr>
            <w:tcW w:w="17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z w:val="21"/>
                <w:szCs w:val="21"/>
              </w:rPr>
              <w:t>厂界C1-C4</w:t>
            </w:r>
          </w:p>
        </w:tc>
        <w:tc>
          <w:tcPr>
            <w:tcW w:w="19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z w:val="21"/>
                <w:szCs w:val="21"/>
              </w:rPr>
              <w:t>昼夜各监测1次，共2天</w:t>
            </w:r>
          </w:p>
        </w:tc>
      </w:tr>
    </w:tbl>
    <w:p>
      <w:pP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69865" cy="4011930"/>
            <wp:effectExtent l="0" t="0" r="317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5"/>
                    <a:stretch>
                      <a:fillRect/>
                    </a:stretch>
                  </pic:blipFill>
                  <pic:spPr>
                    <a:xfrm>
                      <a:off x="0" y="0"/>
                      <a:ext cx="5269865" cy="4011930"/>
                    </a:xfrm>
                    <a:prstGeom prst="rect">
                      <a:avLst/>
                    </a:prstGeom>
                    <a:noFill/>
                    <a:ln>
                      <a:noFill/>
                    </a:ln>
                  </pic:spPr>
                </pic:pic>
              </a:graphicData>
            </a:graphic>
          </wp:inline>
        </w:drawing>
      </w:r>
    </w:p>
    <w:p>
      <w:pPr>
        <w:pStyle w:val="87"/>
        <w:bidi w:val="0"/>
        <w:jc w:val="both"/>
        <w:rPr>
          <w:rFonts w:hint="default" w:ascii="Times New Roman" w:hAnsi="Times New Roman" w:cs="Times New Roman"/>
          <w:b w:val="0"/>
          <w:bCs w:val="0"/>
          <w:color w:val="auto"/>
          <w:lang w:eastAsia="zh-CN"/>
        </w:rPr>
      </w:pPr>
      <w:r>
        <w:rPr>
          <w:rFonts w:hint="default" w:ascii="Times New Roman" w:hAnsi="Times New Roman" w:cs="Times New Roman"/>
          <w:b w:val="0"/>
          <w:bCs w:val="0"/>
          <w:color w:val="auto"/>
          <w:lang w:eastAsia="zh-CN"/>
        </w:rPr>
        <w:t>备注：◎为有组织废气监测点，★为废水监测点，</w:t>
      </w:r>
    </w:p>
    <w:p>
      <w:pPr>
        <w:pStyle w:val="87"/>
        <w:bidi w:val="0"/>
        <w:ind w:firstLine="1200" w:firstLineChars="500"/>
        <w:jc w:val="both"/>
        <w:rPr>
          <w:rFonts w:hint="default" w:ascii="Times New Roman" w:hAnsi="Times New Roman" w:cs="Times New Roman"/>
          <w:b/>
          <w:bCs/>
          <w:color w:val="auto"/>
          <w:lang w:eastAsia="zh-CN"/>
        </w:rPr>
      </w:pPr>
      <w:r>
        <w:rPr>
          <w:rFonts w:hint="default" w:ascii="Times New Roman" w:hAnsi="Times New Roman" w:cs="Times New Roman"/>
          <w:b w:val="0"/>
          <w:bCs w:val="0"/>
          <w:color w:val="auto"/>
          <w:lang w:eastAsia="zh-CN"/>
        </w:rPr>
        <w:t>▲为厂界噪声监测点，○为无组织废气监测点。</w:t>
      </w:r>
    </w:p>
    <w:p>
      <w:pPr>
        <w:pStyle w:val="87"/>
        <w:bidi w:val="0"/>
        <w:jc w:val="center"/>
        <w:rPr>
          <w:rFonts w:hint="default" w:ascii="Times New Roman" w:hAnsi="Times New Roman" w:cs="Times New Roman"/>
          <w:color w:val="auto"/>
          <w:lang w:val="en-US" w:eastAsia="zh-CN"/>
        </w:rPr>
        <w:sectPr>
          <w:pgSz w:w="11907" w:h="16840"/>
          <w:pgMar w:top="1440" w:right="1531" w:bottom="1440" w:left="1531" w:header="850" w:footer="851" w:gutter="0"/>
          <w:pgBorders>
            <w:top w:val="none" w:sz="0" w:space="0"/>
            <w:left w:val="none" w:sz="0" w:space="0"/>
            <w:bottom w:val="none" w:sz="0" w:space="0"/>
            <w:right w:val="none" w:sz="0" w:space="0"/>
          </w:pgBorders>
          <w:pgNumType w:fmt="decimal"/>
          <w:cols w:space="720" w:num="1"/>
          <w:rtlGutter w:val="0"/>
          <w:docGrid w:linePitch="299" w:charSpace="0"/>
        </w:sect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7-1监测布点图</w:t>
      </w:r>
    </w:p>
    <w:bookmarkEnd w:id="114"/>
    <w:p>
      <w:pPr>
        <w:pStyle w:val="3"/>
        <w:bidi w:val="0"/>
        <w:rPr>
          <w:rFonts w:hint="default" w:ascii="Times New Roman" w:hAnsi="Times New Roman" w:cs="Times New Roman"/>
          <w:color w:val="auto"/>
        </w:rPr>
      </w:pPr>
      <w:bookmarkStart w:id="120" w:name="_Toc29707"/>
      <w:bookmarkStart w:id="121" w:name="_Toc13900"/>
      <w:r>
        <w:rPr>
          <w:rFonts w:hint="default" w:ascii="Times New Roman" w:hAnsi="Times New Roman" w:cs="Times New Roman"/>
          <w:color w:val="auto"/>
        </w:rPr>
        <w:t>8质量保证和质量控制</w:t>
      </w:r>
      <w:bookmarkEnd w:id="120"/>
      <w:bookmarkEnd w:id="121"/>
    </w:p>
    <w:p>
      <w:pPr>
        <w:pStyle w:val="87"/>
        <w:bidi w:val="0"/>
        <w:rPr>
          <w:rFonts w:hint="default" w:ascii="Times New Roman" w:hAnsi="Times New Roman" w:cs="Times New Roman"/>
          <w:color w:val="auto"/>
        </w:rPr>
      </w:pPr>
      <w:r>
        <w:rPr>
          <w:rFonts w:hint="default" w:ascii="Times New Roman" w:hAnsi="Times New Roman" w:cs="Times New Roman"/>
          <w:color w:val="auto"/>
        </w:rPr>
        <w:t>验收监测单位为</w:t>
      </w:r>
      <w:r>
        <w:rPr>
          <w:rFonts w:hint="default" w:ascii="Times New Roman" w:hAnsi="Times New Roman" w:cs="Times New Roman"/>
          <w:color w:val="auto"/>
          <w:lang w:val="en-US" w:eastAsia="zh-CN"/>
        </w:rPr>
        <w:t>重庆惠能标普科技有限公司</w:t>
      </w:r>
      <w:r>
        <w:rPr>
          <w:rFonts w:hint="default" w:ascii="Times New Roman" w:hAnsi="Times New Roman" w:cs="Times New Roman"/>
          <w:color w:val="auto"/>
        </w:rPr>
        <w:t>，监测过程中的质量保证措施按国家环境保护总局颁发的《环境监测质量保证管理规定》（暂行）的要求进行，实施全过程质量保证。保证了监测过程中生产工况负荷满足验收监测技术规范要求和各监测点位布置的科学性和可比性；监测分析方法采用国家有关部门颁布的标准（或推荐）分析方法，监测人员经过考核并持有合格证书；监测数据实行了三级审核制度，经过校对、校核，最后由技术负责人审定。</w:t>
      </w:r>
    </w:p>
    <w:p>
      <w:pPr>
        <w:pStyle w:val="4"/>
        <w:bidi w:val="0"/>
        <w:rPr>
          <w:rFonts w:hint="default" w:ascii="Times New Roman" w:hAnsi="Times New Roman" w:cs="Times New Roman"/>
          <w:color w:val="auto"/>
        </w:rPr>
      </w:pPr>
      <w:bookmarkStart w:id="122" w:name="_Toc15560"/>
      <w:bookmarkStart w:id="123" w:name="_Toc13653"/>
      <w:r>
        <w:rPr>
          <w:rFonts w:hint="default" w:ascii="Times New Roman" w:hAnsi="Times New Roman" w:cs="Times New Roman"/>
          <w:color w:val="auto"/>
        </w:rPr>
        <w:t>8.1监测分析方法及检测仪器</w:t>
      </w:r>
      <w:bookmarkEnd w:id="122"/>
      <w:bookmarkEnd w:id="123"/>
    </w:p>
    <w:p>
      <w:pPr>
        <w:pStyle w:val="87"/>
        <w:ind w:firstLine="480"/>
        <w:rPr>
          <w:rFonts w:hint="default" w:ascii="Times New Roman" w:hAnsi="Times New Roman" w:eastAsia="宋体" w:cs="Times New Roman"/>
          <w:color w:val="auto"/>
        </w:rPr>
      </w:pPr>
      <w:bookmarkStart w:id="124" w:name="_Toc29908348"/>
      <w:bookmarkStart w:id="125" w:name="_Toc29824718"/>
      <w:r>
        <w:rPr>
          <w:rFonts w:hint="default" w:ascii="Times New Roman" w:hAnsi="Times New Roman" w:eastAsia="宋体" w:cs="Times New Roman"/>
          <w:color w:val="auto"/>
        </w:rPr>
        <w:t>本项目监测方法见表8.1</w:t>
      </w:r>
      <w:r>
        <w:rPr>
          <w:rFonts w:hint="default" w:ascii="Times New Roman" w:hAnsi="Times New Roman" w:cs="Times New Roman"/>
          <w:color w:val="auto"/>
          <w:lang w:val="en-US" w:eastAsia="zh-CN"/>
        </w:rPr>
        <w:t>-1，监测分析仪器见表8.1-2</w:t>
      </w:r>
      <w:r>
        <w:rPr>
          <w:rFonts w:hint="default" w:ascii="Times New Roman" w:hAnsi="Times New Roman" w:eastAsia="宋体" w:cs="Times New Roman"/>
          <w:color w:val="auto"/>
        </w:rPr>
        <w:t>。</w:t>
      </w:r>
    </w:p>
    <w:p>
      <w:pPr>
        <w:pStyle w:val="76"/>
        <w:bidi w:val="0"/>
        <w:rPr>
          <w:rFonts w:hint="default" w:ascii="Times New Roman" w:hAnsi="Times New Roman" w:cs="Times New Roman"/>
          <w:color w:val="auto"/>
        </w:rPr>
      </w:pPr>
      <w:r>
        <w:rPr>
          <w:rFonts w:hint="default" w:ascii="Times New Roman" w:hAnsi="Times New Roman" w:cs="Times New Roman"/>
          <w:color w:val="auto"/>
        </w:rPr>
        <w:t>表8.1</w:t>
      </w:r>
      <w:r>
        <w:rPr>
          <w:rFonts w:hint="default" w:ascii="Times New Roman" w:hAnsi="Times New Roman" w:cs="Times New Roman"/>
          <w:color w:val="auto"/>
          <w:lang w:val="en-US" w:eastAsia="zh-CN"/>
        </w:rPr>
        <w:t>-1</w:t>
      </w:r>
      <w:r>
        <w:rPr>
          <w:rFonts w:hint="default" w:ascii="Times New Roman" w:hAnsi="Times New Roman" w:cs="Times New Roman"/>
          <w:color w:val="auto"/>
        </w:rPr>
        <w:t>监测方法</w:t>
      </w:r>
    </w:p>
    <w:bookmarkEnd w:id="124"/>
    <w:bookmarkEnd w:id="125"/>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8"/>
        <w:gridCol w:w="5216"/>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36" w:type="pct"/>
            <w:vAlign w:val="center"/>
          </w:tcPr>
          <w:p>
            <w:pPr>
              <w:jc w:val="center"/>
              <w:rPr>
                <w:rFonts w:hint="default" w:ascii="Times New Roman" w:hAnsi="Times New Roman" w:eastAsia="宋体" w:cs="Times New Roman"/>
                <w:b/>
                <w:bCs/>
                <w:color w:val="auto"/>
                <w:sz w:val="21"/>
                <w:szCs w:val="21"/>
              </w:rPr>
            </w:pPr>
            <w:bookmarkStart w:id="126" w:name="_Toc17688"/>
            <w:r>
              <w:rPr>
                <w:rFonts w:hint="default" w:ascii="Times New Roman" w:hAnsi="Times New Roman" w:eastAsia="宋体" w:cs="Times New Roman"/>
                <w:b/>
                <w:bCs/>
                <w:color w:val="auto"/>
                <w:sz w:val="21"/>
                <w:szCs w:val="21"/>
              </w:rPr>
              <w:t>监测项目</w:t>
            </w:r>
          </w:p>
        </w:tc>
        <w:tc>
          <w:tcPr>
            <w:tcW w:w="2878"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监测方法</w:t>
            </w:r>
          </w:p>
        </w:tc>
        <w:tc>
          <w:tcPr>
            <w:tcW w:w="984"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pH值</w:t>
            </w:r>
          </w:p>
        </w:tc>
        <w:tc>
          <w:tcPr>
            <w:tcW w:w="2878"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水质 pH值的测定 电极法</w:t>
            </w:r>
          </w:p>
        </w:tc>
        <w:tc>
          <w:tcPr>
            <w:tcW w:w="984"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化学需氧量</w:t>
            </w:r>
          </w:p>
        </w:tc>
        <w:tc>
          <w:tcPr>
            <w:tcW w:w="2878"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水质 化学需氧量的测定 重铬酸盐法</w:t>
            </w:r>
          </w:p>
        </w:tc>
        <w:tc>
          <w:tcPr>
            <w:tcW w:w="984"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悬浮物</w:t>
            </w:r>
          </w:p>
        </w:tc>
        <w:tc>
          <w:tcPr>
            <w:tcW w:w="2878"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水质 悬浮物的测定 重量法</w:t>
            </w:r>
          </w:p>
        </w:tc>
        <w:tc>
          <w:tcPr>
            <w:tcW w:w="984"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GB/T11901-1989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氨氮</w:t>
            </w:r>
          </w:p>
        </w:tc>
        <w:tc>
          <w:tcPr>
            <w:tcW w:w="2878"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水质 氨氮的测定蒸馏-中和滴定法</w:t>
            </w:r>
          </w:p>
        </w:tc>
        <w:tc>
          <w:tcPr>
            <w:tcW w:w="984"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HJ 537-2009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石油类、动植物油</w:t>
            </w:r>
          </w:p>
        </w:tc>
        <w:tc>
          <w:tcPr>
            <w:tcW w:w="2878"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水质 石油类和动植物油类的测定 红外分光光度法</w:t>
            </w:r>
          </w:p>
        </w:tc>
        <w:tc>
          <w:tcPr>
            <w:tcW w:w="984"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HJ 637-2018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五日生化需氧量</w:t>
            </w:r>
          </w:p>
        </w:tc>
        <w:tc>
          <w:tcPr>
            <w:tcW w:w="2878"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水质 五日生化需氧量（BOD</w:t>
            </w:r>
            <w:r>
              <w:rPr>
                <w:rFonts w:hint="default" w:ascii="Times New Roman" w:hAnsi="Times New Roman" w:eastAsia="宋体" w:cs="Times New Roman"/>
                <w:color w:val="auto"/>
                <w:kern w:val="0"/>
                <w:sz w:val="21"/>
                <w:szCs w:val="21"/>
                <w:vertAlign w:val="subscript"/>
              </w:rPr>
              <w:t>5</w:t>
            </w:r>
            <w:r>
              <w:rPr>
                <w:rFonts w:hint="default" w:ascii="Times New Roman" w:hAnsi="Times New Roman" w:eastAsia="宋体" w:cs="Times New Roman"/>
                <w:color w:val="auto"/>
                <w:kern w:val="0"/>
                <w:sz w:val="21"/>
                <w:szCs w:val="21"/>
              </w:rPr>
              <w:t>）的测定 稀释与接种法</w:t>
            </w:r>
          </w:p>
        </w:tc>
        <w:tc>
          <w:tcPr>
            <w:tcW w:w="984"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287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总磷的测定 钼酸铵分光光度法</w:t>
            </w:r>
          </w:p>
        </w:tc>
        <w:tc>
          <w:tcPr>
            <w:tcW w:w="9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287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总氮的测定 碱性过硫酸钾消解紫外分光光度法</w:t>
            </w:r>
          </w:p>
        </w:tc>
        <w:tc>
          <w:tcPr>
            <w:tcW w:w="9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HJ636-2012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烟气参数</w:t>
            </w:r>
          </w:p>
        </w:tc>
        <w:tc>
          <w:tcPr>
            <w:tcW w:w="2878"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固定污染源排气中颗粒物测定与气态污染物采样方法</w:t>
            </w:r>
          </w:p>
        </w:tc>
        <w:tc>
          <w:tcPr>
            <w:tcW w:w="984"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GB/T16157-1996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厂界噪声</w:t>
            </w:r>
          </w:p>
        </w:tc>
        <w:tc>
          <w:tcPr>
            <w:tcW w:w="2878"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工业企业厂界环境噪声排放标准</w:t>
            </w:r>
          </w:p>
        </w:tc>
        <w:tc>
          <w:tcPr>
            <w:tcW w:w="984"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硫化氢</w:t>
            </w:r>
          </w:p>
        </w:tc>
        <w:tc>
          <w:tcPr>
            <w:tcW w:w="287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《空气和废气监测分析方法》（第四版）（5.4.10.3亚甲蓝分光光度法）</w:t>
            </w:r>
            <w:r>
              <w:rPr>
                <w:rFonts w:hint="default" w:ascii="Times New Roman" w:hAnsi="Times New Roman" w:eastAsia="宋体" w:cs="Times New Roman"/>
                <w:color w:val="auto"/>
                <w:kern w:val="0"/>
                <w:sz w:val="21"/>
                <w:szCs w:val="21"/>
              </w:rPr>
              <w:t>国家环境保护总局（2003 年）</w:t>
            </w:r>
          </w:p>
        </w:tc>
        <w:tc>
          <w:tcPr>
            <w:tcW w:w="9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氨</w:t>
            </w:r>
          </w:p>
        </w:tc>
        <w:tc>
          <w:tcPr>
            <w:tcW w:w="287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环境空气和废气 氨的测定 纳氏试剂分光光度法</w:t>
            </w:r>
          </w:p>
        </w:tc>
        <w:tc>
          <w:tcPr>
            <w:tcW w:w="9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tc>
        <w:tc>
          <w:tcPr>
            <w:tcW w:w="287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空气质量 恶臭的测定 三点比较式臭袋法</w:t>
            </w:r>
          </w:p>
        </w:tc>
        <w:tc>
          <w:tcPr>
            <w:tcW w:w="9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GB/T14675-1993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2878"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色度的测定 稀释倍数法</w:t>
            </w:r>
          </w:p>
        </w:tc>
        <w:tc>
          <w:tcPr>
            <w:tcW w:w="9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1182-2021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adjustRightInd w:val="0"/>
              <w:snapToGrid w:val="0"/>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2878" w:type="pct"/>
            <w:vAlign w:val="center"/>
          </w:tcPr>
          <w:p>
            <w:pPr>
              <w:spacing w:line="276"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水质 阴离子表面活性剂的测定 亚甲蓝分光光度法</w:t>
            </w:r>
          </w:p>
        </w:tc>
        <w:tc>
          <w:tcPr>
            <w:tcW w:w="984" w:type="pct"/>
            <w:vAlign w:val="center"/>
          </w:tcPr>
          <w:p>
            <w:pPr>
              <w:spacing w:line="276"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GB/T 7494-1987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spacing w:line="276"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粪大肠菌群</w:t>
            </w:r>
          </w:p>
        </w:tc>
        <w:tc>
          <w:tcPr>
            <w:tcW w:w="2878" w:type="pct"/>
            <w:vAlign w:val="center"/>
          </w:tcPr>
          <w:p>
            <w:pPr>
              <w:spacing w:line="276"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水质 粪大肠菌群的测定 多管发酵法和滤膜法（试行） </w:t>
            </w:r>
          </w:p>
        </w:tc>
        <w:tc>
          <w:tcPr>
            <w:tcW w:w="984"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HJ/T347-2007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6" w:type="pct"/>
            <w:vAlign w:val="center"/>
          </w:tcPr>
          <w:p>
            <w:pPr>
              <w:spacing w:line="27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甲烷</w:t>
            </w:r>
          </w:p>
        </w:tc>
        <w:tc>
          <w:tcPr>
            <w:tcW w:w="2878"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环境空气 总烃、甲烷和非甲烷总烃的测定 直接进样—气相色谱法</w:t>
            </w:r>
          </w:p>
        </w:tc>
        <w:tc>
          <w:tcPr>
            <w:tcW w:w="984"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HJ 604-2017</w:t>
            </w:r>
          </w:p>
        </w:tc>
      </w:tr>
    </w:tbl>
    <w:p>
      <w:pPr>
        <w:pStyle w:val="4"/>
        <w:bidi w:val="0"/>
        <w:jc w:val="center"/>
        <w:rPr>
          <w:rFonts w:hint="default" w:ascii="Times New Roman" w:hAnsi="Times New Roman" w:eastAsia="宋体" w:cs="Times New Roman"/>
          <w:b w:val="0"/>
          <w:color w:val="auto"/>
          <w:kern w:val="0"/>
          <w:sz w:val="24"/>
          <w:lang w:val="en-US" w:eastAsia="zh-CN" w:bidi="ar-SA"/>
        </w:rPr>
      </w:pPr>
    </w:p>
    <w:p>
      <w:pPr>
        <w:pStyle w:val="7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表8.1-2监测分析仪器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3864"/>
        <w:gridCol w:w="1731"/>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55"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2132"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仪器名称及型号</w:t>
            </w:r>
          </w:p>
        </w:tc>
        <w:tc>
          <w:tcPr>
            <w:tcW w:w="955"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自编号</w:t>
            </w:r>
          </w:p>
        </w:tc>
        <w:tc>
          <w:tcPr>
            <w:tcW w:w="955" w:type="pct"/>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出厂编号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便携式pH计Seven2Go</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HNBP-111-3</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B941382302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continue"/>
            <w:vAlign w:val="center"/>
          </w:tcPr>
          <w:p>
            <w:pPr>
              <w:jc w:val="center"/>
              <w:rPr>
                <w:rFonts w:hint="default" w:ascii="Times New Roman" w:hAnsi="Times New Roman" w:eastAsia="宋体" w:cs="Times New Roman"/>
                <w:color w:val="auto"/>
                <w:sz w:val="21"/>
                <w:szCs w:val="21"/>
              </w:rPr>
            </w:pP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便携式pH计Seven2Go</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HNBP-111-2</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B719080176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甲烷</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气相色谱仪GC9790Ⅱ</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HNBP-172</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979002331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烟气参数</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智能烟尘烟气测试仪EM-3088-3.0</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HNBP-239</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070400028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DHP-500S电热鼓风恒温干燥箱/培养箱</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HNBP-168</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2015420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continue"/>
            <w:vAlign w:val="center"/>
          </w:tcPr>
          <w:p>
            <w:pPr>
              <w:jc w:val="center"/>
              <w:rPr>
                <w:rFonts w:hint="default" w:ascii="Times New Roman" w:hAnsi="Times New Roman" w:eastAsia="宋体" w:cs="Times New Roman"/>
                <w:color w:val="auto"/>
                <w:sz w:val="21"/>
                <w:szCs w:val="21"/>
              </w:rPr>
            </w:pP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GH-500隔水式培养箱</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HNBP-169</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万分之一分析天平BSA224S</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HNBP-024</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26191936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continue"/>
            <w:vAlign w:val="center"/>
          </w:tcPr>
          <w:p>
            <w:pPr>
              <w:jc w:val="center"/>
              <w:rPr>
                <w:rFonts w:hint="default" w:ascii="Times New Roman" w:hAnsi="Times New Roman" w:eastAsia="宋体" w:cs="Times New Roman"/>
                <w:color w:val="auto"/>
                <w:sz w:val="21"/>
                <w:szCs w:val="21"/>
              </w:rPr>
            </w:pP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电热恒温鼓风干燥箱DHG-9030A</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HNBP-030</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总磷、总氮、氨、硫化氢、阴离子表面活性剂</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紫外分光光度计TU-1810</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HNBP-119</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231812010321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石油类、动植物油</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红外分光测油仪OIL460型</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HNBP-180</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111IIC14060182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55"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五日生化需氧量</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250B生化培养箱</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HNBP-161</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continue"/>
            <w:vAlign w:val="center"/>
          </w:tcPr>
          <w:p>
            <w:pPr>
              <w:jc w:val="center"/>
              <w:rPr>
                <w:rFonts w:hint="default" w:ascii="Times New Roman" w:hAnsi="Times New Roman" w:eastAsia="宋体" w:cs="Times New Roman"/>
                <w:color w:val="auto"/>
                <w:sz w:val="21"/>
                <w:szCs w:val="21"/>
              </w:rPr>
            </w:pP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Seven2Go</w:t>
            </w:r>
            <w:r>
              <w:rPr>
                <w:rFonts w:hint="default" w:ascii="Times New Roman" w:hAnsi="Times New Roman" w:eastAsia="宋体" w:cs="Times New Roman"/>
                <w:color w:val="auto"/>
                <w:sz w:val="21"/>
                <w:szCs w:val="21"/>
                <w:vertAlign w:val="superscript"/>
              </w:rPr>
              <w:t>TM</w:t>
            </w:r>
            <w:r>
              <w:rPr>
                <w:rFonts w:hint="default" w:ascii="Times New Roman" w:hAnsi="Times New Roman" w:eastAsia="宋体" w:cs="Times New Roman"/>
                <w:color w:val="auto"/>
                <w:sz w:val="21"/>
                <w:szCs w:val="21"/>
              </w:rPr>
              <w:t>Pro溶解氧测定仪</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HNBP-164</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B546707747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COD消解器HCH-100</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HNBP-263</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1018040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continue"/>
            <w:vAlign w:val="center"/>
          </w:tcPr>
          <w:p>
            <w:pPr>
              <w:jc w:val="center"/>
              <w:rPr>
                <w:rFonts w:hint="default" w:ascii="Times New Roman" w:hAnsi="Times New Roman" w:eastAsia="宋体" w:cs="Times New Roman"/>
                <w:color w:val="auto"/>
                <w:sz w:val="21"/>
                <w:szCs w:val="21"/>
              </w:rPr>
            </w:pP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COD消解器HCH-100</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HNBP-274</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06181211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continue"/>
            <w:vAlign w:val="center"/>
          </w:tcPr>
          <w:p>
            <w:pPr>
              <w:jc w:val="center"/>
              <w:rPr>
                <w:rFonts w:hint="default" w:ascii="Times New Roman" w:hAnsi="Times New Roman" w:eastAsia="宋体" w:cs="Times New Roman"/>
                <w:color w:val="auto"/>
                <w:sz w:val="21"/>
                <w:szCs w:val="21"/>
              </w:rPr>
            </w:pP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50.00mL酸式滴定管</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ZB1906038</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万分之一分析天平BSA224S</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HNBP-024</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26191936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continue"/>
            <w:vAlign w:val="center"/>
          </w:tcPr>
          <w:p>
            <w:pPr>
              <w:jc w:val="center"/>
              <w:rPr>
                <w:rFonts w:hint="default" w:ascii="Times New Roman" w:hAnsi="Times New Roman" w:eastAsia="宋体" w:cs="Times New Roman"/>
                <w:color w:val="auto"/>
                <w:sz w:val="21"/>
                <w:szCs w:val="21"/>
              </w:rPr>
            </w:pP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电热恒温鼓风干燥箱DHG-9030A</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HNBP-030</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continue"/>
            <w:vAlign w:val="center"/>
          </w:tcPr>
          <w:p>
            <w:pPr>
              <w:jc w:val="center"/>
              <w:rPr>
                <w:rFonts w:hint="default" w:ascii="Times New Roman" w:hAnsi="Times New Roman" w:eastAsia="宋体" w:cs="Times New Roman"/>
                <w:color w:val="auto"/>
                <w:sz w:val="21"/>
                <w:szCs w:val="21"/>
              </w:rPr>
            </w:pP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50.00mL酸式滴定管</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ZB1906039</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restar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w:t>
            </w: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声校准器AWA6221A</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HNBP-110-1/3</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1003594、1004148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Merge w:val="continue"/>
            <w:vAlign w:val="center"/>
          </w:tcPr>
          <w:p>
            <w:pPr>
              <w:jc w:val="center"/>
              <w:rPr>
                <w:rFonts w:hint="default" w:ascii="Times New Roman" w:hAnsi="Times New Roman" w:eastAsia="宋体" w:cs="Times New Roman"/>
                <w:color w:val="auto"/>
                <w:sz w:val="21"/>
                <w:szCs w:val="21"/>
              </w:rPr>
            </w:pPr>
          </w:p>
        </w:tc>
        <w:tc>
          <w:tcPr>
            <w:tcW w:w="2132"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多功能声级计AWA6228</w:t>
            </w:r>
            <w:r>
              <w:rPr>
                <w:rFonts w:hint="default" w:ascii="Times New Roman" w:hAnsi="Times New Roman" w:eastAsia="宋体" w:cs="Times New Roman"/>
                <w:color w:val="auto"/>
                <w:sz w:val="21"/>
                <w:szCs w:val="21"/>
                <w:vertAlign w:val="superscript"/>
              </w:rPr>
              <w:t>+</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HNBP-096-5/1</w:t>
            </w:r>
          </w:p>
        </w:tc>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00310941、107045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5"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4044" w:type="pct"/>
            <w:gridSpan w:val="3"/>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仪器在计量检定/校准有效期内使用</w:t>
            </w:r>
          </w:p>
        </w:tc>
      </w:tr>
    </w:tbl>
    <w:p>
      <w:pPr>
        <w:pStyle w:val="4"/>
        <w:bidi w:val="0"/>
        <w:rPr>
          <w:rFonts w:hint="default" w:ascii="Times New Roman" w:hAnsi="Times New Roman" w:cs="Times New Roman"/>
          <w:color w:val="auto"/>
        </w:rPr>
      </w:pPr>
      <w:bookmarkStart w:id="127" w:name="_Toc744"/>
      <w:r>
        <w:rPr>
          <w:rFonts w:hint="default" w:ascii="Times New Roman" w:hAnsi="Times New Roman" w:cs="Times New Roman"/>
          <w:color w:val="auto"/>
        </w:rPr>
        <w:t>8.2人员资质</w:t>
      </w:r>
      <w:bookmarkEnd w:id="126"/>
      <w:bookmarkEnd w:id="127"/>
    </w:p>
    <w:p>
      <w:pPr>
        <w:pStyle w:val="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次验收监测人员均持证上岗，参与本次验收监测现场采样及实验室分析的人员均经考核合格。样品的采集、保存、运输、交接等由专人负责管理及记录，现场采用和测试严格按照验收监测方案进行，并对监测期间的各种情况进行详细记录，并按照《环境监测质量保证管理规定》的要求，实施全过程质量控制。所用监测仪器经计量部门检定并在有效期内，监测数据严格执行三级审核制度。</w:t>
      </w:r>
    </w:p>
    <w:p>
      <w:pPr>
        <w:pStyle w:val="4"/>
        <w:bidi w:val="0"/>
        <w:rPr>
          <w:rFonts w:hint="default" w:ascii="Times New Roman" w:hAnsi="Times New Roman" w:cs="Times New Roman"/>
          <w:color w:val="auto"/>
        </w:rPr>
      </w:pPr>
      <w:bookmarkStart w:id="128" w:name="_Toc497833627"/>
      <w:bookmarkStart w:id="129" w:name="_Toc28428"/>
      <w:bookmarkStart w:id="130" w:name="_Toc32061"/>
      <w:bookmarkStart w:id="131" w:name="_Toc5451"/>
      <w:r>
        <w:rPr>
          <w:rFonts w:hint="default" w:ascii="Times New Roman" w:hAnsi="Times New Roman" w:cs="Times New Roman"/>
          <w:color w:val="auto"/>
        </w:rPr>
        <w:t>8.</w:t>
      </w:r>
      <w:r>
        <w:rPr>
          <w:rFonts w:hint="default" w:ascii="Times New Roman" w:hAnsi="Times New Roman" w:cs="Times New Roman"/>
          <w:color w:val="auto"/>
          <w:lang w:val="en-US" w:eastAsia="zh-CN"/>
        </w:rPr>
        <w:t>3</w:t>
      </w:r>
      <w:r>
        <w:rPr>
          <w:rFonts w:hint="default" w:ascii="Times New Roman" w:hAnsi="Times New Roman" w:cs="Times New Roman"/>
          <w:color w:val="auto"/>
        </w:rPr>
        <w:t>气体监测分析过程中的质量保证和质量控制</w:t>
      </w:r>
      <w:bookmarkEnd w:id="128"/>
      <w:bookmarkEnd w:id="129"/>
      <w:bookmarkEnd w:id="130"/>
    </w:p>
    <w:p>
      <w:pPr>
        <w:pStyle w:val="87"/>
        <w:bidi w:val="0"/>
        <w:rPr>
          <w:rFonts w:hint="default" w:ascii="Times New Roman" w:hAnsi="Times New Roman" w:cs="Times New Roman"/>
          <w:color w:val="auto"/>
        </w:rPr>
      </w:pPr>
      <w:r>
        <w:rPr>
          <w:rFonts w:hint="default" w:ascii="Times New Roman" w:hAnsi="Times New Roman" w:cs="Times New Roman"/>
          <w:color w:val="auto"/>
        </w:rPr>
        <w:t>（1）样品分析时尽量避免了被测排放物中共存污染物对分析的交叉干扰。</w:t>
      </w:r>
    </w:p>
    <w:p>
      <w:pPr>
        <w:pStyle w:val="87"/>
        <w:bidi w:val="0"/>
        <w:rPr>
          <w:rFonts w:hint="default" w:ascii="Times New Roman" w:hAnsi="Times New Roman" w:cs="Times New Roman"/>
          <w:color w:val="auto"/>
        </w:rPr>
      </w:pPr>
      <w:r>
        <w:rPr>
          <w:rFonts w:hint="default" w:ascii="Times New Roman" w:hAnsi="Times New Roman" w:cs="Times New Roman"/>
          <w:color w:val="auto"/>
        </w:rPr>
        <w:t>（2）被测排放物的浓度在仪器量程的有效范围（即30%～70%之间）。</w:t>
      </w:r>
    </w:p>
    <w:p>
      <w:pPr>
        <w:pStyle w:val="87"/>
        <w:bidi w:val="0"/>
        <w:rPr>
          <w:rFonts w:hint="default" w:ascii="Times New Roman" w:hAnsi="Times New Roman" w:cs="Times New Roman"/>
          <w:color w:val="auto"/>
        </w:rPr>
      </w:pPr>
      <w:r>
        <w:rPr>
          <w:rFonts w:hint="default" w:ascii="Times New Roman" w:hAnsi="Times New Roman" w:cs="Times New Roman"/>
          <w:color w:val="auto"/>
        </w:rPr>
        <w:t>（3）废气监测（分析）仪器在测试前按监测因子分别用标准气体和流量计对其进行校核（标定），在测试时保证了采样流量的准确。</w:t>
      </w:r>
    </w:p>
    <w:p>
      <w:pPr>
        <w:pStyle w:val="4"/>
        <w:bidi w:val="0"/>
        <w:rPr>
          <w:rFonts w:hint="default" w:ascii="Times New Roman" w:hAnsi="Times New Roman" w:cs="Times New Roman"/>
          <w:color w:val="auto"/>
        </w:rPr>
      </w:pPr>
      <w:bookmarkStart w:id="132" w:name="_Toc497833628"/>
      <w:bookmarkStart w:id="133" w:name="_Toc8373"/>
      <w:bookmarkStart w:id="134" w:name="_Toc20598"/>
      <w:r>
        <w:rPr>
          <w:rFonts w:hint="default" w:ascii="Times New Roman" w:hAnsi="Times New Roman" w:cs="Times New Roman"/>
          <w:color w:val="auto"/>
        </w:rPr>
        <w:t>8.</w:t>
      </w:r>
      <w:r>
        <w:rPr>
          <w:rFonts w:hint="default" w:ascii="Times New Roman" w:hAnsi="Times New Roman" w:cs="Times New Roman"/>
          <w:color w:val="auto"/>
          <w:lang w:val="en-US" w:eastAsia="zh-CN"/>
        </w:rPr>
        <w:t>4</w:t>
      </w:r>
      <w:r>
        <w:rPr>
          <w:rFonts w:hint="default" w:ascii="Times New Roman" w:hAnsi="Times New Roman" w:cs="Times New Roman"/>
          <w:color w:val="auto"/>
        </w:rPr>
        <w:t>噪声监测分析过程中的质量保证和质量控制</w:t>
      </w:r>
      <w:bookmarkEnd w:id="132"/>
      <w:bookmarkEnd w:id="133"/>
      <w:bookmarkEnd w:id="134"/>
    </w:p>
    <w:p>
      <w:pPr>
        <w:pStyle w:val="87"/>
        <w:bidi w:val="0"/>
        <w:rPr>
          <w:rFonts w:hint="default" w:ascii="Times New Roman" w:hAnsi="Times New Roman" w:cs="Times New Roman"/>
          <w:color w:val="auto"/>
        </w:rPr>
      </w:pPr>
      <w:r>
        <w:rPr>
          <w:rFonts w:hint="default" w:ascii="Times New Roman" w:hAnsi="Times New Roman" w:cs="Times New Roman"/>
          <w:color w:val="auto"/>
        </w:rPr>
        <w:t>噪声监测时严格按照国家标准方法的有关规定进行监测。监测时使用经计量部门检定、并在有效使用期内的声级计。项目生产工况正常，天气为小雨转阴天，风速&lt;5m/s。测试前后对声级计进行校准，测量前后灵敏度之差值均满足≤0.5dB的质控要求。</w:t>
      </w:r>
    </w:p>
    <w:p>
      <w:pPr>
        <w:pStyle w:val="4"/>
        <w:bidi w:val="0"/>
        <w:rPr>
          <w:rFonts w:hint="default" w:ascii="Times New Roman" w:hAnsi="Times New Roman" w:cs="Times New Roman"/>
          <w:color w:val="auto"/>
        </w:rPr>
      </w:pPr>
      <w:bookmarkStart w:id="135" w:name="_Toc3434"/>
      <w:bookmarkStart w:id="136" w:name="_Toc14360"/>
      <w:r>
        <w:rPr>
          <w:rFonts w:hint="default" w:ascii="Times New Roman" w:hAnsi="Times New Roman" w:cs="Times New Roman"/>
          <w:color w:val="auto"/>
        </w:rPr>
        <w:t>8.</w:t>
      </w:r>
      <w:r>
        <w:rPr>
          <w:rFonts w:hint="default" w:ascii="Times New Roman" w:hAnsi="Times New Roman" w:cs="Times New Roman"/>
          <w:color w:val="auto"/>
          <w:lang w:val="en-US" w:eastAsia="zh-CN"/>
        </w:rPr>
        <w:t>5</w:t>
      </w:r>
      <w:r>
        <w:rPr>
          <w:rFonts w:hint="default" w:ascii="Times New Roman" w:hAnsi="Times New Roman" w:cs="Times New Roman"/>
          <w:color w:val="auto"/>
        </w:rPr>
        <w:t>水质监测分析过程中的质量保证和质量控制</w:t>
      </w:r>
      <w:bookmarkEnd w:id="135"/>
      <w:bookmarkEnd w:id="136"/>
    </w:p>
    <w:p>
      <w:pPr>
        <w:pStyle w:val="87"/>
        <w:bidi w:val="0"/>
        <w:rPr>
          <w:rFonts w:hint="default" w:ascii="Times New Roman" w:hAnsi="Times New Roman" w:cs="Times New Roman"/>
          <w:color w:val="auto"/>
        </w:rPr>
      </w:pPr>
      <w:r>
        <w:rPr>
          <w:rFonts w:hint="default" w:ascii="Times New Roman" w:hAnsi="Times New Roman" w:cs="Times New Roman"/>
          <w:color w:val="auto"/>
        </w:rPr>
        <w:t>水样的采集、运输、保存、实验室分析和数据计算的全过程均按《环境水质监测质量保证手册》（第四版）等的要求进行。选择的方法检出限应满足要求。采样过程中应采集一定比例的平行样；实验室分析过程一般应使用标准物质、空白试验、平行双样测定、加标回收率测定等质控措施，并对质控数据分析，附质控数据分析表。</w:t>
      </w:r>
    </w:p>
    <w:bookmarkEnd w:id="131"/>
    <w:p>
      <w:pPr>
        <w:pStyle w:val="87"/>
        <w:ind w:firstLine="480"/>
        <w:rPr>
          <w:rFonts w:hint="default" w:ascii="Times New Roman" w:hAnsi="Times New Roman" w:eastAsia="宋体" w:cs="Times New Roman"/>
          <w:color w:val="auto"/>
        </w:rPr>
        <w:sectPr>
          <w:pgSz w:w="11907" w:h="16840"/>
          <w:pgMar w:top="1440" w:right="1531" w:bottom="1440" w:left="1531" w:header="850" w:footer="851" w:gutter="0"/>
          <w:pgBorders>
            <w:top w:val="none" w:sz="0" w:space="0"/>
            <w:left w:val="none" w:sz="0" w:space="0"/>
            <w:bottom w:val="none" w:sz="0" w:space="0"/>
            <w:right w:val="none" w:sz="0" w:space="0"/>
          </w:pgBorders>
          <w:pgNumType w:fmt="decimal"/>
          <w:cols w:space="720" w:num="1"/>
          <w:rtlGutter w:val="0"/>
          <w:docGrid w:linePitch="299" w:charSpace="0"/>
        </w:sectPr>
      </w:pPr>
    </w:p>
    <w:p>
      <w:pPr>
        <w:pStyle w:val="3"/>
        <w:bidi w:val="0"/>
        <w:rPr>
          <w:rFonts w:hint="default" w:ascii="Times New Roman" w:hAnsi="Times New Roman" w:cs="Times New Roman"/>
          <w:color w:val="auto"/>
        </w:rPr>
      </w:pPr>
      <w:bookmarkStart w:id="137" w:name="_Toc29691"/>
      <w:bookmarkStart w:id="138" w:name="_Toc31466"/>
      <w:r>
        <w:rPr>
          <w:rFonts w:hint="default" w:ascii="Times New Roman" w:hAnsi="Times New Roman" w:cs="Times New Roman"/>
          <w:color w:val="auto"/>
        </w:rPr>
        <w:t>9验收监测结果</w:t>
      </w:r>
      <w:bookmarkEnd w:id="137"/>
      <w:bookmarkEnd w:id="138"/>
    </w:p>
    <w:p>
      <w:pPr>
        <w:pStyle w:val="4"/>
        <w:bidi w:val="0"/>
        <w:rPr>
          <w:rFonts w:hint="default" w:ascii="Times New Roman" w:hAnsi="Times New Roman" w:cs="Times New Roman"/>
          <w:color w:val="auto"/>
        </w:rPr>
      </w:pPr>
      <w:bookmarkStart w:id="139" w:name="_Toc11652"/>
      <w:bookmarkStart w:id="140" w:name="_Toc2564"/>
      <w:r>
        <w:rPr>
          <w:rFonts w:hint="default" w:ascii="Times New Roman" w:hAnsi="Times New Roman" w:cs="Times New Roman"/>
          <w:color w:val="auto"/>
        </w:rPr>
        <w:t>9.1生产工况</w:t>
      </w:r>
      <w:bookmarkEnd w:id="139"/>
      <w:bookmarkEnd w:id="140"/>
    </w:p>
    <w:p>
      <w:pPr>
        <w:pStyle w:val="8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重庆惠能标普科技有限公司</w:t>
      </w:r>
      <w:r>
        <w:rPr>
          <w:rFonts w:hint="default" w:ascii="Times New Roman" w:hAnsi="Times New Roman" w:cs="Times New Roman"/>
          <w:color w:val="auto"/>
          <w:lang w:eastAsia="zh-CN"/>
        </w:rPr>
        <w:t>于</w:t>
      </w:r>
      <w:r>
        <w:rPr>
          <w:rFonts w:hint="default" w:ascii="Times New Roman" w:hAnsi="Times New Roman" w:cs="Times New Roman"/>
          <w:color w:val="auto"/>
          <w:lang w:val="en-US" w:eastAsia="zh-CN"/>
        </w:rPr>
        <w:t>2021年12月13日至12月14日对荣昌荣隆污水处理厂提标及工艺技改工程项目的废水、有组织废气、无组织废气、噪声进行了验收监测，报告编号：渝惠科（环监）</w:t>
      </w:r>
      <w:r>
        <w:rPr>
          <w:rFonts w:hint="default" w:ascii="Times New Roman" w:hAnsi="Times New Roman" w:eastAsia="宋体" w:cs="Times New Roman"/>
          <w:color w:val="auto"/>
          <w:lang w:val="en-US" w:eastAsia="zh-CN"/>
        </w:rPr>
        <w:t>[2021]YS011号</w:t>
      </w:r>
      <w:r>
        <w:rPr>
          <w:rFonts w:hint="default" w:ascii="Times New Roman" w:hAnsi="Times New Roman" w:cs="Times New Roman"/>
          <w:color w:val="auto"/>
          <w:lang w:val="en-US" w:eastAsia="zh-CN"/>
        </w:rPr>
        <w:t>，监测期间项目主体工程及配套环保设备处于正常运行状态，生产负荷符合验收监测技术规范要求。</w:t>
      </w:r>
    </w:p>
    <w:p>
      <w:pPr>
        <w:pStyle w:val="4"/>
        <w:rPr>
          <w:rFonts w:hint="default" w:ascii="Times New Roman" w:hAnsi="Times New Roman" w:eastAsia="宋体" w:cs="Times New Roman"/>
          <w:color w:val="auto"/>
          <w:sz w:val="30"/>
          <w:szCs w:val="30"/>
        </w:rPr>
      </w:pPr>
      <w:bookmarkStart w:id="141" w:name="_Toc11221"/>
      <w:bookmarkStart w:id="142" w:name="_Toc4553"/>
      <w:r>
        <w:rPr>
          <w:rFonts w:hint="default" w:ascii="Times New Roman" w:hAnsi="Times New Roman" w:eastAsia="宋体" w:cs="Times New Roman"/>
          <w:color w:val="auto"/>
          <w:sz w:val="30"/>
          <w:szCs w:val="30"/>
        </w:rPr>
        <w:t>9.2验收监测结果</w:t>
      </w:r>
      <w:bookmarkEnd w:id="141"/>
      <w:bookmarkEnd w:id="142"/>
    </w:p>
    <w:p>
      <w:pPr>
        <w:pStyle w:val="5"/>
        <w:rPr>
          <w:rFonts w:hint="default" w:ascii="Times New Roman" w:hAnsi="Times New Roman" w:cs="Times New Roman"/>
          <w:color w:val="auto"/>
          <w:sz w:val="28"/>
          <w:szCs w:val="28"/>
          <w:lang w:val="en-US" w:eastAsia="zh-CN"/>
        </w:rPr>
      </w:pPr>
      <w:bookmarkStart w:id="143" w:name="_Toc6197"/>
      <w:bookmarkStart w:id="144" w:name="_Toc15431"/>
      <w:bookmarkStart w:id="145" w:name="_Toc67414465"/>
      <w:r>
        <w:rPr>
          <w:rFonts w:hint="default" w:ascii="Times New Roman" w:hAnsi="Times New Roman" w:cs="Times New Roman"/>
          <w:color w:val="auto"/>
          <w:sz w:val="28"/>
          <w:szCs w:val="28"/>
          <w:lang w:val="en-US" w:eastAsia="zh-CN"/>
        </w:rPr>
        <w:t>9.2.1废水</w:t>
      </w:r>
      <w:bookmarkEnd w:id="143"/>
    </w:p>
    <w:p>
      <w:pPr>
        <w:pStyle w:val="87"/>
        <w:bidi w:val="0"/>
        <w:rPr>
          <w:rFonts w:hint="default" w:ascii="Times New Roman" w:hAnsi="Times New Roman" w:cs="Times New Roman"/>
          <w:color w:val="auto"/>
          <w:lang w:val="en-US" w:eastAsia="zh-CN"/>
        </w:rPr>
        <w:sectPr>
          <w:pgSz w:w="11907" w:h="16840"/>
          <w:pgMar w:top="1440" w:right="1531" w:bottom="1440" w:left="1531" w:header="850" w:footer="851" w:gutter="0"/>
          <w:pgBorders>
            <w:top w:val="none" w:sz="0" w:space="0"/>
            <w:left w:val="none" w:sz="0" w:space="0"/>
            <w:bottom w:val="none" w:sz="0" w:space="0"/>
            <w:right w:val="none" w:sz="0" w:space="0"/>
          </w:pgBorders>
          <w:pgNumType w:fmt="decimal"/>
          <w:cols w:space="720" w:num="1"/>
          <w:rtlGutter w:val="0"/>
          <w:docGrid w:linePitch="299" w:charSpace="0"/>
        </w:sectPr>
      </w:pPr>
      <w:r>
        <w:rPr>
          <w:rFonts w:hint="default" w:ascii="Times New Roman" w:hAnsi="Times New Roman" w:cs="Times New Roman"/>
          <w:color w:val="auto"/>
          <w:lang w:val="en-US" w:eastAsia="zh-CN"/>
        </w:rPr>
        <w:t>废水检测结果见表9.2-1。</w:t>
      </w:r>
    </w:p>
    <w:p>
      <w:pPr>
        <w:pStyle w:val="7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表9.2-1废水检测结果</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
        <w:gridCol w:w="687"/>
        <w:gridCol w:w="1155"/>
        <w:gridCol w:w="1140"/>
        <w:gridCol w:w="1020"/>
        <w:gridCol w:w="1155"/>
        <w:gridCol w:w="1035"/>
        <w:gridCol w:w="1095"/>
        <w:gridCol w:w="1065"/>
        <w:gridCol w:w="1035"/>
        <w:gridCol w:w="1065"/>
        <w:gridCol w:w="1005"/>
        <w:gridCol w:w="58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51"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eastAsia="zh-CN"/>
              </w:rPr>
              <w:t>采样日期</w:t>
            </w:r>
          </w:p>
        </w:tc>
        <w:tc>
          <w:tcPr>
            <w:tcW w:w="4248" w:type="pct"/>
            <w:gridSpan w:val="1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2021年</w:t>
            </w:r>
            <w:r>
              <w:rPr>
                <w:rFonts w:hint="default" w:ascii="Times New Roman" w:hAnsi="Times New Roman" w:cs="Times New Roman"/>
                <w:b/>
                <w:bCs/>
                <w:color w:val="auto"/>
                <w:kern w:val="0"/>
                <w:sz w:val="21"/>
                <w:szCs w:val="21"/>
                <w:lang w:val="en-US" w:eastAsia="zh-CN"/>
              </w:rPr>
              <w:t>12</w:t>
            </w:r>
            <w:r>
              <w:rPr>
                <w:rFonts w:hint="default" w:ascii="Times New Roman" w:hAnsi="Times New Roman" w:eastAsia="宋体" w:cs="Times New Roman"/>
                <w:b/>
                <w:bCs/>
                <w:color w:val="auto"/>
                <w:kern w:val="0"/>
                <w:sz w:val="21"/>
                <w:szCs w:val="21"/>
                <w:lang w:val="en-US" w:eastAsia="zh-CN"/>
              </w:rPr>
              <w:t>月</w:t>
            </w:r>
            <w:r>
              <w:rPr>
                <w:rFonts w:hint="default" w:ascii="Times New Roman" w:hAnsi="Times New Roman" w:cs="Times New Roman"/>
                <w:b/>
                <w:bCs/>
                <w:color w:val="auto"/>
                <w:kern w:val="0"/>
                <w:sz w:val="21"/>
                <w:szCs w:val="21"/>
                <w:lang w:val="en-US" w:eastAsia="zh-CN"/>
              </w:rPr>
              <w:t>13</w:t>
            </w:r>
            <w:r>
              <w:rPr>
                <w:rFonts w:hint="default" w:ascii="Times New Roman" w:hAnsi="Times New Roman" w:eastAsia="宋体" w:cs="Times New Roman"/>
                <w:b/>
                <w:bCs/>
                <w:color w:val="auto"/>
                <w:kern w:val="0"/>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751" w:type="pct"/>
            <w:gridSpan w:val="3"/>
            <w:vMerge w:val="restar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mc:AlternateContent>
                <mc:Choice Requires="wpsCustomData">
                  <wpsCustomData:diagonalParaType/>
                </mc:Choice>
              </mc:AlternateConten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检</w:t>
            </w:r>
            <w:r>
              <w:rPr>
                <w:rFonts w:hint="default" w:ascii="Times New Roman" w:hAnsi="Times New Roman" w:eastAsia="宋体" w:cs="Times New Roman"/>
                <w:color w:val="auto"/>
                <w:kern w:val="0"/>
                <w:sz w:val="21"/>
                <w:szCs w:val="21"/>
              </w:rPr>
              <w:t>测项目</w:t>
            </w:r>
          </w:p>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检测点位</w:t>
            </w:r>
          </w:p>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样品表观</w:t>
            </w:r>
          </w:p>
          <w:p>
            <w:pPr>
              <w:pStyle w:val="2"/>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样品编号</w:t>
            </w:r>
          </w:p>
        </w:tc>
        <w:tc>
          <w:tcPr>
            <w:tcW w:w="1941" w:type="pct"/>
            <w:gridSpan w:val="5"/>
            <w:tcBorders>
              <w:tl2br w:val="nil"/>
              <w:tr2bl w:val="nil"/>
            </w:tcBorders>
            <w:noWrap w:val="0"/>
            <w:vAlign w:val="center"/>
          </w:tcPr>
          <w:p>
            <w:pPr>
              <w:pStyle w:val="13"/>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color w:val="auto"/>
              </w:rPr>
              <w:t>进水口WS1</w:t>
            </w:r>
          </w:p>
        </w:tc>
        <w:tc>
          <w:tcPr>
            <w:tcW w:w="1857" w:type="pct"/>
            <w:gridSpan w:val="5"/>
            <w:tcBorders>
              <w:tl2br w:val="nil"/>
              <w:tr2bl w:val="nil"/>
            </w:tcBorders>
            <w:noWrap w:val="0"/>
            <w:vAlign w:val="center"/>
          </w:tcPr>
          <w:p>
            <w:pPr>
              <w:pStyle w:val="13"/>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color w:val="auto"/>
              </w:rPr>
              <w:t>排污口WS2</w:t>
            </w:r>
          </w:p>
        </w:tc>
        <w:tc>
          <w:tcPr>
            <w:tcW w:w="206" w:type="pct"/>
            <w:vMerge w:val="restart"/>
            <w:tcBorders>
              <w:tl2br w:val="nil"/>
              <w:tr2bl w:val="nil"/>
            </w:tcBorders>
            <w:noWrap w:val="0"/>
            <w:vAlign w:val="center"/>
          </w:tcPr>
          <w:p>
            <w:pPr>
              <w:pStyle w:val="1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去除效率%</w:t>
            </w:r>
          </w:p>
        </w:tc>
        <w:tc>
          <w:tcPr>
            <w:tcW w:w="243" w:type="pct"/>
            <w:vMerge w:val="restart"/>
            <w:tcBorders>
              <w:tl2br w:val="nil"/>
              <w:tr2bl w:val="nil"/>
            </w:tcBorders>
            <w:noWrap w:val="0"/>
            <w:vAlign w:val="center"/>
          </w:tcPr>
          <w:p>
            <w:pPr>
              <w:pStyle w:val="13"/>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标准</w:t>
            </w:r>
          </w:p>
          <w:p>
            <w:pPr>
              <w:pStyle w:val="1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eastAsia="宋体" w:cs="Times New Roman"/>
                <w:b/>
                <w:bCs w:val="0"/>
                <w:color w:val="auto"/>
                <w:kern w:val="0"/>
                <w:sz w:val="21"/>
                <w:szCs w:val="21"/>
                <w:lang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751"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p>
        </w:tc>
        <w:tc>
          <w:tcPr>
            <w:tcW w:w="1941" w:type="pct"/>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棕色、有异味、浑浊、有沉淀</w:t>
            </w:r>
          </w:p>
        </w:tc>
        <w:tc>
          <w:tcPr>
            <w:tcW w:w="1857" w:type="pct"/>
            <w:gridSpan w:val="5"/>
            <w:tcBorders>
              <w:tl2br w:val="nil"/>
              <w:tr2bl w:val="nil"/>
            </w:tcBorders>
            <w:noWrap w:val="0"/>
            <w:vAlign w:val="center"/>
          </w:tcPr>
          <w:p>
            <w:pPr>
              <w:pStyle w:val="1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无色、微弱异味、较清</w:t>
            </w:r>
          </w:p>
        </w:tc>
        <w:tc>
          <w:tcPr>
            <w:tcW w:w="2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rPr>
            </w:pPr>
          </w:p>
        </w:tc>
        <w:tc>
          <w:tcPr>
            <w:tcW w:w="24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exact"/>
          <w:jc w:val="center"/>
        </w:trPr>
        <w:tc>
          <w:tcPr>
            <w:tcW w:w="751"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WS1-1-1</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WS1-1-2</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WS1-1-3</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WS1-1-4</w:t>
            </w:r>
          </w:p>
        </w:tc>
        <w:tc>
          <w:tcPr>
            <w:tcW w:w="3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kern w:val="0"/>
                <w:sz w:val="21"/>
                <w:szCs w:val="21"/>
                <w:lang w:eastAsia="zh-CN"/>
              </w:rPr>
              <w:t>平均值</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WS2-1-1</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WS2-1-2</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WS2-1-3</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WS2-1-4</w:t>
            </w:r>
          </w:p>
        </w:tc>
        <w:tc>
          <w:tcPr>
            <w:tcW w:w="354" w:type="pct"/>
            <w:tcBorders>
              <w:tl2br w:val="nil"/>
              <w:tr2bl w:val="nil"/>
            </w:tcBorders>
            <w:noWrap w:val="0"/>
            <w:vAlign w:val="center"/>
          </w:tcPr>
          <w:p>
            <w:pPr>
              <w:pStyle w:val="1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平均值</w:t>
            </w:r>
          </w:p>
        </w:tc>
        <w:tc>
          <w:tcPr>
            <w:tcW w:w="206" w:type="pct"/>
            <w:vMerge w:val="continue"/>
            <w:tcBorders>
              <w:tl2br w:val="nil"/>
              <w:tr2bl w:val="nil"/>
            </w:tcBorders>
            <w:noWrap w:val="0"/>
            <w:vAlign w:val="center"/>
          </w:tcPr>
          <w:p>
            <w:pPr>
              <w:pStyle w:val="1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p>
        </w:tc>
        <w:tc>
          <w:tcPr>
            <w:tcW w:w="243" w:type="pct"/>
            <w:vMerge w:val="continue"/>
            <w:tcBorders>
              <w:tl2br w:val="nil"/>
              <w:tr2bl w:val="nil"/>
            </w:tcBorders>
            <w:noWrap w:val="0"/>
            <w:vAlign w:val="center"/>
          </w:tcPr>
          <w:p>
            <w:pPr>
              <w:pStyle w:val="1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lang w:val="en-US" w:eastAsia="zh-CN" w:bidi="ar-SA"/>
              </w:rPr>
            </w:pPr>
            <w:r>
              <w:rPr>
                <w:rFonts w:hint="default" w:ascii="Times New Roman" w:hAnsi="Times New Roman" w:cs="Times New Roman"/>
                <w:color w:val="auto"/>
              </w:rPr>
              <w:t>pH值</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无量纲</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7.3</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7.3</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7.2</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7.3</w:t>
            </w:r>
          </w:p>
        </w:tc>
        <w:tc>
          <w:tcPr>
            <w:tcW w:w="365" w:type="pct"/>
            <w:tcBorders>
              <w:tl2br w:val="nil"/>
              <w:tr2bl w:val="nil"/>
            </w:tcBorders>
            <w:noWrap w:val="0"/>
            <w:vAlign w:val="center"/>
          </w:tcPr>
          <w:p>
            <w:pPr>
              <w:pStyle w:val="9"/>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7.3</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8.2</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8.3</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8.1</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8.2</w:t>
            </w:r>
          </w:p>
        </w:tc>
        <w:tc>
          <w:tcPr>
            <w:tcW w:w="354" w:type="pct"/>
            <w:tcBorders>
              <w:tl2br w:val="nil"/>
              <w:tr2bl w:val="nil"/>
            </w:tcBorders>
            <w:noWrap w:val="0"/>
            <w:vAlign w:val="center"/>
          </w:tcPr>
          <w:p>
            <w:pPr>
              <w:pStyle w:val="9"/>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8.2</w:t>
            </w:r>
          </w:p>
        </w:tc>
        <w:tc>
          <w:tcPr>
            <w:tcW w:w="206" w:type="pct"/>
            <w:tcBorders>
              <w:tl2br w:val="nil"/>
              <w:tr2bl w:val="nil"/>
            </w:tcBorders>
            <w:noWrap w:val="0"/>
            <w:vAlign w:val="center"/>
          </w:tcPr>
          <w:p>
            <w:pPr>
              <w:pStyle w:val="9"/>
              <w:keepNext w:val="0"/>
              <w:keepLines w:val="0"/>
              <w:pageBreakBefore w:val="0"/>
              <w:kinsoku/>
              <w:wordWrap/>
              <w:overflowPunct/>
              <w:topLinePunct w:val="0"/>
              <w:bidi w:val="0"/>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色度</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倍</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400</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500</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500</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400</w:t>
            </w:r>
          </w:p>
        </w:tc>
        <w:tc>
          <w:tcPr>
            <w:tcW w:w="365"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450</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i w:val="0"/>
                <w:iCs w:val="0"/>
                <w:color w:val="auto"/>
                <w:kern w:val="0"/>
                <w:sz w:val="21"/>
                <w:szCs w:val="21"/>
                <w:u w:val="none"/>
                <w:lang w:val="en-US" w:eastAsia="zh-CN" w:bidi="ar"/>
              </w:rPr>
              <w:t>2</w:t>
            </w:r>
            <w:r>
              <w:rPr>
                <w:rFonts w:hint="eastAsia" w:ascii="Times New Roman" w:hAnsi="Times New Roman" w:cs="Times New Roman"/>
                <w:b/>
                <w:bCs/>
                <w:i w:val="0"/>
                <w:iCs w:val="0"/>
                <w:color w:val="auto"/>
                <w:kern w:val="0"/>
                <w:sz w:val="21"/>
                <w:szCs w:val="21"/>
                <w:u w:val="none"/>
                <w:lang w:val="en-US" w:eastAsia="zh-CN" w:bidi="ar"/>
              </w:rPr>
              <w:t>.5</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99.4</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粪大肠菌群</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个/L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2.4×10</w:t>
            </w:r>
            <w:r>
              <w:rPr>
                <w:rFonts w:hint="default" w:ascii="Times New Roman" w:hAnsi="Times New Roman" w:cs="Times New Roman"/>
                <w:color w:val="auto"/>
                <w:vertAlign w:val="superscript"/>
              </w:rPr>
              <w:t>7</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1.1×10</w:t>
            </w:r>
            <w:r>
              <w:rPr>
                <w:rFonts w:hint="default" w:ascii="Times New Roman" w:hAnsi="Times New Roman" w:cs="Times New Roman"/>
                <w:color w:val="auto"/>
                <w:vertAlign w:val="superscript"/>
              </w:rPr>
              <w:t>7</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1.8×10</w:t>
            </w:r>
            <w:r>
              <w:rPr>
                <w:rFonts w:hint="default" w:ascii="Times New Roman" w:hAnsi="Times New Roman" w:cs="Times New Roman"/>
                <w:color w:val="auto"/>
                <w:vertAlign w:val="superscript"/>
              </w:rPr>
              <w:t>7</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1.7×10</w:t>
            </w:r>
            <w:r>
              <w:rPr>
                <w:rFonts w:hint="default" w:ascii="Times New Roman" w:hAnsi="Times New Roman" w:cs="Times New Roman"/>
                <w:color w:val="auto"/>
                <w:vertAlign w:val="superscript"/>
              </w:rPr>
              <w:t>7</w:t>
            </w:r>
          </w:p>
        </w:tc>
        <w:tc>
          <w:tcPr>
            <w:tcW w:w="365"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cs="Times New Roman"/>
                <w:b/>
                <w:bCs w:val="0"/>
                <w:color w:val="auto"/>
                <w:kern w:val="0"/>
                <w:sz w:val="21"/>
                <w:szCs w:val="21"/>
                <w:lang w:val="en-US" w:eastAsia="zh-CN" w:bidi="ar"/>
              </w:rPr>
              <w:t>—</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＜20</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＜20</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＜20</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＜20</w:t>
            </w:r>
          </w:p>
        </w:tc>
        <w:tc>
          <w:tcPr>
            <w:tcW w:w="354" w:type="pct"/>
            <w:tcBorders>
              <w:tl2br w:val="nil"/>
              <w:tr2bl w:val="nil"/>
            </w:tcBorders>
            <w:noWrap w:val="0"/>
            <w:vAlign w:val="center"/>
          </w:tcPr>
          <w:p>
            <w:pPr>
              <w:ind w:firstLine="0" w:firstLineChars="0"/>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cs="Times New Roman"/>
                <w:b/>
                <w:bCs/>
                <w:color w:val="auto"/>
                <w:lang w:eastAsia="zh-CN"/>
              </w:rPr>
              <w:t>—</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10</w:t>
            </w:r>
            <w:r>
              <w:rPr>
                <w:rFonts w:hint="default" w:ascii="Times New Roman" w:hAnsi="Times New Roman" w:cs="Times New Roman"/>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lang w:val="en-US" w:eastAsia="zh-CN" w:bidi="ar-SA"/>
              </w:rPr>
            </w:pPr>
            <w:r>
              <w:rPr>
                <w:rFonts w:hint="default" w:ascii="Times New Roman" w:hAnsi="Times New Roman" w:cs="Times New Roman"/>
                <w:color w:val="auto"/>
              </w:rPr>
              <w:t>氨氮</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35.5</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36.8</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35.7</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36.0</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val="0"/>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36</w:t>
            </w:r>
            <w:r>
              <w:rPr>
                <w:rFonts w:hint="default" w:ascii="Times New Roman" w:hAnsi="Times New Roman" w:cs="Times New Roman"/>
                <w:b/>
                <w:bCs/>
                <w:i w:val="0"/>
                <w:iCs w:val="0"/>
                <w:color w:val="auto"/>
                <w:kern w:val="0"/>
                <w:sz w:val="21"/>
                <w:szCs w:val="21"/>
                <w:u w:val="none"/>
                <w:lang w:val="en-US" w:eastAsia="zh-CN" w:bidi="ar"/>
              </w:rPr>
              <w:t>.0</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3.22</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2.95</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2.81</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2.74</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2.93</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91.9</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lang w:val="en-US" w:eastAsia="zh-CN" w:bidi="ar-SA"/>
              </w:rPr>
            </w:pPr>
            <w:r>
              <w:rPr>
                <w:rFonts w:hint="default" w:ascii="Times New Roman" w:hAnsi="Times New Roman" w:cs="Times New Roman"/>
                <w:color w:val="auto"/>
              </w:rPr>
              <w:t>化学需氧量</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708</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733</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700</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721</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71</w:t>
            </w:r>
            <w:r>
              <w:rPr>
                <w:rFonts w:hint="default" w:ascii="Times New Roman" w:hAnsi="Times New Roman" w:cs="Times New Roman"/>
                <w:b/>
                <w:bCs/>
                <w:i w:val="0"/>
                <w:iCs w:val="0"/>
                <w:color w:val="auto"/>
                <w:kern w:val="0"/>
                <w:sz w:val="21"/>
                <w:szCs w:val="21"/>
                <w:u w:val="none"/>
                <w:lang w:val="en-US" w:eastAsia="zh-CN" w:bidi="ar"/>
              </w:rPr>
              <w:t>6</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30</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31</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31</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30</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95.8</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五日生化需氧量</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304</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336</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265</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280</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296</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5.8</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7.4</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4.3</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5.9</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5.8</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98.0</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lang w:val="en-US" w:eastAsia="zh-CN" w:bidi="ar-SA"/>
              </w:rPr>
            </w:pPr>
            <w:r>
              <w:rPr>
                <w:rFonts w:hint="default" w:ascii="Times New Roman" w:hAnsi="Times New Roman" w:cs="Times New Roman"/>
                <w:color w:val="auto"/>
              </w:rPr>
              <w:t>悬浮物</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216</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194</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188</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203</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200</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6</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7</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6</w:t>
            </w:r>
            <w:r>
              <w:rPr>
                <w:rFonts w:hint="eastAsia" w:ascii="Times New Roman" w:hAnsi="Times New Roman" w:cs="Times New Roman"/>
                <w:b/>
                <w:bCs/>
                <w:i w:val="0"/>
                <w:iCs w:val="0"/>
                <w:color w:val="auto"/>
                <w:kern w:val="0"/>
                <w:sz w:val="21"/>
                <w:szCs w:val="21"/>
                <w:u w:val="none"/>
                <w:lang w:val="en-US" w:eastAsia="zh-CN" w:bidi="ar"/>
              </w:rPr>
              <w:t>.5</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96.8</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lang w:val="en-US" w:eastAsia="zh-CN" w:bidi="ar-SA"/>
              </w:rPr>
            </w:pPr>
            <w:r>
              <w:rPr>
                <w:rFonts w:hint="default" w:ascii="Times New Roman" w:hAnsi="Times New Roman" w:cs="Times New Roman"/>
                <w:color w:val="auto"/>
              </w:rPr>
              <w:t>总磷</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9.42</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8.36</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9.09</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9.54</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i w:val="0"/>
                <w:iCs w:val="0"/>
                <w:color w:val="auto"/>
                <w:kern w:val="0"/>
                <w:sz w:val="21"/>
                <w:szCs w:val="21"/>
                <w:u w:val="none"/>
                <w:lang w:val="en-US" w:eastAsia="zh-CN" w:bidi="ar"/>
              </w:rPr>
              <w:t>9.1</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0.16</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0.24</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0.19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0.18</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0.19</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97.9</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lang w:val="en-US" w:eastAsia="zh-CN" w:bidi="ar-SA"/>
              </w:rPr>
            </w:pPr>
            <w:r>
              <w:rPr>
                <w:rFonts w:hint="default" w:ascii="Times New Roman" w:hAnsi="Times New Roman" w:cs="Times New Roman"/>
                <w:color w:val="auto"/>
              </w:rPr>
              <w:t>总氮</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64.7</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57.7</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61.0</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60.9</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61.</w:t>
            </w:r>
            <w:r>
              <w:rPr>
                <w:rFonts w:hint="default" w:ascii="Times New Roman" w:hAnsi="Times New Roman" w:cs="Times New Roman"/>
                <w:b/>
                <w:bCs/>
                <w:i w:val="0"/>
                <w:iCs w:val="0"/>
                <w:color w:val="auto"/>
                <w:kern w:val="0"/>
                <w:sz w:val="21"/>
                <w:szCs w:val="21"/>
                <w:u w:val="none"/>
                <w:lang w:val="en-US" w:eastAsia="zh-CN" w:bidi="ar"/>
              </w:rPr>
              <w:t>1</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5.99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5.30</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6.62</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5.95</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5.96</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90.2</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lang w:val="en-US" w:eastAsia="zh-CN" w:bidi="ar-SA"/>
              </w:rPr>
            </w:pPr>
            <w:r>
              <w:rPr>
                <w:rFonts w:hint="default" w:ascii="Times New Roman" w:hAnsi="Times New Roman" w:cs="Times New Roman"/>
                <w:color w:val="auto"/>
              </w:rPr>
              <w:t>石油类</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1.26</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lang w:val="en-US" w:eastAsia="zh-CN"/>
              </w:rPr>
              <w:t>1.22</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1.24</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1.19</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1.2</w:t>
            </w:r>
            <w:r>
              <w:rPr>
                <w:rFonts w:hint="default" w:ascii="Times New Roman" w:hAnsi="Times New Roman" w:cs="Times New Roman"/>
                <w:b/>
                <w:bCs/>
                <w:i w:val="0"/>
                <w:iCs w:val="0"/>
                <w:color w:val="auto"/>
                <w:kern w:val="0"/>
                <w:sz w:val="21"/>
                <w:szCs w:val="21"/>
                <w:u w:val="none"/>
                <w:lang w:val="en-US" w:eastAsia="zh-CN" w:bidi="ar"/>
              </w:rPr>
              <w:t>3</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0.49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0.47</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0.54</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0.65</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0.5</w:t>
            </w:r>
            <w:r>
              <w:rPr>
                <w:rFonts w:hint="default" w:ascii="Times New Roman" w:hAnsi="Times New Roman" w:cs="Times New Roman"/>
                <w:b/>
                <w:bCs/>
                <w:i w:val="0"/>
                <w:iCs w:val="0"/>
                <w:color w:val="auto"/>
                <w:kern w:val="0"/>
                <w:sz w:val="21"/>
                <w:szCs w:val="21"/>
                <w:u w:val="none"/>
                <w:lang w:val="en-US" w:eastAsia="zh-CN" w:bidi="ar"/>
              </w:rPr>
              <w:t>4</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56.2</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动植物油</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1.15</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0.80</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0.95</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1.00</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0.9</w:t>
            </w:r>
            <w:r>
              <w:rPr>
                <w:rFonts w:hint="default" w:ascii="Times New Roman" w:hAnsi="Times New Roman" w:cs="Times New Roman"/>
                <w:b/>
                <w:bCs/>
                <w:i w:val="0"/>
                <w:iCs w:val="0"/>
                <w:color w:val="auto"/>
                <w:kern w:val="0"/>
                <w:sz w:val="21"/>
                <w:szCs w:val="21"/>
                <w:u w:val="none"/>
                <w:lang w:val="en-US" w:eastAsia="zh-CN" w:bidi="ar"/>
              </w:rPr>
              <w:t>8</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0.49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0.43</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0.35</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0.25</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0.38</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61.0</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9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阴离子表面活性剂</w:t>
            </w:r>
          </w:p>
        </w:tc>
        <w:tc>
          <w:tcPr>
            <w:tcW w:w="255"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16.9</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15.8</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16.3</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16.2</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i w:val="0"/>
                <w:iCs w:val="0"/>
                <w:color w:val="auto"/>
                <w:kern w:val="0"/>
                <w:sz w:val="21"/>
                <w:szCs w:val="21"/>
                <w:u w:val="none"/>
                <w:lang w:val="en-US" w:eastAsia="zh-CN" w:bidi="ar"/>
              </w:rPr>
              <w:t>16.3</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0.06</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0.07</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0.07</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0.07</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0.0</w:t>
            </w:r>
            <w:r>
              <w:rPr>
                <w:rFonts w:hint="default" w:ascii="Times New Roman" w:hAnsi="Times New Roman" w:cs="Times New Roman"/>
                <w:b/>
                <w:bCs/>
                <w:i w:val="0"/>
                <w:iCs w:val="0"/>
                <w:color w:val="auto"/>
                <w:kern w:val="0"/>
                <w:sz w:val="21"/>
                <w:szCs w:val="21"/>
                <w:u w:val="none"/>
                <w:lang w:val="en-US" w:eastAsia="zh-CN" w:bidi="ar"/>
              </w:rPr>
              <w:t>7</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99.6</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2"/>
                <w:sz w:val="21"/>
                <w:lang w:val="en-US" w:eastAsia="zh-CN" w:bidi="ar-SA"/>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751" w:type="pct"/>
            <w:gridSpan w:val="3"/>
            <w:tcBorders>
              <w:tl2br w:val="nil"/>
              <w:tr2bl w:val="nil"/>
            </w:tcBorders>
            <w:noWrap w:val="0"/>
            <w:vAlign w:val="center"/>
          </w:tcPr>
          <w:p>
            <w:pPr>
              <w:pStyle w:val="22"/>
              <w:keepNext w:val="0"/>
              <w:keepLines w:val="0"/>
              <w:pageBreakBefore w:val="0"/>
              <w:kinsoku/>
              <w:wordWrap/>
              <w:overflowPunct/>
              <w:topLinePunct w:val="0"/>
              <w:bidi w:val="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eastAsia="zh-CN"/>
              </w:rPr>
              <w:t>采样日期</w:t>
            </w:r>
          </w:p>
        </w:tc>
        <w:tc>
          <w:tcPr>
            <w:tcW w:w="4248" w:type="pct"/>
            <w:gridSpan w:val="12"/>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2021年</w:t>
            </w:r>
            <w:r>
              <w:rPr>
                <w:rFonts w:hint="default" w:ascii="Times New Roman" w:hAnsi="Times New Roman" w:cs="Times New Roman"/>
                <w:b/>
                <w:bCs/>
                <w:color w:val="auto"/>
                <w:kern w:val="0"/>
                <w:sz w:val="21"/>
                <w:szCs w:val="21"/>
                <w:lang w:val="en-US" w:eastAsia="zh-CN"/>
              </w:rPr>
              <w:t>12</w:t>
            </w:r>
            <w:r>
              <w:rPr>
                <w:rFonts w:hint="default" w:ascii="Times New Roman" w:hAnsi="Times New Roman" w:eastAsia="宋体" w:cs="Times New Roman"/>
                <w:b/>
                <w:bCs/>
                <w:color w:val="auto"/>
                <w:kern w:val="0"/>
                <w:sz w:val="21"/>
                <w:szCs w:val="21"/>
                <w:lang w:val="en-US" w:eastAsia="zh-CN"/>
              </w:rPr>
              <w:t>月1</w:t>
            </w:r>
            <w:r>
              <w:rPr>
                <w:rFonts w:hint="default" w:ascii="Times New Roman" w:hAnsi="Times New Roman" w:cs="Times New Roman"/>
                <w:b/>
                <w:bCs/>
                <w:color w:val="auto"/>
                <w:kern w:val="0"/>
                <w:sz w:val="21"/>
                <w:szCs w:val="21"/>
                <w:lang w:val="en-US" w:eastAsia="zh-CN"/>
              </w:rPr>
              <w:t>4</w:t>
            </w:r>
            <w:r>
              <w:rPr>
                <w:rFonts w:hint="default" w:ascii="Times New Roman" w:hAnsi="Times New Roman" w:eastAsia="宋体" w:cs="Times New Roman"/>
                <w:b/>
                <w:bCs/>
                <w:color w:val="auto"/>
                <w:kern w:val="0"/>
                <w:sz w:val="21"/>
                <w:szCs w:val="21"/>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jc w:val="center"/>
        </w:trPr>
        <w:tc>
          <w:tcPr>
            <w:tcW w:w="751" w:type="pct"/>
            <w:gridSpan w:val="3"/>
            <w:vMerge w:val="restar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lang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mc:AlternateContent>
                <mc:Choice Requires="wpsCustomData">
                  <wpsCustomData:diagonalParaType/>
                </mc:Choice>
              </mc:AlternateConten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检</w:t>
            </w:r>
            <w:r>
              <w:rPr>
                <w:rFonts w:hint="default" w:ascii="Times New Roman" w:hAnsi="Times New Roman" w:eastAsia="宋体" w:cs="Times New Roman"/>
                <w:color w:val="auto"/>
                <w:kern w:val="0"/>
                <w:sz w:val="21"/>
                <w:szCs w:val="21"/>
              </w:rPr>
              <w:t>测项目</w:t>
            </w:r>
          </w:p>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检测点位</w:t>
            </w:r>
          </w:p>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样品表观</w:t>
            </w:r>
          </w:p>
          <w:p>
            <w:pPr>
              <w:pStyle w:val="2"/>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样品编号</w:t>
            </w:r>
          </w:p>
        </w:tc>
        <w:tc>
          <w:tcPr>
            <w:tcW w:w="1941" w:type="pct"/>
            <w:gridSpan w:val="5"/>
            <w:tcBorders>
              <w:tl2br w:val="nil"/>
              <w:tr2bl w:val="nil"/>
            </w:tcBorders>
            <w:noWrap w:val="0"/>
            <w:vAlign w:val="center"/>
          </w:tcPr>
          <w:p>
            <w:pPr>
              <w:pStyle w:val="13"/>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color w:val="auto"/>
              </w:rPr>
              <w:t>进水口WS1</w:t>
            </w:r>
          </w:p>
        </w:tc>
        <w:tc>
          <w:tcPr>
            <w:tcW w:w="1857" w:type="pct"/>
            <w:gridSpan w:val="5"/>
            <w:tcBorders>
              <w:tl2br w:val="nil"/>
              <w:tr2bl w:val="nil"/>
            </w:tcBorders>
            <w:noWrap w:val="0"/>
            <w:vAlign w:val="center"/>
          </w:tcPr>
          <w:p>
            <w:pPr>
              <w:pStyle w:val="13"/>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
                <w:color w:val="auto"/>
              </w:rPr>
              <w:t>排污口WS2</w:t>
            </w:r>
          </w:p>
        </w:tc>
        <w:tc>
          <w:tcPr>
            <w:tcW w:w="206" w:type="pct"/>
            <w:vMerge w:val="restart"/>
            <w:tcBorders>
              <w:tl2br w:val="nil"/>
              <w:tr2bl w:val="nil"/>
            </w:tcBorders>
            <w:noWrap w:val="0"/>
            <w:vAlign w:val="center"/>
          </w:tcPr>
          <w:p>
            <w:pPr>
              <w:pStyle w:val="13"/>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去除效率</w:t>
            </w:r>
          </w:p>
        </w:tc>
        <w:tc>
          <w:tcPr>
            <w:tcW w:w="243" w:type="pct"/>
            <w:vMerge w:val="restart"/>
            <w:tcBorders>
              <w:tl2br w:val="nil"/>
              <w:tr2bl w:val="nil"/>
            </w:tcBorders>
            <w:noWrap w:val="0"/>
            <w:vAlign w:val="center"/>
          </w:tcPr>
          <w:p>
            <w:pPr>
              <w:pStyle w:val="13"/>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751"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p>
        </w:tc>
        <w:tc>
          <w:tcPr>
            <w:tcW w:w="1941" w:type="pct"/>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棕色、有异味、浑浊、有沉淀</w:t>
            </w:r>
          </w:p>
        </w:tc>
        <w:tc>
          <w:tcPr>
            <w:tcW w:w="1857" w:type="pct"/>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无色、微弱异味、较清</w:t>
            </w:r>
          </w:p>
        </w:tc>
        <w:tc>
          <w:tcPr>
            <w:tcW w:w="2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24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exact"/>
          <w:jc w:val="center"/>
        </w:trPr>
        <w:tc>
          <w:tcPr>
            <w:tcW w:w="751" w:type="pct"/>
            <w:gridSpan w:val="3"/>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WS1-2-1</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WS1-2-2</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WS1-2-3</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WS1-2-4</w:t>
            </w:r>
          </w:p>
        </w:tc>
        <w:tc>
          <w:tcPr>
            <w:tcW w:w="36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val="0"/>
                <w:color w:val="auto"/>
                <w:kern w:val="0"/>
                <w:sz w:val="21"/>
                <w:szCs w:val="21"/>
                <w:lang w:eastAsia="zh-CN"/>
              </w:rPr>
              <w:t>平均值</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WS2-1-1</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WS2-1-2</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WS2-1-3</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WS2-1-4</w:t>
            </w:r>
          </w:p>
        </w:tc>
        <w:tc>
          <w:tcPr>
            <w:tcW w:w="35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平均值</w:t>
            </w:r>
          </w:p>
        </w:tc>
        <w:tc>
          <w:tcPr>
            <w:tcW w:w="20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lang w:val="en-US" w:eastAsia="zh-CN"/>
              </w:rPr>
            </w:pPr>
          </w:p>
        </w:tc>
        <w:tc>
          <w:tcPr>
            <w:tcW w:w="24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pH值</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无量纲</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7.2</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7.2</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7.3</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7.2</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bCs/>
                <w:i w:val="0"/>
                <w:iCs w:val="0"/>
                <w:color w:val="auto"/>
                <w:kern w:val="0"/>
                <w:sz w:val="21"/>
                <w:szCs w:val="21"/>
                <w:u w:val="none"/>
                <w:lang w:val="en-US" w:eastAsia="zh-CN" w:bidi="ar"/>
              </w:rPr>
              <w:t>7.2</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8.2</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8.3</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8.1</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8.2</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8.2</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色度</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倍</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500</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500</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400</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500</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475</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2</w:t>
            </w:r>
            <w:r>
              <w:rPr>
                <w:rFonts w:hint="eastAsia" w:ascii="Times New Roman" w:hAnsi="Times New Roman" w:cs="Times New Roman"/>
                <w:b/>
                <w:bCs/>
                <w:i w:val="0"/>
                <w:iCs w:val="0"/>
                <w:color w:val="auto"/>
                <w:kern w:val="0"/>
                <w:sz w:val="21"/>
                <w:szCs w:val="21"/>
                <w:u w:val="none"/>
                <w:lang w:val="en-US" w:eastAsia="zh-CN" w:bidi="ar"/>
              </w:rPr>
              <w:t>.5</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99.5</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粪大肠菌群</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个/L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2.8×10</w:t>
            </w:r>
            <w:r>
              <w:rPr>
                <w:rFonts w:hint="default" w:ascii="Times New Roman" w:hAnsi="Times New Roman" w:cs="Times New Roman"/>
                <w:color w:val="auto"/>
                <w:vertAlign w:val="superscript"/>
              </w:rPr>
              <w:t>7</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2.4×10</w:t>
            </w:r>
            <w:r>
              <w:rPr>
                <w:rFonts w:hint="default" w:ascii="Times New Roman" w:hAnsi="Times New Roman" w:cs="Times New Roman"/>
                <w:color w:val="auto"/>
                <w:vertAlign w:val="superscript"/>
              </w:rPr>
              <w:t>7</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1.1×10</w:t>
            </w:r>
            <w:r>
              <w:rPr>
                <w:rFonts w:hint="default" w:ascii="Times New Roman" w:hAnsi="Times New Roman" w:cs="Times New Roman"/>
                <w:color w:val="auto"/>
                <w:vertAlign w:val="superscript"/>
              </w:rPr>
              <w:t>7</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2.2×10</w:t>
            </w:r>
            <w:r>
              <w:rPr>
                <w:rFonts w:hint="default" w:ascii="Times New Roman" w:hAnsi="Times New Roman" w:cs="Times New Roman"/>
                <w:color w:val="auto"/>
                <w:vertAlign w:val="superscript"/>
              </w:rPr>
              <w:t>7</w:t>
            </w:r>
          </w:p>
        </w:tc>
        <w:tc>
          <w:tcPr>
            <w:tcW w:w="36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
                <w:bCs w:val="0"/>
                <w:color w:val="auto"/>
                <w:kern w:val="0"/>
                <w:sz w:val="21"/>
                <w:szCs w:val="21"/>
                <w:lang w:val="en-US" w:eastAsia="zh-CN" w:bidi="ar"/>
              </w:rPr>
              <w:t>—</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＜20</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＜20</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＜20</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＜20</w:t>
            </w:r>
          </w:p>
        </w:tc>
        <w:tc>
          <w:tcPr>
            <w:tcW w:w="354"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
                <w:bCs w:val="0"/>
                <w:color w:val="auto"/>
                <w:kern w:val="0"/>
                <w:sz w:val="21"/>
                <w:szCs w:val="21"/>
                <w:lang w:val="en-US" w:eastAsia="zh-CN" w:bidi="ar"/>
              </w:rPr>
              <w:t>—</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rPr>
              <w:t>10</w:t>
            </w:r>
            <w:r>
              <w:rPr>
                <w:rFonts w:hint="default" w:ascii="Times New Roman" w:hAnsi="Times New Roman" w:cs="Times New Roman"/>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氨氮</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35.0</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36.0</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37.2</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36.7</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b/>
                <w:bCs/>
                <w:i w:val="0"/>
                <w:iCs w:val="0"/>
                <w:color w:val="auto"/>
                <w:kern w:val="0"/>
                <w:sz w:val="21"/>
                <w:szCs w:val="21"/>
                <w:u w:val="none"/>
                <w:lang w:val="en-US" w:eastAsia="zh-CN" w:bidi="ar"/>
              </w:rPr>
              <w:t>36.2</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3.22</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2.95</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2.81</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2.74</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2.9</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91.9</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化学需氧量</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748</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775</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778</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746</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
                <w:bCs/>
                <w:i w:val="0"/>
                <w:iCs w:val="0"/>
                <w:color w:val="auto"/>
                <w:kern w:val="0"/>
                <w:sz w:val="21"/>
                <w:szCs w:val="21"/>
                <w:u w:val="none"/>
                <w:lang w:val="en-US" w:eastAsia="zh-CN" w:bidi="ar"/>
              </w:rPr>
              <w:t>762</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30</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31</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29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31</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30</w:t>
            </w:r>
            <w:r>
              <w:rPr>
                <w:rFonts w:hint="eastAsia" w:ascii="Times New Roman" w:hAnsi="Times New Roman" w:cs="Times New Roman"/>
                <w:b/>
                <w:bCs/>
                <w:i w:val="0"/>
                <w:iCs w:val="0"/>
                <w:color w:val="auto"/>
                <w:kern w:val="0"/>
                <w:sz w:val="21"/>
                <w:szCs w:val="21"/>
                <w:u w:val="none"/>
                <w:lang w:val="en-US" w:eastAsia="zh-CN" w:bidi="ar"/>
              </w:rPr>
              <w:t>.2</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96.0</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五日生化需氧量</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344</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304</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312</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317</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319</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5.8</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7.4</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4.3</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5.9</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5.8</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98.2</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悬浮物</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221</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236</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244</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219</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230</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6</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8</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7</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6.5</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97.2</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总磷</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8.74</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8.35</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9.48</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9.16</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
                <w:bCs/>
                <w:i w:val="0"/>
                <w:iCs w:val="0"/>
                <w:color w:val="auto"/>
                <w:kern w:val="0"/>
                <w:sz w:val="21"/>
                <w:szCs w:val="21"/>
                <w:u w:val="none"/>
                <w:lang w:val="en-US" w:eastAsia="zh-CN" w:bidi="ar"/>
              </w:rPr>
              <w:t>8.9</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0.16</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0.24</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0.19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0.18</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0.19</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97.8</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总氮</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52.3</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54.0</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49.5</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55.6</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52.8</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5.99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5.30</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6.62</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5.95</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5.96</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88.7</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石油类</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1.17</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1.25</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1.15</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1.22</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1.</w:t>
            </w:r>
            <w:r>
              <w:rPr>
                <w:rFonts w:hint="default" w:ascii="Times New Roman" w:hAnsi="Times New Roman" w:cs="Times New Roman"/>
                <w:b/>
                <w:bCs/>
                <w:i w:val="0"/>
                <w:iCs w:val="0"/>
                <w:color w:val="auto"/>
                <w:kern w:val="0"/>
                <w:sz w:val="21"/>
                <w:szCs w:val="21"/>
                <w:u w:val="none"/>
                <w:lang w:val="en-US" w:eastAsia="zh-CN" w:bidi="ar"/>
              </w:rPr>
              <w:t>20</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0.49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0.47</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0.54</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0.65</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0.5</w:t>
            </w:r>
            <w:r>
              <w:rPr>
                <w:rFonts w:hint="default" w:ascii="Times New Roman" w:hAnsi="Times New Roman" w:cs="Times New Roman"/>
                <w:b/>
                <w:bCs/>
                <w:i w:val="0"/>
                <w:iCs w:val="0"/>
                <w:color w:val="auto"/>
                <w:kern w:val="0"/>
                <w:sz w:val="21"/>
                <w:szCs w:val="21"/>
                <w:u w:val="none"/>
                <w:lang w:val="en-US" w:eastAsia="zh-CN" w:bidi="ar"/>
              </w:rPr>
              <w:t>4</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55.1</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动植物油</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0.98</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1.03</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0.96</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0.96</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0.98</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0.49</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0.43</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0.35</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0.25</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0.38</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61.3</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9" w:type="pct"/>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阴离子表面活性剂</w:t>
            </w:r>
          </w:p>
        </w:tc>
        <w:tc>
          <w:tcPr>
            <w:tcW w:w="24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rPr>
              <w:t>mg/L</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18.5</w:t>
            </w:r>
          </w:p>
        </w:tc>
        <w:tc>
          <w:tcPr>
            <w:tcW w:w="402"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18.2</w:t>
            </w:r>
          </w:p>
        </w:tc>
        <w:tc>
          <w:tcPr>
            <w:tcW w:w="359"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17.9</w:t>
            </w:r>
          </w:p>
        </w:tc>
        <w:tc>
          <w:tcPr>
            <w:tcW w:w="407"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rPr>
              <w:t>18.8</w:t>
            </w:r>
          </w:p>
        </w:tc>
        <w:tc>
          <w:tcPr>
            <w:tcW w:w="365"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
                <w:bCs/>
                <w:i w:val="0"/>
                <w:iCs w:val="0"/>
                <w:color w:val="auto"/>
                <w:kern w:val="0"/>
                <w:sz w:val="21"/>
                <w:szCs w:val="21"/>
                <w:u w:val="none"/>
                <w:lang w:val="en-US" w:eastAsia="zh-CN" w:bidi="ar"/>
              </w:rPr>
              <w:t>18.</w:t>
            </w:r>
            <w:r>
              <w:rPr>
                <w:rFonts w:hint="default" w:ascii="Times New Roman" w:hAnsi="Times New Roman" w:cs="Times New Roman"/>
                <w:b/>
                <w:bCs/>
                <w:i w:val="0"/>
                <w:iCs w:val="0"/>
                <w:color w:val="auto"/>
                <w:kern w:val="0"/>
                <w:sz w:val="21"/>
                <w:szCs w:val="21"/>
                <w:u w:val="none"/>
                <w:lang w:val="en-US" w:eastAsia="zh-CN" w:bidi="ar"/>
              </w:rPr>
              <w:t>4</w:t>
            </w:r>
          </w:p>
        </w:tc>
        <w:tc>
          <w:tcPr>
            <w:tcW w:w="386"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0.06</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0.07</w:t>
            </w:r>
          </w:p>
        </w:tc>
        <w:tc>
          <w:tcPr>
            <w:tcW w:w="36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0.07</w:t>
            </w:r>
          </w:p>
        </w:tc>
        <w:tc>
          <w:tcPr>
            <w:tcW w:w="375" w:type="pct"/>
            <w:tcBorders>
              <w:tl2br w:val="nil"/>
              <w:tr2bl w:val="nil"/>
            </w:tcBorders>
            <w:noWrap w:val="0"/>
            <w:vAlign w:val="center"/>
          </w:tcPr>
          <w:p>
            <w:pPr>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rPr>
              <w:t>0.07</w:t>
            </w:r>
          </w:p>
        </w:tc>
        <w:tc>
          <w:tcPr>
            <w:tcW w:w="354" w:type="pct"/>
            <w:tcBorders>
              <w:tl2br w:val="nil"/>
              <w:tr2bl w:val="nil"/>
            </w:tcBorders>
            <w:noWrap w:val="0"/>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0.0</w:t>
            </w:r>
            <w:r>
              <w:rPr>
                <w:rFonts w:hint="default" w:ascii="Times New Roman" w:hAnsi="Times New Roman" w:cs="Times New Roman"/>
                <w:b/>
                <w:bCs/>
                <w:i w:val="0"/>
                <w:iCs w:val="0"/>
                <w:color w:val="auto"/>
                <w:kern w:val="0"/>
                <w:sz w:val="21"/>
                <w:szCs w:val="21"/>
                <w:u w:val="none"/>
                <w:lang w:val="en-US" w:eastAsia="zh-CN" w:bidi="ar"/>
              </w:rPr>
              <w:t>7</w:t>
            </w:r>
          </w:p>
        </w:tc>
        <w:tc>
          <w:tcPr>
            <w:tcW w:w="206" w:type="pct"/>
            <w:tcBorders>
              <w:tl2br w:val="nil"/>
              <w:tr2bl w:val="nil"/>
            </w:tcBorders>
            <w:noWrap w:val="0"/>
            <w:vAlign w:val="center"/>
          </w:tcPr>
          <w:p>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cs="Times New Roman"/>
                <w:b/>
                <w:bCs/>
                <w:color w:val="auto"/>
                <w:kern w:val="0"/>
                <w:sz w:val="21"/>
                <w:szCs w:val="21"/>
                <w:lang w:val="en-US" w:eastAsia="zh-CN" w:bidi="ar-SA"/>
              </w:rPr>
              <w:t>99.6</w:t>
            </w:r>
          </w:p>
        </w:tc>
        <w:tc>
          <w:tcPr>
            <w:tcW w:w="243" w:type="pct"/>
            <w:tcBorders>
              <w:tl2br w:val="nil"/>
              <w:tr2bl w:val="nil"/>
            </w:tcBorders>
            <w:noWrap w:val="0"/>
            <w:vAlign w:val="center"/>
          </w:tcPr>
          <w:p>
            <w:pPr>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51" w:type="pct"/>
            <w:gridSpan w:val="3"/>
            <w:tcBorders>
              <w:tl2br w:val="nil"/>
              <w:tr2bl w:val="nil"/>
            </w:tcBorders>
            <w:noWrap w:val="0"/>
            <w:vAlign w:val="center"/>
          </w:tcPr>
          <w:p>
            <w:pPr>
              <w:pStyle w:val="22"/>
              <w:keepNext w:val="0"/>
              <w:keepLines w:val="0"/>
              <w:pageBreakBefore w:val="0"/>
              <w:kinsoku/>
              <w:wordWrap/>
              <w:overflowPunct/>
              <w:topLinePunct w:val="0"/>
              <w:bidi w:val="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eastAsia="zh-CN"/>
              </w:rPr>
              <w:t>结果分析</w:t>
            </w:r>
          </w:p>
        </w:tc>
        <w:tc>
          <w:tcPr>
            <w:tcW w:w="4248" w:type="pct"/>
            <w:gridSpan w:val="12"/>
            <w:tcBorders>
              <w:tl2br w:val="nil"/>
              <w:tr2bl w:val="nil"/>
            </w:tcBorders>
            <w:noWrap w:val="0"/>
            <w:vAlign w:val="center"/>
          </w:tcPr>
          <w:p>
            <w:pPr>
              <w:keepNext w:val="0"/>
              <w:keepLines w:val="0"/>
              <w:pageBreakBefore w:val="0"/>
              <w:kinsoku/>
              <w:wordWrap/>
              <w:overflowPunct/>
              <w:topLinePunct w:val="0"/>
              <w:bidi w:val="0"/>
              <w:spacing w:line="240" w:lineRule="auto"/>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项目废水监测中</w:t>
            </w:r>
            <w:r>
              <w:rPr>
                <w:rFonts w:hint="default" w:ascii="Times New Roman" w:hAnsi="Times New Roman" w:cs="Times New Roman"/>
                <w:color w:val="auto"/>
                <w:lang w:val="en-US" w:eastAsia="zh-CN"/>
              </w:rPr>
              <w:t>pH值、COD、SS、BOD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-N、石油类、总磷、总氮、动植物油类、阴离子表面活性剂、粪大肠菌群、色度等指标满足</w:t>
            </w:r>
            <w:r>
              <w:rPr>
                <w:rFonts w:hint="default" w:ascii="Times New Roman" w:hAnsi="Times New Roman" w:eastAsia="宋体" w:cs="Times New Roman"/>
                <w:color w:val="auto"/>
                <w:kern w:val="0"/>
                <w:sz w:val="21"/>
                <w:szCs w:val="21"/>
                <w:lang w:val="en-US" w:eastAsia="zh-CN"/>
              </w:rPr>
              <w:t>《城镇污水处理厂污染物排放标准》（GB 18918-2002）表1中一级A标准限值。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1" w:type="pct"/>
            <w:gridSpan w:val="3"/>
            <w:tcBorders>
              <w:tl2br w:val="nil"/>
              <w:tr2bl w:val="nil"/>
            </w:tcBorders>
            <w:noWrap w:val="0"/>
            <w:vAlign w:val="center"/>
          </w:tcPr>
          <w:p>
            <w:pPr>
              <w:pStyle w:val="145"/>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备注</w:t>
            </w:r>
          </w:p>
        </w:tc>
        <w:tc>
          <w:tcPr>
            <w:tcW w:w="4248" w:type="pct"/>
            <w:gridSpan w:val="12"/>
            <w:tcBorders>
              <w:tl2br w:val="nil"/>
              <w:tr2bl w:val="nil"/>
            </w:tcBorders>
            <w:noWrap w:val="0"/>
            <w:vAlign w:val="center"/>
          </w:tcPr>
          <w:p>
            <w:pPr>
              <w:pStyle w:val="2"/>
              <w:keepNext w:val="0"/>
              <w:keepLines w:val="0"/>
              <w:pageBreakBefore w:val="0"/>
              <w:numPr>
                <w:ilvl w:val="0"/>
                <w:numId w:val="0"/>
              </w:numPr>
              <w:kinsoku/>
              <w:wordWrap/>
              <w:overflowPunct/>
              <w:topLinePunct w:val="0"/>
              <w:bidi w:val="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r>
    </w:tbl>
    <w:p>
      <w:pPr>
        <w:rPr>
          <w:rFonts w:hint="default" w:ascii="Times New Roman" w:hAnsi="Times New Roman" w:cs="Times New Roman"/>
          <w:color w:val="auto"/>
          <w:lang w:val="en-US" w:eastAsia="zh-CN"/>
        </w:rPr>
      </w:pPr>
    </w:p>
    <w:p>
      <w:pPr>
        <w:pStyle w:val="87"/>
        <w:bidi w:val="0"/>
        <w:rPr>
          <w:rFonts w:hint="default" w:ascii="Times New Roman" w:hAnsi="Times New Roman" w:cs="Times New Roman"/>
          <w:color w:val="auto"/>
          <w:lang w:val="en-US" w:eastAsia="zh-CN"/>
        </w:rPr>
        <w:sectPr>
          <w:pgSz w:w="16840" w:h="11907" w:orient="landscape"/>
          <w:pgMar w:top="1531" w:right="1440" w:bottom="1531" w:left="1440" w:header="850" w:footer="851" w:gutter="0"/>
          <w:pgBorders>
            <w:top w:val="none" w:sz="0" w:space="0"/>
            <w:left w:val="none" w:sz="0" w:space="0"/>
            <w:bottom w:val="none" w:sz="0" w:space="0"/>
            <w:right w:val="none" w:sz="0" w:space="0"/>
          </w:pgBorders>
          <w:pgNumType w:fmt="decimal"/>
          <w:cols w:space="720" w:num="1"/>
          <w:rtlGutter w:val="0"/>
          <w:docGrid w:linePitch="299" w:charSpace="0"/>
        </w:sectPr>
      </w:pPr>
      <w:r>
        <w:rPr>
          <w:rFonts w:hint="default" w:ascii="Times New Roman" w:hAnsi="Times New Roman" w:cs="Times New Roman"/>
          <w:color w:val="auto"/>
          <w:lang w:val="en-US" w:eastAsia="zh-CN"/>
        </w:rPr>
        <w:t>验收监测结果表明：验收监测期间，项目废水pH值、COD、SS、BOD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-N、石油类、总磷、总氮、动植物油类、阴离子表面活性剂、粪大肠菌群、色度共12项指标满足《城镇污水处理厂污染物排放标准》（GB 18918－2002）一级A标准限值</w:t>
      </w:r>
    </w:p>
    <w:p>
      <w:pPr>
        <w:pStyle w:val="5"/>
        <w:rPr>
          <w:rFonts w:hint="default" w:ascii="Times New Roman" w:hAnsi="Times New Roman" w:eastAsia="宋体" w:cs="Times New Roman"/>
          <w:color w:val="auto"/>
          <w:sz w:val="28"/>
          <w:szCs w:val="28"/>
        </w:rPr>
      </w:pPr>
      <w:bookmarkStart w:id="146" w:name="_Toc24586"/>
      <w:r>
        <w:rPr>
          <w:rFonts w:hint="default" w:ascii="Times New Roman" w:hAnsi="Times New Roman" w:eastAsia="宋体" w:cs="Times New Roman"/>
          <w:color w:val="auto"/>
          <w:sz w:val="28"/>
          <w:szCs w:val="28"/>
        </w:rPr>
        <w:t>9.2.</w:t>
      </w:r>
      <w:r>
        <w:rPr>
          <w:rFonts w:hint="default" w:ascii="Times New Roman" w:hAnsi="Times New Roman" w:cs="Times New Roman"/>
          <w:color w:val="auto"/>
          <w:sz w:val="28"/>
          <w:szCs w:val="28"/>
          <w:lang w:val="en-US" w:eastAsia="zh-CN"/>
        </w:rPr>
        <w:t>2</w:t>
      </w:r>
      <w:r>
        <w:rPr>
          <w:rFonts w:hint="default" w:ascii="Times New Roman" w:hAnsi="Times New Roman" w:eastAsia="宋体" w:cs="Times New Roman"/>
          <w:color w:val="auto"/>
          <w:sz w:val="28"/>
          <w:szCs w:val="28"/>
        </w:rPr>
        <w:t>废气</w:t>
      </w:r>
      <w:bookmarkEnd w:id="144"/>
      <w:bookmarkEnd w:id="145"/>
      <w:bookmarkEnd w:id="146"/>
    </w:p>
    <w:p>
      <w:pPr>
        <w:pStyle w:val="87"/>
        <w:ind w:firstLine="480"/>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项目无组织废气监测结果及分析见表9.2</w:t>
      </w:r>
      <w:r>
        <w:rPr>
          <w:rFonts w:hint="default" w:ascii="Times New Roman" w:hAnsi="Times New Roman" w:cs="Times New Roman"/>
          <w:snapToGrid w:val="0"/>
          <w:color w:val="auto"/>
          <w:lang w:val="en-US" w:eastAsia="zh-CN"/>
        </w:rPr>
        <w:t>-2</w:t>
      </w:r>
      <w:r>
        <w:rPr>
          <w:rFonts w:hint="default" w:ascii="Times New Roman" w:hAnsi="Times New Roman" w:eastAsia="宋体" w:cs="Times New Roman"/>
          <w:snapToGrid w:val="0"/>
          <w:color w:val="auto"/>
        </w:rPr>
        <w:t>。</w:t>
      </w:r>
    </w:p>
    <w:p>
      <w:pPr>
        <w:pStyle w:val="76"/>
        <w:bidi w:val="0"/>
        <w:rPr>
          <w:rFonts w:hint="default" w:ascii="Times New Roman" w:hAnsi="Times New Roman" w:cs="Times New Roman"/>
          <w:color w:val="auto"/>
        </w:rPr>
      </w:pPr>
      <w:r>
        <w:rPr>
          <w:rFonts w:hint="default" w:ascii="Times New Roman" w:hAnsi="Times New Roman" w:cs="Times New Roman"/>
          <w:color w:val="auto"/>
        </w:rPr>
        <w:t>表9.2</w:t>
      </w:r>
      <w:r>
        <w:rPr>
          <w:rFonts w:hint="default" w:ascii="Times New Roman" w:hAnsi="Times New Roman" w:cs="Times New Roman"/>
          <w:color w:val="auto"/>
          <w:lang w:val="en-US" w:eastAsia="zh-CN"/>
        </w:rPr>
        <w:t>-2</w:t>
      </w:r>
      <w:r>
        <w:rPr>
          <w:rFonts w:hint="default" w:ascii="Times New Roman" w:hAnsi="Times New Roman" w:cs="Times New Roman"/>
          <w:color w:val="auto"/>
        </w:rPr>
        <w:t>项目无组织废气监测结果一览表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070"/>
        <w:gridCol w:w="874"/>
        <w:gridCol w:w="807"/>
        <w:gridCol w:w="1068"/>
        <w:gridCol w:w="1213"/>
        <w:gridCol w:w="5"/>
        <w:gridCol w:w="1064"/>
        <w:gridCol w:w="1097"/>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584"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监测日期</w:t>
            </w:r>
          </w:p>
        </w:tc>
        <w:tc>
          <w:tcPr>
            <w:tcW w:w="591"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482"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445"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589"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第一次</w:t>
            </w:r>
          </w:p>
        </w:tc>
        <w:tc>
          <w:tcPr>
            <w:tcW w:w="669"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第二次</w:t>
            </w:r>
          </w:p>
        </w:tc>
        <w:tc>
          <w:tcPr>
            <w:tcW w:w="589" w:type="pct"/>
            <w:gridSpan w:val="2"/>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第三次</w:t>
            </w:r>
          </w:p>
        </w:tc>
        <w:tc>
          <w:tcPr>
            <w:tcW w:w="605"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第四次</w:t>
            </w:r>
          </w:p>
        </w:tc>
        <w:tc>
          <w:tcPr>
            <w:tcW w:w="442"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20211213</w:t>
            </w: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A1</w:t>
            </w:r>
          </w:p>
        </w:tc>
        <w:tc>
          <w:tcPr>
            <w:tcW w:w="482" w:type="pct"/>
            <w:vMerge w:val="restart"/>
            <w:vAlign w:val="center"/>
          </w:tcPr>
          <w:p>
            <w:pPr>
              <w:jc w:val="center"/>
              <w:rPr>
                <w:rFonts w:hint="default" w:ascii="Times New Roman" w:hAnsi="Times New Roman" w:cs="Times New Roman"/>
                <w:color w:val="auto"/>
                <w:kern w:val="0"/>
              </w:rPr>
            </w:pPr>
            <w:r>
              <w:rPr>
                <w:rFonts w:hint="default" w:ascii="Times New Roman" w:hAnsi="Times New Roman" w:cs="Times New Roman"/>
                <w:color w:val="auto"/>
                <w:kern w:val="0"/>
              </w:rPr>
              <w:t>硫化氢</w:t>
            </w:r>
          </w:p>
        </w:tc>
        <w:tc>
          <w:tcPr>
            <w:tcW w:w="445"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44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A2</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A3</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A4</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A1</w:t>
            </w:r>
          </w:p>
        </w:tc>
        <w:tc>
          <w:tcPr>
            <w:tcW w:w="482" w:type="pct"/>
            <w:vMerge w:val="restart"/>
            <w:vAlign w:val="center"/>
          </w:tcPr>
          <w:p>
            <w:pPr>
              <w:jc w:val="center"/>
              <w:rPr>
                <w:rFonts w:hint="default" w:ascii="Times New Roman" w:hAnsi="Times New Roman" w:cs="Times New Roman"/>
                <w:color w:val="auto"/>
                <w:kern w:val="0"/>
              </w:rPr>
            </w:pPr>
            <w:r>
              <w:rPr>
                <w:rFonts w:hint="default" w:ascii="Times New Roman" w:hAnsi="Times New Roman" w:cs="Times New Roman"/>
                <w:color w:val="auto"/>
                <w:kern w:val="0"/>
              </w:rPr>
              <w:t>臭气浓度</w:t>
            </w:r>
          </w:p>
        </w:tc>
        <w:tc>
          <w:tcPr>
            <w:tcW w:w="445"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无量纲</w:t>
            </w: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44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A2</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A3</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A4</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A1</w:t>
            </w:r>
          </w:p>
        </w:tc>
        <w:tc>
          <w:tcPr>
            <w:tcW w:w="482" w:type="pct"/>
            <w:vMerge w:val="restart"/>
            <w:vAlign w:val="center"/>
          </w:tcPr>
          <w:p>
            <w:pPr>
              <w:jc w:val="center"/>
              <w:rPr>
                <w:rFonts w:hint="default" w:ascii="Times New Roman" w:hAnsi="Times New Roman" w:cs="Times New Roman"/>
                <w:color w:val="auto"/>
                <w:kern w:val="0"/>
              </w:rPr>
            </w:pPr>
            <w:r>
              <w:rPr>
                <w:rFonts w:hint="default" w:ascii="Times New Roman" w:hAnsi="Times New Roman" w:cs="Times New Roman"/>
                <w:color w:val="auto"/>
                <w:kern w:val="0"/>
              </w:rPr>
              <w:t>甲烷</w:t>
            </w:r>
          </w:p>
        </w:tc>
        <w:tc>
          <w:tcPr>
            <w:tcW w:w="445"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3.17×10</w:t>
            </w:r>
            <w:r>
              <w:rPr>
                <w:rFonts w:hint="default" w:ascii="Times New Roman" w:hAnsi="Times New Roman" w:cs="Times New Roman"/>
                <w:color w:val="auto"/>
                <w:vertAlign w:val="superscript"/>
              </w:rPr>
              <w:t>-4</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2.71×10</w:t>
            </w:r>
            <w:r>
              <w:rPr>
                <w:rFonts w:hint="default" w:ascii="Times New Roman" w:hAnsi="Times New Roman" w:cs="Times New Roman"/>
                <w:color w:val="auto"/>
                <w:vertAlign w:val="superscript"/>
              </w:rPr>
              <w:t>-4</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2.51×10</w:t>
            </w:r>
            <w:r>
              <w:rPr>
                <w:rFonts w:hint="default" w:ascii="Times New Roman" w:hAnsi="Times New Roman" w:cs="Times New Roman"/>
                <w:color w:val="auto"/>
                <w:vertAlign w:val="superscript"/>
              </w:rPr>
              <w:t>-4</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2.42×10</w:t>
            </w:r>
            <w:r>
              <w:rPr>
                <w:rFonts w:hint="default" w:ascii="Times New Roman" w:hAnsi="Times New Roman" w:cs="Times New Roman"/>
                <w:color w:val="auto"/>
                <w:vertAlign w:val="superscript"/>
              </w:rPr>
              <w:t>-4</w:t>
            </w:r>
          </w:p>
        </w:tc>
        <w:tc>
          <w:tcPr>
            <w:tcW w:w="44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A2</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2.33×10</w:t>
            </w:r>
            <w:r>
              <w:rPr>
                <w:rFonts w:hint="default" w:ascii="Times New Roman" w:hAnsi="Times New Roman" w:cs="Times New Roman"/>
                <w:color w:val="auto"/>
                <w:vertAlign w:val="superscript"/>
              </w:rPr>
              <w:t>-4</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2.51×10</w:t>
            </w:r>
            <w:r>
              <w:rPr>
                <w:rFonts w:hint="default" w:ascii="Times New Roman" w:hAnsi="Times New Roman" w:cs="Times New Roman"/>
                <w:color w:val="auto"/>
                <w:vertAlign w:val="superscript"/>
              </w:rPr>
              <w:t>-4</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2.39×10</w:t>
            </w:r>
            <w:r>
              <w:rPr>
                <w:rFonts w:hint="default" w:ascii="Times New Roman" w:hAnsi="Times New Roman" w:cs="Times New Roman"/>
                <w:color w:val="auto"/>
                <w:vertAlign w:val="superscript"/>
              </w:rPr>
              <w:t>-4</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2.50×10</w:t>
            </w:r>
            <w:r>
              <w:rPr>
                <w:rFonts w:hint="default" w:ascii="Times New Roman" w:hAnsi="Times New Roman" w:cs="Times New Roman"/>
                <w:color w:val="auto"/>
                <w:vertAlign w:val="superscript"/>
              </w:rPr>
              <w:t>-4</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A3</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2.42×10</w:t>
            </w:r>
            <w:r>
              <w:rPr>
                <w:rFonts w:hint="default" w:ascii="Times New Roman" w:hAnsi="Times New Roman" w:cs="Times New Roman"/>
                <w:color w:val="auto"/>
                <w:vertAlign w:val="superscript"/>
              </w:rPr>
              <w:t>-4</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2.32×10</w:t>
            </w:r>
            <w:r>
              <w:rPr>
                <w:rFonts w:hint="default" w:ascii="Times New Roman" w:hAnsi="Times New Roman" w:cs="Times New Roman"/>
                <w:color w:val="auto"/>
                <w:vertAlign w:val="superscript"/>
              </w:rPr>
              <w:t>-4</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2.33×10</w:t>
            </w:r>
            <w:r>
              <w:rPr>
                <w:rFonts w:hint="default" w:ascii="Times New Roman" w:hAnsi="Times New Roman" w:cs="Times New Roman"/>
                <w:color w:val="auto"/>
                <w:vertAlign w:val="superscript"/>
              </w:rPr>
              <w:t>-4</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2.26×10</w:t>
            </w:r>
            <w:r>
              <w:rPr>
                <w:rFonts w:hint="default" w:ascii="Times New Roman" w:hAnsi="Times New Roman" w:cs="Times New Roman"/>
                <w:color w:val="auto"/>
                <w:vertAlign w:val="superscript"/>
              </w:rPr>
              <w:t>-4</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A4</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2.31×10</w:t>
            </w:r>
            <w:r>
              <w:rPr>
                <w:rFonts w:hint="default" w:ascii="Times New Roman" w:hAnsi="Times New Roman" w:cs="Times New Roman"/>
                <w:color w:val="auto"/>
                <w:vertAlign w:val="superscript"/>
              </w:rPr>
              <w:t>-4</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2.44×10</w:t>
            </w:r>
            <w:r>
              <w:rPr>
                <w:rFonts w:hint="default" w:ascii="Times New Roman" w:hAnsi="Times New Roman" w:cs="Times New Roman"/>
                <w:color w:val="auto"/>
                <w:vertAlign w:val="superscript"/>
              </w:rPr>
              <w:t>-4</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2.38×10</w:t>
            </w:r>
            <w:r>
              <w:rPr>
                <w:rFonts w:hint="default" w:ascii="Times New Roman" w:hAnsi="Times New Roman" w:cs="Times New Roman"/>
                <w:color w:val="auto"/>
                <w:vertAlign w:val="superscript"/>
              </w:rPr>
              <w:t>-4</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2.36×10</w:t>
            </w:r>
            <w:r>
              <w:rPr>
                <w:rFonts w:hint="default" w:ascii="Times New Roman" w:hAnsi="Times New Roman" w:cs="Times New Roman"/>
                <w:color w:val="auto"/>
                <w:vertAlign w:val="superscript"/>
              </w:rPr>
              <w:t>-4</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A1</w:t>
            </w:r>
          </w:p>
        </w:tc>
        <w:tc>
          <w:tcPr>
            <w:tcW w:w="48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氨</w:t>
            </w:r>
          </w:p>
        </w:tc>
        <w:tc>
          <w:tcPr>
            <w:tcW w:w="445"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44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A2</w:t>
            </w:r>
          </w:p>
        </w:tc>
        <w:tc>
          <w:tcPr>
            <w:tcW w:w="482" w:type="pct"/>
            <w:vMerge w:val="continue"/>
            <w:vAlign w:val="center"/>
          </w:tcPr>
          <w:p>
            <w:pPr>
              <w:jc w:val="center"/>
              <w:rPr>
                <w:rFonts w:hint="default" w:ascii="Times New Roman" w:hAnsi="Times New Roman" w:cs="Times New Roman"/>
                <w:color w:val="auto"/>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A3</w:t>
            </w:r>
          </w:p>
        </w:tc>
        <w:tc>
          <w:tcPr>
            <w:tcW w:w="482" w:type="pct"/>
            <w:vMerge w:val="continue"/>
            <w:vAlign w:val="center"/>
          </w:tcPr>
          <w:p>
            <w:pPr>
              <w:jc w:val="center"/>
              <w:rPr>
                <w:rFonts w:hint="default" w:ascii="Times New Roman" w:hAnsi="Times New Roman" w:cs="Times New Roman"/>
                <w:color w:val="auto"/>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A4</w:t>
            </w:r>
          </w:p>
        </w:tc>
        <w:tc>
          <w:tcPr>
            <w:tcW w:w="482" w:type="pct"/>
            <w:vMerge w:val="continue"/>
            <w:vAlign w:val="center"/>
          </w:tcPr>
          <w:p>
            <w:pPr>
              <w:jc w:val="center"/>
              <w:rPr>
                <w:rFonts w:hint="default" w:ascii="Times New Roman" w:hAnsi="Times New Roman" w:cs="Times New Roman"/>
                <w:color w:val="auto"/>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6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589"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监测日期</w:t>
            </w:r>
          </w:p>
        </w:tc>
        <w:tc>
          <w:tcPr>
            <w:tcW w:w="591"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482"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445"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589"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第一次</w:t>
            </w:r>
          </w:p>
        </w:tc>
        <w:tc>
          <w:tcPr>
            <w:tcW w:w="672" w:type="pct"/>
            <w:gridSpan w:val="2"/>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第二次</w:t>
            </w:r>
          </w:p>
        </w:tc>
        <w:tc>
          <w:tcPr>
            <w:tcW w:w="587"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第三次</w:t>
            </w:r>
          </w:p>
        </w:tc>
        <w:tc>
          <w:tcPr>
            <w:tcW w:w="605"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第四次</w:t>
            </w:r>
          </w:p>
        </w:tc>
        <w:tc>
          <w:tcPr>
            <w:tcW w:w="442" w:type="pct"/>
            <w:vAlign w:val="center"/>
          </w:tcPr>
          <w:p>
            <w:pPr>
              <w:jc w:val="center"/>
              <w:rPr>
                <w:rFonts w:hint="default" w:ascii="Times New Roman" w:hAnsi="Times New Roman" w:cs="Times New Roman"/>
                <w:b/>
                <w:bCs/>
                <w:color w:val="auto"/>
              </w:rPr>
            </w:pPr>
            <w:r>
              <w:rPr>
                <w:rFonts w:hint="default" w:ascii="Times New Roman" w:hAnsi="Times New Roman" w:cs="Times New Roman"/>
                <w:b/>
                <w:bCs/>
                <w:color w:val="auto"/>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20211214</w:t>
            </w: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A1</w:t>
            </w:r>
          </w:p>
        </w:tc>
        <w:tc>
          <w:tcPr>
            <w:tcW w:w="482" w:type="pct"/>
            <w:vMerge w:val="restart"/>
            <w:vAlign w:val="center"/>
          </w:tcPr>
          <w:p>
            <w:pPr>
              <w:jc w:val="center"/>
              <w:rPr>
                <w:rFonts w:hint="default" w:ascii="Times New Roman" w:hAnsi="Times New Roman" w:cs="Times New Roman"/>
                <w:color w:val="auto"/>
                <w:kern w:val="0"/>
              </w:rPr>
            </w:pPr>
            <w:r>
              <w:rPr>
                <w:rFonts w:hint="default" w:ascii="Times New Roman" w:hAnsi="Times New Roman" w:cs="Times New Roman"/>
                <w:color w:val="auto"/>
                <w:kern w:val="0"/>
              </w:rPr>
              <w:t>硫化氢</w:t>
            </w:r>
          </w:p>
        </w:tc>
        <w:tc>
          <w:tcPr>
            <w:tcW w:w="445"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44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A2</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A3</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A4</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cs="Times New Roman"/>
                <w:color w:val="auto"/>
                <w:vertAlign w:val="superscript"/>
              </w:rPr>
              <w:t>-3</w:t>
            </w:r>
            <w:r>
              <w:rPr>
                <w:rFonts w:hint="default" w:ascii="Times New Roman" w:hAnsi="Times New Roman" w:cs="Times New Roman"/>
                <w:color w:val="auto"/>
              </w:rPr>
              <w:t>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A1</w:t>
            </w:r>
          </w:p>
        </w:tc>
        <w:tc>
          <w:tcPr>
            <w:tcW w:w="482" w:type="pct"/>
            <w:vMerge w:val="restart"/>
            <w:vAlign w:val="center"/>
          </w:tcPr>
          <w:p>
            <w:pPr>
              <w:jc w:val="center"/>
              <w:rPr>
                <w:rFonts w:hint="default" w:ascii="Times New Roman" w:hAnsi="Times New Roman" w:cs="Times New Roman"/>
                <w:color w:val="auto"/>
                <w:kern w:val="0"/>
              </w:rPr>
            </w:pPr>
            <w:r>
              <w:rPr>
                <w:rFonts w:hint="default" w:ascii="Times New Roman" w:hAnsi="Times New Roman" w:cs="Times New Roman"/>
                <w:color w:val="auto"/>
                <w:kern w:val="0"/>
              </w:rPr>
              <w:t>臭气浓度</w:t>
            </w:r>
          </w:p>
        </w:tc>
        <w:tc>
          <w:tcPr>
            <w:tcW w:w="445"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无量纲</w:t>
            </w: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44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A2</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A3</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A4</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A1</w:t>
            </w:r>
          </w:p>
        </w:tc>
        <w:tc>
          <w:tcPr>
            <w:tcW w:w="482" w:type="pct"/>
            <w:vMerge w:val="restart"/>
            <w:vAlign w:val="center"/>
          </w:tcPr>
          <w:p>
            <w:pPr>
              <w:jc w:val="center"/>
              <w:rPr>
                <w:rFonts w:hint="default" w:ascii="Times New Roman" w:hAnsi="Times New Roman" w:cs="Times New Roman"/>
                <w:color w:val="auto"/>
                <w:kern w:val="0"/>
              </w:rPr>
            </w:pPr>
            <w:r>
              <w:rPr>
                <w:rFonts w:hint="default" w:ascii="Times New Roman" w:hAnsi="Times New Roman" w:cs="Times New Roman"/>
                <w:color w:val="auto"/>
                <w:kern w:val="0"/>
              </w:rPr>
              <w:t>甲烷</w:t>
            </w:r>
          </w:p>
        </w:tc>
        <w:tc>
          <w:tcPr>
            <w:tcW w:w="445"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2.46×10</w:t>
            </w:r>
            <w:r>
              <w:rPr>
                <w:rFonts w:hint="default" w:ascii="Times New Roman" w:hAnsi="Times New Roman" w:cs="Times New Roman"/>
                <w:color w:val="auto"/>
                <w:vertAlign w:val="superscript"/>
              </w:rPr>
              <w:t>-4</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2.29×10</w:t>
            </w:r>
            <w:r>
              <w:rPr>
                <w:rFonts w:hint="default" w:ascii="Times New Roman" w:hAnsi="Times New Roman" w:cs="Times New Roman"/>
                <w:color w:val="auto"/>
                <w:vertAlign w:val="superscript"/>
              </w:rPr>
              <w:t>-4</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2.23×10</w:t>
            </w:r>
            <w:r>
              <w:rPr>
                <w:rFonts w:hint="default" w:ascii="Times New Roman" w:hAnsi="Times New Roman" w:cs="Times New Roman"/>
                <w:color w:val="auto"/>
                <w:vertAlign w:val="superscript"/>
              </w:rPr>
              <w:t>-4</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2.26×10</w:t>
            </w:r>
            <w:r>
              <w:rPr>
                <w:rFonts w:hint="default" w:ascii="Times New Roman" w:hAnsi="Times New Roman" w:cs="Times New Roman"/>
                <w:color w:val="auto"/>
                <w:vertAlign w:val="superscript"/>
              </w:rPr>
              <w:t>-4</w:t>
            </w:r>
          </w:p>
        </w:tc>
        <w:tc>
          <w:tcPr>
            <w:tcW w:w="44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A2</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3.02×10</w:t>
            </w:r>
            <w:r>
              <w:rPr>
                <w:rFonts w:hint="default" w:ascii="Times New Roman" w:hAnsi="Times New Roman" w:cs="Times New Roman"/>
                <w:color w:val="auto"/>
                <w:vertAlign w:val="superscript"/>
              </w:rPr>
              <w:t>-4</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2.44×10</w:t>
            </w:r>
            <w:r>
              <w:rPr>
                <w:rFonts w:hint="default" w:ascii="Times New Roman" w:hAnsi="Times New Roman" w:cs="Times New Roman"/>
                <w:color w:val="auto"/>
                <w:vertAlign w:val="superscript"/>
              </w:rPr>
              <w:t>-4</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2.57×10</w:t>
            </w:r>
            <w:r>
              <w:rPr>
                <w:rFonts w:hint="default" w:ascii="Times New Roman" w:hAnsi="Times New Roman" w:cs="Times New Roman"/>
                <w:color w:val="auto"/>
                <w:vertAlign w:val="superscript"/>
              </w:rPr>
              <w:t>-4</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2.51×10</w:t>
            </w:r>
            <w:r>
              <w:rPr>
                <w:rFonts w:hint="default" w:ascii="Times New Roman" w:hAnsi="Times New Roman" w:cs="Times New Roman"/>
                <w:color w:val="auto"/>
                <w:vertAlign w:val="superscript"/>
              </w:rPr>
              <w:t>-4</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A3</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2.36×10</w:t>
            </w:r>
            <w:r>
              <w:rPr>
                <w:rFonts w:hint="default" w:ascii="Times New Roman" w:hAnsi="Times New Roman" w:cs="Times New Roman"/>
                <w:color w:val="auto"/>
                <w:vertAlign w:val="superscript"/>
              </w:rPr>
              <w:t>-4</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2.28×10</w:t>
            </w:r>
            <w:r>
              <w:rPr>
                <w:rFonts w:hint="default" w:ascii="Times New Roman" w:hAnsi="Times New Roman" w:cs="Times New Roman"/>
                <w:color w:val="auto"/>
                <w:vertAlign w:val="superscript"/>
              </w:rPr>
              <w:t>-4</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2.30×10</w:t>
            </w:r>
            <w:r>
              <w:rPr>
                <w:rFonts w:hint="default" w:ascii="Times New Roman" w:hAnsi="Times New Roman" w:cs="Times New Roman"/>
                <w:color w:val="auto"/>
                <w:vertAlign w:val="superscript"/>
              </w:rPr>
              <w:t>-4</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2.26×10</w:t>
            </w:r>
            <w:r>
              <w:rPr>
                <w:rFonts w:hint="default" w:ascii="Times New Roman" w:hAnsi="Times New Roman" w:cs="Times New Roman"/>
                <w:color w:val="auto"/>
                <w:vertAlign w:val="superscript"/>
              </w:rPr>
              <w:t>-4</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A4</w:t>
            </w:r>
          </w:p>
        </w:tc>
        <w:tc>
          <w:tcPr>
            <w:tcW w:w="482" w:type="pct"/>
            <w:vMerge w:val="continue"/>
            <w:vAlign w:val="center"/>
          </w:tcPr>
          <w:p>
            <w:pPr>
              <w:jc w:val="center"/>
              <w:rPr>
                <w:rFonts w:hint="default" w:ascii="Times New Roman" w:hAnsi="Times New Roman" w:cs="Times New Roman"/>
                <w:color w:val="auto"/>
                <w:kern w:val="0"/>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2.34×10</w:t>
            </w:r>
            <w:r>
              <w:rPr>
                <w:rFonts w:hint="default" w:ascii="Times New Roman" w:hAnsi="Times New Roman" w:cs="Times New Roman"/>
                <w:color w:val="auto"/>
                <w:vertAlign w:val="superscript"/>
              </w:rPr>
              <w:t>-4</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2.30×10</w:t>
            </w:r>
            <w:r>
              <w:rPr>
                <w:rFonts w:hint="default" w:ascii="Times New Roman" w:hAnsi="Times New Roman" w:cs="Times New Roman"/>
                <w:color w:val="auto"/>
                <w:vertAlign w:val="superscript"/>
              </w:rPr>
              <w:t>-4</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2.24×10</w:t>
            </w:r>
            <w:r>
              <w:rPr>
                <w:rFonts w:hint="default" w:ascii="Times New Roman" w:hAnsi="Times New Roman" w:cs="Times New Roman"/>
                <w:color w:val="auto"/>
                <w:vertAlign w:val="superscript"/>
              </w:rPr>
              <w:t>-4</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2.22×10</w:t>
            </w:r>
            <w:r>
              <w:rPr>
                <w:rFonts w:hint="default" w:ascii="Times New Roman" w:hAnsi="Times New Roman" w:cs="Times New Roman"/>
                <w:color w:val="auto"/>
                <w:vertAlign w:val="superscript"/>
              </w:rPr>
              <w:t>-4</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A1</w:t>
            </w:r>
          </w:p>
        </w:tc>
        <w:tc>
          <w:tcPr>
            <w:tcW w:w="48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氨</w:t>
            </w:r>
          </w:p>
        </w:tc>
        <w:tc>
          <w:tcPr>
            <w:tcW w:w="445"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442" w:type="pct"/>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A2</w:t>
            </w:r>
          </w:p>
        </w:tc>
        <w:tc>
          <w:tcPr>
            <w:tcW w:w="482" w:type="pct"/>
            <w:vMerge w:val="continue"/>
            <w:vAlign w:val="center"/>
          </w:tcPr>
          <w:p>
            <w:pPr>
              <w:jc w:val="center"/>
              <w:rPr>
                <w:rFonts w:hint="default" w:ascii="Times New Roman" w:hAnsi="Times New Roman" w:cs="Times New Roman"/>
                <w:color w:val="auto"/>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A3</w:t>
            </w:r>
          </w:p>
        </w:tc>
        <w:tc>
          <w:tcPr>
            <w:tcW w:w="482" w:type="pct"/>
            <w:vMerge w:val="continue"/>
            <w:vAlign w:val="center"/>
          </w:tcPr>
          <w:p>
            <w:pPr>
              <w:jc w:val="center"/>
              <w:rPr>
                <w:rFonts w:hint="default" w:ascii="Times New Roman" w:hAnsi="Times New Roman" w:cs="Times New Roman"/>
                <w:color w:val="auto"/>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Merge w:val="continue"/>
            <w:vAlign w:val="center"/>
          </w:tcPr>
          <w:p>
            <w:pPr>
              <w:jc w:val="center"/>
              <w:rPr>
                <w:rFonts w:hint="default" w:ascii="Times New Roman" w:hAnsi="Times New Roman" w:cs="Times New Roman"/>
                <w:color w:val="auto"/>
              </w:rPr>
            </w:pPr>
          </w:p>
        </w:tc>
        <w:tc>
          <w:tcPr>
            <w:tcW w:w="591"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A4</w:t>
            </w:r>
          </w:p>
        </w:tc>
        <w:tc>
          <w:tcPr>
            <w:tcW w:w="482" w:type="pct"/>
            <w:vMerge w:val="continue"/>
            <w:vAlign w:val="center"/>
          </w:tcPr>
          <w:p>
            <w:pPr>
              <w:jc w:val="center"/>
              <w:rPr>
                <w:rFonts w:hint="default" w:ascii="Times New Roman" w:hAnsi="Times New Roman" w:cs="Times New Roman"/>
                <w:color w:val="auto"/>
              </w:rPr>
            </w:pPr>
          </w:p>
        </w:tc>
        <w:tc>
          <w:tcPr>
            <w:tcW w:w="445" w:type="pct"/>
            <w:vMerge w:val="continue"/>
            <w:vAlign w:val="center"/>
          </w:tcPr>
          <w:p>
            <w:pPr>
              <w:jc w:val="center"/>
              <w:rPr>
                <w:rFonts w:hint="default" w:ascii="Times New Roman" w:hAnsi="Times New Roman" w:cs="Times New Roman"/>
                <w:color w:val="auto"/>
              </w:rPr>
            </w:pPr>
          </w:p>
        </w:tc>
        <w:tc>
          <w:tcPr>
            <w:tcW w:w="589"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72" w:type="pct"/>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587"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605"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0.01L</w:t>
            </w:r>
          </w:p>
        </w:tc>
        <w:tc>
          <w:tcPr>
            <w:tcW w:w="442" w:type="pct"/>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评价依据</w:t>
            </w:r>
          </w:p>
        </w:tc>
        <w:tc>
          <w:tcPr>
            <w:tcW w:w="4415" w:type="pct"/>
            <w:gridSpan w:val="9"/>
            <w:vAlign w:val="center"/>
          </w:tcPr>
          <w:p>
            <w:pP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《城镇污水处理厂污染物排放标准》（GB18918-2002）表5 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监测结论</w:t>
            </w:r>
          </w:p>
        </w:tc>
        <w:tc>
          <w:tcPr>
            <w:tcW w:w="4415" w:type="pct"/>
            <w:gridSpan w:val="9"/>
          </w:tcPr>
          <w:p>
            <w:pPr>
              <w:jc w:val="left"/>
              <w:rPr>
                <w:rFonts w:hint="default" w:ascii="Times New Roman" w:hAnsi="Times New Roman" w:cs="Times New Roman"/>
                <w:color w:val="auto"/>
              </w:rPr>
            </w:pPr>
            <w:r>
              <w:rPr>
                <w:rFonts w:hint="default" w:ascii="Times New Roman" w:hAnsi="Times New Roman" w:cs="Times New Roman"/>
                <w:color w:val="auto"/>
              </w:rPr>
              <w:t>本次监测无组织排放废气A1、A2、A3、A4：硫化氢未检出，监测结果达标；臭气浓度监测结果达标；甲烷最高体积浓度为3.17×10</w:t>
            </w:r>
            <w:r>
              <w:rPr>
                <w:rFonts w:hint="default" w:ascii="Times New Roman" w:hAnsi="Times New Roman" w:cs="Times New Roman"/>
                <w:color w:val="auto"/>
                <w:vertAlign w:val="superscript"/>
              </w:rPr>
              <w:t>-4</w:t>
            </w:r>
            <w:r>
              <w:rPr>
                <w:rFonts w:hint="default" w:ascii="Times New Roman" w:hAnsi="Times New Roman" w:cs="Times New Roman"/>
                <w:color w:val="auto"/>
              </w:rPr>
              <w:t>%，监测结果达标；氨未检出，</w:t>
            </w:r>
            <w:r>
              <w:rPr>
                <w:rFonts w:hint="default" w:ascii="Times New Roman" w:hAnsi="Times New Roman" w:cs="Times New Roman"/>
                <w:color w:val="auto"/>
                <w:lang w:val="en-US" w:eastAsia="zh-CN"/>
              </w:rPr>
              <w:t>监测</w:t>
            </w:r>
            <w:r>
              <w:rPr>
                <w:rFonts w:hint="default" w:ascii="Times New Roman" w:hAnsi="Times New Roman" w:cs="Times New Roman"/>
                <w:color w:val="auto"/>
              </w:rPr>
              <w:t>结果达标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4" w:type="pc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备 注</w:t>
            </w:r>
          </w:p>
        </w:tc>
        <w:tc>
          <w:tcPr>
            <w:tcW w:w="4415" w:type="pct"/>
            <w:gridSpan w:val="9"/>
          </w:tcPr>
          <w:p>
            <w:pPr>
              <w:jc w:val="left"/>
              <w:rPr>
                <w:rFonts w:hint="default" w:ascii="Times New Roman" w:hAnsi="Times New Roman" w:cs="Times New Roman"/>
                <w:color w:val="auto"/>
              </w:rPr>
            </w:pPr>
            <w:r>
              <w:rPr>
                <w:rFonts w:hint="default" w:ascii="Times New Roman" w:hAnsi="Times New Roman" w:cs="Times New Roman"/>
                <w:color w:val="auto"/>
              </w:rPr>
              <w:t>带“L”的数据表示未检出，报出结果以检出限加“L”表示</w:t>
            </w:r>
          </w:p>
        </w:tc>
      </w:tr>
    </w:tbl>
    <w:p>
      <w:pPr>
        <w:pStyle w:val="87"/>
        <w:ind w:firstLine="480"/>
        <w:rPr>
          <w:rFonts w:hint="default" w:ascii="Times New Roman" w:hAnsi="Times New Roman" w:eastAsia="宋体" w:cs="Times New Roman"/>
          <w:snapToGrid w:val="0"/>
          <w:color w:val="auto"/>
        </w:rPr>
      </w:pPr>
    </w:p>
    <w:p>
      <w:pPr>
        <w:pStyle w:val="87"/>
        <w:ind w:firstLine="480"/>
        <w:rPr>
          <w:rFonts w:hint="default" w:ascii="Times New Roman" w:hAnsi="Times New Roman" w:cs="Times New Roman"/>
          <w:color w:val="auto"/>
          <w:lang w:val="en-US" w:eastAsia="zh-CN"/>
        </w:rPr>
      </w:pPr>
      <w:r>
        <w:rPr>
          <w:rFonts w:hint="default" w:ascii="Times New Roman" w:hAnsi="Times New Roman" w:eastAsia="宋体" w:cs="Times New Roman"/>
          <w:snapToGrid w:val="0"/>
          <w:color w:val="auto"/>
        </w:rPr>
        <w:t>根据表9.2</w:t>
      </w:r>
      <w:r>
        <w:rPr>
          <w:rFonts w:hint="default" w:ascii="Times New Roman" w:hAnsi="Times New Roman" w:cs="Times New Roman"/>
          <w:snapToGrid w:val="0"/>
          <w:color w:val="auto"/>
          <w:lang w:val="en-US" w:eastAsia="zh-CN"/>
        </w:rPr>
        <w:t>-2</w:t>
      </w:r>
      <w:r>
        <w:rPr>
          <w:rFonts w:hint="default" w:ascii="Times New Roman" w:hAnsi="Times New Roman" w:eastAsia="宋体" w:cs="Times New Roman"/>
          <w:snapToGrid w:val="0"/>
          <w:color w:val="auto"/>
        </w:rPr>
        <w:t>，验收监测期间，</w:t>
      </w:r>
      <w:r>
        <w:rPr>
          <w:rFonts w:hint="default" w:ascii="Times New Roman" w:hAnsi="Times New Roman" w:cs="Times New Roman"/>
          <w:color w:val="auto"/>
          <w:lang w:val="en-US" w:eastAsia="zh-CN"/>
        </w:rPr>
        <w:t>项目厂界氨、硫化氢未检出，臭气浓度&lt;10，甲烷最高体积浓度为3.17×10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%，检测结果满足《城镇污水处理厂污染物排放标准》（GB18918-2002）表5 二级标准限值。</w:t>
      </w:r>
    </w:p>
    <w:p>
      <w:pPr>
        <w:pStyle w:val="87"/>
        <w:ind w:firstLine="480"/>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项目</w:t>
      </w:r>
      <w:r>
        <w:rPr>
          <w:rFonts w:hint="default" w:ascii="Times New Roman" w:hAnsi="Times New Roman" w:cs="Times New Roman"/>
          <w:snapToGrid w:val="0"/>
          <w:color w:val="auto"/>
          <w:lang w:val="en-US" w:eastAsia="zh-CN"/>
        </w:rPr>
        <w:t>有</w:t>
      </w:r>
      <w:r>
        <w:rPr>
          <w:rFonts w:hint="default" w:ascii="Times New Roman" w:hAnsi="Times New Roman" w:eastAsia="宋体" w:cs="Times New Roman"/>
          <w:snapToGrid w:val="0"/>
          <w:color w:val="auto"/>
        </w:rPr>
        <w:t>组织废气监测结果及分析见表9.2</w:t>
      </w:r>
      <w:r>
        <w:rPr>
          <w:rFonts w:hint="default" w:ascii="Times New Roman" w:hAnsi="Times New Roman" w:cs="Times New Roman"/>
          <w:snapToGrid w:val="0"/>
          <w:color w:val="auto"/>
          <w:lang w:val="en-US" w:eastAsia="zh-CN"/>
        </w:rPr>
        <w:t>-3</w:t>
      </w:r>
      <w:r>
        <w:rPr>
          <w:rFonts w:hint="default" w:ascii="Times New Roman" w:hAnsi="Times New Roman" w:eastAsia="宋体" w:cs="Times New Roman"/>
          <w:snapToGrid w:val="0"/>
          <w:color w:val="auto"/>
        </w:rPr>
        <w:t>。</w:t>
      </w:r>
    </w:p>
    <w:p>
      <w:pPr>
        <w:pStyle w:val="76"/>
        <w:bidi w:val="0"/>
        <w:rPr>
          <w:rFonts w:hint="default" w:ascii="Times New Roman" w:hAnsi="Times New Roman" w:cs="Times New Roman"/>
          <w:color w:val="auto"/>
        </w:rPr>
      </w:pPr>
      <w:r>
        <w:rPr>
          <w:rFonts w:hint="default" w:ascii="Times New Roman" w:hAnsi="Times New Roman" w:cs="Times New Roman"/>
          <w:color w:val="auto"/>
        </w:rPr>
        <w:t>表9.2</w:t>
      </w:r>
      <w:r>
        <w:rPr>
          <w:rFonts w:hint="default" w:ascii="Times New Roman" w:hAnsi="Times New Roman" w:cs="Times New Roman"/>
          <w:color w:val="auto"/>
          <w:lang w:val="en-US" w:eastAsia="zh-CN"/>
        </w:rPr>
        <w:t>-3</w:t>
      </w:r>
      <w:r>
        <w:rPr>
          <w:rFonts w:hint="default" w:ascii="Times New Roman" w:hAnsi="Times New Roman" w:cs="Times New Roman"/>
          <w:color w:val="auto"/>
        </w:rPr>
        <w:t>项目</w:t>
      </w:r>
      <w:r>
        <w:rPr>
          <w:rFonts w:hint="default" w:ascii="Times New Roman" w:hAnsi="Times New Roman" w:cs="Times New Roman"/>
          <w:color w:val="auto"/>
          <w:lang w:val="en-US" w:eastAsia="zh-CN"/>
        </w:rPr>
        <w:t>有</w:t>
      </w:r>
      <w:r>
        <w:rPr>
          <w:rFonts w:hint="default" w:ascii="Times New Roman" w:hAnsi="Times New Roman" w:cs="Times New Roman"/>
          <w:color w:val="auto"/>
        </w:rPr>
        <w:t>组织废气监测结果一览表</w:t>
      </w:r>
    </w:p>
    <w:tbl>
      <w:tblPr>
        <w:tblStyle w:val="33"/>
        <w:tblW w:w="53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692"/>
        <w:gridCol w:w="2558"/>
        <w:gridCol w:w="853"/>
        <w:gridCol w:w="1277"/>
        <w:gridCol w:w="1275"/>
        <w:gridCol w:w="1331"/>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监测日期</w:t>
            </w:r>
          </w:p>
        </w:tc>
        <w:tc>
          <w:tcPr>
            <w:tcW w:w="3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项    目</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FQ1-1-1</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FQ1-1-2</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FQ1-1-3</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20211213</w:t>
            </w:r>
          </w:p>
        </w:tc>
        <w:tc>
          <w:tcPr>
            <w:tcW w:w="35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FQ1</w:t>
            </w: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烟气流速</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m/s</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14.5</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14.1</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14.6</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烟气流量(标.干)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1.09</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1.06</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1.10</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氨实测浓度(标.干)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氨排放浓度(标.干)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氨排放速率</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kg/h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硫化氢实测浓度(标.干)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硫化氢排放浓度(标.干)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硫化氢排放速率</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kg/h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臭气浓度</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无量纲</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549</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732</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732</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监测日期</w:t>
            </w:r>
          </w:p>
        </w:tc>
        <w:tc>
          <w:tcPr>
            <w:tcW w:w="3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项    目</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FQ2-1-1</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FQ2-1-2</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FQ2-1-3</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20211213</w:t>
            </w:r>
          </w:p>
        </w:tc>
        <w:tc>
          <w:tcPr>
            <w:tcW w:w="35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FQ2</w:t>
            </w: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烟气流速</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m/s</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7.1</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7.4</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7.3</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烟气流量(标.干)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1.43</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1.49</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1.47</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氨实测浓度(标.干)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氨排放浓度(标.干)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氨排放速率</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kg/h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硫化氢实测浓度(标.干)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硫化氢排放浓度(标.干)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硫化氢排放速率</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kg/h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臭气浓度</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无量纲</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549</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549</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732</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5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监测日期</w:t>
            </w:r>
          </w:p>
        </w:tc>
        <w:tc>
          <w:tcPr>
            <w:tcW w:w="3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项    目</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FQ1-2-1</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FQ1-2-2</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FQ1-2-3</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20211214</w:t>
            </w:r>
          </w:p>
        </w:tc>
        <w:tc>
          <w:tcPr>
            <w:tcW w:w="35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FQ1</w:t>
            </w: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烟气流速</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m/s</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14.0</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14.2</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14.3</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烟气流量(标.干)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1.06</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1.08</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1.08</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氨实测浓度(标.干)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氨排放浓度(标.干)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氨排放速率</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kg/h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硫化氢实测浓度(标.干)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硫化氢排放浓度(标.干)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硫化氢排放速率</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kg/h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臭气浓度</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无量纲</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549</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732</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549</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监测日期</w:t>
            </w:r>
          </w:p>
        </w:tc>
        <w:tc>
          <w:tcPr>
            <w:tcW w:w="3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项    目</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FQ2-2-1</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FQ2-2-2</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FQ2-2-3</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20211214</w:t>
            </w:r>
          </w:p>
        </w:tc>
        <w:tc>
          <w:tcPr>
            <w:tcW w:w="354" w:type="pct"/>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FQ2</w:t>
            </w: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烟气流速</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m/s</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7.0</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7.5</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7.3</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烟气流量(标.干)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1.41</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1.52</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1.47</w:t>
            </w:r>
            <w:r>
              <w:rPr>
                <w:rFonts w:hint="default" w:ascii="Times New Roman" w:hAnsi="Times New Roman" w:cs="Times New Roman"/>
                <w:color w:val="auto"/>
              </w:rPr>
              <w:t>×10</w:t>
            </w:r>
            <w:r>
              <w:rPr>
                <w:rFonts w:hint="default" w:ascii="Times New Roman" w:hAnsi="Times New Roman" w:cs="Times New Roman"/>
                <w:color w:val="auto"/>
                <w:vertAlign w:val="superscript"/>
              </w:rPr>
              <w:t>4</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氨实测浓度(标.干)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氨排放浓度(标.干)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0.25L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氨排放速率</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kg/h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硫化氢实测浓度(标.干)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硫化氢排放浓度(标.干)</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1.00×10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L</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硫化氢排放速率</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kg/h</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N</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354"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p>
        </w:tc>
        <w:tc>
          <w:tcPr>
            <w:tcW w:w="1310"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臭气浓度</w:t>
            </w:r>
          </w:p>
        </w:tc>
        <w:tc>
          <w:tcPr>
            <w:tcW w:w="43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无量纲</w:t>
            </w:r>
          </w:p>
        </w:tc>
        <w:tc>
          <w:tcPr>
            <w:tcW w:w="654"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732</w:t>
            </w:r>
          </w:p>
        </w:tc>
        <w:tc>
          <w:tcPr>
            <w:tcW w:w="653"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549</w:t>
            </w:r>
          </w:p>
        </w:tc>
        <w:tc>
          <w:tcPr>
            <w:tcW w:w="681"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732</w:t>
            </w:r>
          </w:p>
        </w:tc>
        <w:tc>
          <w:tcPr>
            <w:tcW w:w="366"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rPr>
            </w:pPr>
            <w:r>
              <w:rPr>
                <w:rFonts w:hint="default" w:ascii="Times New Roman" w:hAnsi="Times New Roman" w:cs="Times New Roman"/>
                <w:bCs/>
                <w:color w:val="auto"/>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评价依据</w:t>
            </w:r>
          </w:p>
        </w:tc>
        <w:tc>
          <w:tcPr>
            <w:tcW w:w="4457"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《恶臭污染物排放标准》（GB14554-93）表2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监测结论</w:t>
            </w:r>
          </w:p>
        </w:tc>
        <w:tc>
          <w:tcPr>
            <w:tcW w:w="4457"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本次监测废气：臭气浓度监测结果达标；氨、硫化氢排放速率均达标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2"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t>备 注</w:t>
            </w:r>
          </w:p>
        </w:tc>
        <w:tc>
          <w:tcPr>
            <w:tcW w:w="4457" w:type="pct"/>
            <w:gridSpan w:val="7"/>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带“L”的数据表示未检出，报出结果以检出限加“L”表示；当排放浓度为未检出时，排放速率以“N”表示</w:t>
            </w:r>
          </w:p>
        </w:tc>
      </w:tr>
    </w:tbl>
    <w:p>
      <w:pPr>
        <w:pStyle w:val="87"/>
        <w:ind w:firstLine="480"/>
        <w:rPr>
          <w:rFonts w:hint="default" w:ascii="Times New Roman" w:hAnsi="Times New Roman" w:cs="Times New Roman"/>
          <w:color w:val="auto"/>
          <w:lang w:val="en-US" w:eastAsia="zh-CN"/>
        </w:rPr>
      </w:pPr>
      <w:r>
        <w:rPr>
          <w:rFonts w:hint="default" w:ascii="Times New Roman" w:hAnsi="Times New Roman" w:eastAsia="宋体" w:cs="Times New Roman"/>
          <w:snapToGrid w:val="0"/>
          <w:color w:val="auto"/>
        </w:rPr>
        <w:t>根据表9.2</w:t>
      </w:r>
      <w:r>
        <w:rPr>
          <w:rFonts w:hint="default" w:ascii="Times New Roman" w:hAnsi="Times New Roman" w:cs="Times New Roman"/>
          <w:snapToGrid w:val="0"/>
          <w:color w:val="auto"/>
          <w:lang w:val="en-US" w:eastAsia="zh-CN"/>
        </w:rPr>
        <w:t>-3</w:t>
      </w:r>
      <w:r>
        <w:rPr>
          <w:rFonts w:hint="default" w:ascii="Times New Roman" w:hAnsi="Times New Roman" w:eastAsia="宋体" w:cs="Times New Roman"/>
          <w:snapToGrid w:val="0"/>
          <w:color w:val="auto"/>
        </w:rPr>
        <w:t>，验收监测期间，</w:t>
      </w:r>
      <w:r>
        <w:rPr>
          <w:rFonts w:hint="default" w:ascii="Times New Roman" w:hAnsi="Times New Roman" w:cs="Times New Roman"/>
          <w:color w:val="auto"/>
          <w:lang w:val="en-US" w:eastAsia="zh-CN"/>
        </w:rPr>
        <w:t>项目有组织排放废气氨、硫化氢、臭气浓度检测结果满足</w:t>
      </w:r>
      <w:r>
        <w:rPr>
          <w:rFonts w:hint="default" w:ascii="Times New Roman" w:hAnsi="Times New Roman" w:cs="Times New Roman"/>
          <w:color w:val="auto"/>
        </w:rPr>
        <w:t>《恶臭污染物排放标准》（GB14554-93）表2</w:t>
      </w:r>
      <w:r>
        <w:rPr>
          <w:rFonts w:hint="default" w:ascii="Times New Roman" w:hAnsi="Times New Roman" w:cs="Times New Roman"/>
          <w:color w:val="auto"/>
          <w:lang w:val="en-US" w:eastAsia="zh-CN"/>
        </w:rPr>
        <w:t>限值。</w:t>
      </w:r>
    </w:p>
    <w:p>
      <w:pPr>
        <w:pStyle w:val="5"/>
        <w:rPr>
          <w:rFonts w:hint="default" w:ascii="Times New Roman" w:hAnsi="Times New Roman" w:eastAsia="宋体" w:cs="Times New Roman"/>
          <w:color w:val="auto"/>
          <w:sz w:val="28"/>
          <w:szCs w:val="28"/>
        </w:rPr>
      </w:pPr>
      <w:bookmarkStart w:id="147" w:name="_Toc29824727"/>
      <w:bookmarkStart w:id="148" w:name="_Toc38631552"/>
      <w:bookmarkStart w:id="149" w:name="_Toc18619"/>
      <w:bookmarkStart w:id="150" w:name="_Toc22751"/>
      <w:bookmarkStart w:id="151" w:name="_Toc67414467"/>
      <w:r>
        <w:rPr>
          <w:rFonts w:hint="default" w:ascii="Times New Roman" w:hAnsi="Times New Roman" w:eastAsia="宋体" w:cs="Times New Roman"/>
          <w:color w:val="auto"/>
          <w:sz w:val="28"/>
          <w:szCs w:val="28"/>
        </w:rPr>
        <w:t>9.2.3厂界噪声</w:t>
      </w:r>
      <w:bookmarkEnd w:id="147"/>
      <w:bookmarkEnd w:id="148"/>
      <w:bookmarkEnd w:id="149"/>
      <w:bookmarkEnd w:id="150"/>
      <w:bookmarkEnd w:id="151"/>
    </w:p>
    <w:p>
      <w:pPr>
        <w:pStyle w:val="87"/>
        <w:ind w:firstLine="480"/>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厂界噪声监测结果见表</w:t>
      </w:r>
      <w:r>
        <w:rPr>
          <w:rFonts w:hint="default" w:ascii="Times New Roman" w:hAnsi="Times New Roman" w:cs="Times New Roman"/>
          <w:snapToGrid w:val="0"/>
          <w:color w:val="auto"/>
          <w:lang w:val="en-US" w:eastAsia="zh-CN"/>
        </w:rPr>
        <w:t>9.2-4</w:t>
      </w:r>
      <w:r>
        <w:rPr>
          <w:rFonts w:hint="default" w:ascii="Times New Roman" w:hAnsi="Times New Roman" w:eastAsia="宋体" w:cs="Times New Roman"/>
          <w:snapToGrid w:val="0"/>
          <w:color w:val="auto"/>
        </w:rPr>
        <w:t>。</w:t>
      </w:r>
    </w:p>
    <w:p>
      <w:pPr>
        <w:pStyle w:val="87"/>
        <w:ind w:firstLine="480"/>
        <w:rPr>
          <w:rFonts w:hint="default" w:ascii="Times New Roman" w:hAnsi="Times New Roman" w:eastAsia="宋体" w:cs="Times New Roman"/>
          <w:snapToGrid w:val="0"/>
          <w:color w:val="auto"/>
        </w:rPr>
      </w:pPr>
    </w:p>
    <w:p>
      <w:pPr>
        <w:pStyle w:val="76"/>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9.2-4</w:t>
      </w:r>
      <w:r>
        <w:rPr>
          <w:rFonts w:hint="default" w:ascii="Times New Roman" w:hAnsi="Times New Roman" w:cs="Times New Roman"/>
          <w:color w:val="auto"/>
        </w:rPr>
        <w:t>厂界噪声检测结果一览表</w:t>
      </w:r>
    </w:p>
    <w:tbl>
      <w:tblPr>
        <w:tblStyle w:val="33"/>
        <w:tblW w:w="9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708"/>
        <w:gridCol w:w="993"/>
        <w:gridCol w:w="992"/>
        <w:gridCol w:w="709"/>
        <w:gridCol w:w="708"/>
        <w:gridCol w:w="70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监测日期</w:t>
            </w:r>
          </w:p>
        </w:tc>
        <w:tc>
          <w:tcPr>
            <w:tcW w:w="708"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监测点位</w:t>
            </w:r>
          </w:p>
        </w:tc>
        <w:tc>
          <w:tcPr>
            <w:tcW w:w="3402" w:type="dxa"/>
            <w:gridSpan w:val="4"/>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监  测  结  果  L</w:t>
            </w:r>
            <w:r>
              <w:rPr>
                <w:rFonts w:hint="default" w:ascii="Times New Roman" w:hAnsi="Times New Roman" w:cs="Times New Roman"/>
                <w:color w:val="auto"/>
                <w:vertAlign w:val="subscript"/>
              </w:rPr>
              <w:t>eq</w:t>
            </w:r>
            <w:r>
              <w:rPr>
                <w:rFonts w:hint="default" w:ascii="Times New Roman" w:hAnsi="Times New Roman" w:cs="Times New Roman"/>
                <w:color w:val="auto"/>
              </w:rPr>
              <w:t>[dB(A)]</w:t>
            </w:r>
          </w:p>
        </w:tc>
        <w:tc>
          <w:tcPr>
            <w:tcW w:w="709"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排放限值</w:t>
            </w:r>
          </w:p>
        </w:tc>
        <w:tc>
          <w:tcPr>
            <w:tcW w:w="1559"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Merge w:val="continue"/>
            <w:vAlign w:val="center"/>
          </w:tcPr>
          <w:p>
            <w:pPr>
              <w:jc w:val="center"/>
              <w:rPr>
                <w:rFonts w:hint="default" w:ascii="Times New Roman" w:hAnsi="Times New Roman" w:cs="Times New Roman"/>
                <w:color w:val="auto"/>
              </w:rPr>
            </w:pPr>
          </w:p>
        </w:tc>
        <w:tc>
          <w:tcPr>
            <w:tcW w:w="708" w:type="dxa"/>
            <w:vMerge w:val="continue"/>
            <w:vAlign w:val="center"/>
          </w:tcPr>
          <w:p>
            <w:pPr>
              <w:jc w:val="center"/>
              <w:rPr>
                <w:rFonts w:hint="default" w:ascii="Times New Roman" w:hAnsi="Times New Roman" w:cs="Times New Roman"/>
                <w:color w:val="auto"/>
              </w:rPr>
            </w:pP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实测值</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本底值</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结果</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max</w:t>
            </w:r>
          </w:p>
        </w:tc>
        <w:tc>
          <w:tcPr>
            <w:tcW w:w="709" w:type="dxa"/>
            <w:vMerge w:val="continue"/>
            <w:vAlign w:val="center"/>
          </w:tcPr>
          <w:p>
            <w:pPr>
              <w:jc w:val="center"/>
              <w:rPr>
                <w:rFonts w:hint="default" w:ascii="Times New Roman" w:hAnsi="Times New Roman" w:cs="Times New Roman"/>
                <w:color w:val="auto"/>
              </w:rPr>
            </w:pPr>
          </w:p>
        </w:tc>
        <w:tc>
          <w:tcPr>
            <w:tcW w:w="1559" w:type="dxa"/>
            <w:vMerge w:val="continue"/>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2021年12月13日16时31分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C1</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53.6</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50.0</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52</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2021年12月13日17时16分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C2</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54.7</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50.6</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2021年12月13日22时04分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C1</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49.3</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45.0</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47</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54.3</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2021年12月13日22时22分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C2</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48.5</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44.6</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46</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54.6</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2021年12月13日16时06分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C3</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61.6</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58.3</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59</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2021年12月13日17时24分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C4</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60.1</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55.8</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58</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2021年12月13日22时01分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C3</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57.3</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54.0</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54</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63.7</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2021年12月13日22时17分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C4</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55.2</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51.4</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67.8</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2021年12月14日13时04分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C1</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53.2</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49.6</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51</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2021年12月14日11时34分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C2</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54.9</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50.8</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2021年12月14日22时01分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C1</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49.8</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45.7</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48</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57.0</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2021年12月14日22时19分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C2</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48.7</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45.1</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47</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55.2</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2021年12月14日11时29分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C3</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61.8</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58.6</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59</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2021年12月14日11时47分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C4</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60.3</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57.1</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57</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2021年12月14日22时02分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C3</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57.1</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53.8</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54</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68.1</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2021年12月14日22时18分</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C4</w:t>
            </w:r>
          </w:p>
        </w:tc>
        <w:tc>
          <w:tcPr>
            <w:tcW w:w="993"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55.6</w:t>
            </w:r>
          </w:p>
        </w:tc>
        <w:tc>
          <w:tcPr>
            <w:tcW w:w="99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52.5</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w:t>
            </w:r>
          </w:p>
        </w:tc>
        <w:tc>
          <w:tcPr>
            <w:tcW w:w="708"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65.7</w:t>
            </w:r>
          </w:p>
        </w:tc>
        <w:tc>
          <w:tcPr>
            <w:tcW w:w="70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55</w:t>
            </w:r>
          </w:p>
        </w:tc>
        <w:tc>
          <w:tcPr>
            <w:tcW w:w="1559"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评价依据</w:t>
            </w:r>
          </w:p>
        </w:tc>
        <w:tc>
          <w:tcPr>
            <w:tcW w:w="6378" w:type="dxa"/>
            <w:gridSpan w:val="7"/>
            <w:vAlign w:val="center"/>
          </w:tcPr>
          <w:p>
            <w:pPr>
              <w:jc w:val="left"/>
              <w:rPr>
                <w:rFonts w:hint="default" w:ascii="Times New Roman" w:hAnsi="Times New Roman" w:cs="Times New Roman"/>
                <w:color w:val="auto"/>
              </w:rPr>
            </w:pPr>
            <w:r>
              <w:rPr>
                <w:rFonts w:hint="default" w:ascii="Times New Roman" w:hAnsi="Times New Roman" w:cs="Times New Roman"/>
                <w:color w:val="auto"/>
              </w:rPr>
              <w:t>《工业企业厂界环境噪声排放标准》（GB 12348-2008）表1 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监测结论</w:t>
            </w:r>
          </w:p>
        </w:tc>
        <w:tc>
          <w:tcPr>
            <w:tcW w:w="6378" w:type="dxa"/>
            <w:gridSpan w:val="7"/>
            <w:vAlign w:val="center"/>
          </w:tcPr>
          <w:p>
            <w:pPr>
              <w:jc w:val="left"/>
              <w:rPr>
                <w:rFonts w:hint="default" w:ascii="Times New Roman" w:hAnsi="Times New Roman" w:cs="Times New Roman"/>
                <w:color w:val="auto"/>
              </w:rPr>
            </w:pPr>
            <w:r>
              <w:rPr>
                <w:rFonts w:hint="default" w:ascii="Times New Roman" w:hAnsi="Times New Roman" w:cs="Times New Roman"/>
                <w:color w:val="auto"/>
              </w:rPr>
              <w:t>本次监测C1、C2、C3、C4点位：昼间、夜间厂界噪声均达标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备 注</w:t>
            </w:r>
          </w:p>
        </w:tc>
        <w:tc>
          <w:tcPr>
            <w:tcW w:w="6378" w:type="dxa"/>
            <w:gridSpan w:val="7"/>
            <w:vAlign w:val="center"/>
          </w:tcPr>
          <w:p>
            <w:pPr>
              <w:jc w:val="left"/>
              <w:rPr>
                <w:rFonts w:hint="default" w:ascii="Times New Roman" w:hAnsi="Times New Roman" w:cs="Times New Roman"/>
                <w:color w:val="auto"/>
              </w:rPr>
            </w:pPr>
            <w:r>
              <w:rPr>
                <w:rFonts w:hint="default" w:ascii="Times New Roman" w:hAnsi="Times New Roman" w:cs="Times New Roman"/>
                <w:color w:val="auto"/>
              </w:rPr>
              <w:t>测量工况：正常生产；C1、C2、C3、C4的夜间L</w:t>
            </w:r>
            <w:r>
              <w:rPr>
                <w:rFonts w:hint="default" w:ascii="Times New Roman" w:hAnsi="Times New Roman" w:cs="Times New Roman"/>
                <w:color w:val="auto"/>
                <w:vertAlign w:val="subscript"/>
              </w:rPr>
              <w:t>max</w:t>
            </w:r>
            <w:r>
              <w:rPr>
                <w:rFonts w:hint="default" w:ascii="Times New Roman" w:hAnsi="Times New Roman" w:cs="Times New Roman"/>
                <w:color w:val="auto"/>
              </w:rPr>
              <w:t>均为偶发噪声</w:t>
            </w:r>
          </w:p>
        </w:tc>
      </w:tr>
    </w:tbl>
    <w:p>
      <w:pPr>
        <w:pStyle w:val="87"/>
        <w:ind w:firstLine="480"/>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根据表</w:t>
      </w:r>
      <w:r>
        <w:rPr>
          <w:rFonts w:hint="default" w:ascii="Times New Roman" w:hAnsi="Times New Roman" w:cs="Times New Roman"/>
          <w:snapToGrid w:val="0"/>
          <w:color w:val="auto"/>
          <w:lang w:val="en-US" w:eastAsia="zh-CN"/>
        </w:rPr>
        <w:t>9.2-</w:t>
      </w:r>
      <w:r>
        <w:rPr>
          <w:rFonts w:hint="eastAsia" w:ascii="Times New Roman" w:hAnsi="Times New Roman" w:cs="Times New Roman"/>
          <w:snapToGrid w:val="0"/>
          <w:color w:val="auto"/>
          <w:lang w:val="en-US" w:eastAsia="zh-CN"/>
        </w:rPr>
        <w:t>4</w:t>
      </w:r>
      <w:r>
        <w:rPr>
          <w:rFonts w:hint="default" w:ascii="Times New Roman" w:hAnsi="Times New Roman" w:eastAsia="宋体" w:cs="Times New Roman"/>
          <w:snapToGrid w:val="0"/>
          <w:color w:val="auto"/>
        </w:rPr>
        <w:t>，验收监测期间，</w:t>
      </w:r>
      <w:r>
        <w:rPr>
          <w:rFonts w:hint="default" w:ascii="Times New Roman" w:hAnsi="Times New Roman" w:cs="Times New Roman"/>
          <w:snapToGrid w:val="0"/>
          <w:color w:val="auto"/>
          <w:lang w:eastAsia="zh-CN"/>
        </w:rPr>
        <w:t>项目</w:t>
      </w:r>
      <w:r>
        <w:rPr>
          <w:rFonts w:hint="default" w:ascii="Times New Roman" w:hAnsi="Times New Roman" w:eastAsia="宋体" w:cs="Times New Roman"/>
          <w:snapToGrid w:val="0"/>
          <w:color w:val="auto"/>
        </w:rPr>
        <w:t>厂界噪声监测结果符合《工业企业厂界环境噪声排放标准》</w:t>
      </w:r>
      <w:r>
        <w:rPr>
          <w:rFonts w:hint="default" w:ascii="Times New Roman" w:hAnsi="Times New Roman" w:cs="Times New Roman"/>
          <w:snapToGrid w:val="0"/>
          <w:color w:val="auto"/>
          <w:lang w:eastAsia="zh-CN"/>
        </w:rPr>
        <w:t>（</w:t>
      </w:r>
      <w:r>
        <w:rPr>
          <w:rFonts w:hint="default" w:ascii="Times New Roman" w:hAnsi="Times New Roman" w:eastAsia="宋体" w:cs="Times New Roman"/>
          <w:snapToGrid w:val="0"/>
          <w:color w:val="auto"/>
        </w:rPr>
        <w:t>GB 12348-2008</w:t>
      </w:r>
      <w:r>
        <w:rPr>
          <w:rFonts w:hint="default" w:ascii="Times New Roman" w:hAnsi="Times New Roman" w:cs="Times New Roman"/>
          <w:snapToGrid w:val="0"/>
          <w:color w:val="auto"/>
          <w:lang w:eastAsia="zh-CN"/>
        </w:rPr>
        <w:t>）</w:t>
      </w:r>
      <w:r>
        <w:rPr>
          <w:rFonts w:hint="default" w:ascii="Times New Roman" w:hAnsi="Times New Roman" w:eastAsia="宋体" w:cs="Times New Roman"/>
          <w:snapToGrid w:val="0"/>
          <w:color w:val="auto"/>
        </w:rPr>
        <w:t>表1中</w:t>
      </w:r>
      <w:r>
        <w:rPr>
          <w:rFonts w:hint="default" w:ascii="Times New Roman" w:hAnsi="Times New Roman" w:cs="Times New Roman"/>
          <w:snapToGrid w:val="0"/>
          <w:color w:val="auto"/>
          <w:lang w:val="en-US" w:eastAsia="zh-CN"/>
        </w:rPr>
        <w:t>3</w:t>
      </w:r>
      <w:r>
        <w:rPr>
          <w:rFonts w:hint="default" w:ascii="Times New Roman" w:hAnsi="Times New Roman" w:eastAsia="宋体" w:cs="Times New Roman"/>
          <w:snapToGrid w:val="0"/>
          <w:color w:val="auto"/>
        </w:rPr>
        <w:t>类标准限值。</w:t>
      </w:r>
    </w:p>
    <w:p>
      <w:pPr>
        <w:pStyle w:val="4"/>
        <w:rPr>
          <w:rFonts w:hint="default" w:ascii="Times New Roman" w:hAnsi="Times New Roman" w:eastAsia="宋体" w:cs="Times New Roman"/>
          <w:color w:val="auto"/>
          <w:sz w:val="30"/>
          <w:szCs w:val="30"/>
        </w:rPr>
      </w:pPr>
      <w:bookmarkStart w:id="152" w:name="_Toc29824728"/>
      <w:bookmarkStart w:id="153" w:name="_Toc38631553"/>
      <w:bookmarkStart w:id="154" w:name="_Toc22484"/>
      <w:bookmarkStart w:id="155" w:name="_Toc5833"/>
      <w:r>
        <w:rPr>
          <w:rFonts w:hint="default" w:ascii="Times New Roman" w:hAnsi="Times New Roman" w:eastAsia="宋体" w:cs="Times New Roman"/>
          <w:color w:val="auto"/>
          <w:sz w:val="30"/>
          <w:szCs w:val="30"/>
        </w:rPr>
        <w:t>9.3污染物排放总量核算</w:t>
      </w:r>
      <w:bookmarkEnd w:id="152"/>
      <w:bookmarkEnd w:id="153"/>
      <w:bookmarkEnd w:id="154"/>
      <w:bookmarkEnd w:id="155"/>
    </w:p>
    <w:p>
      <w:pPr>
        <w:pStyle w:val="87"/>
        <w:ind w:firstLine="480"/>
        <w:rPr>
          <w:rFonts w:hint="default" w:ascii="Times New Roman" w:hAnsi="Times New Roman" w:eastAsia="宋体" w:cs="Times New Roman"/>
          <w:snapToGrid w:val="0"/>
          <w:color w:val="auto"/>
        </w:rPr>
      </w:pPr>
      <w:r>
        <w:rPr>
          <w:rFonts w:hint="default" w:ascii="Times New Roman" w:hAnsi="Times New Roman" w:cs="Times New Roman"/>
          <w:color w:val="auto"/>
          <w:lang w:val="en-US" w:eastAsia="zh-CN"/>
        </w:rPr>
        <w:t>按照荣昌荣隆工业园污水处理厂尾水排放标准《城镇污水处理厂污染物排放标准》（GB18918-2002）一级A标准进行核算，</w:t>
      </w:r>
      <w:r>
        <w:rPr>
          <w:rFonts w:hint="default" w:ascii="Times New Roman" w:hAnsi="Times New Roman" w:eastAsia="宋体" w:cs="Times New Roman"/>
          <w:snapToGrid w:val="0"/>
          <w:color w:val="auto"/>
        </w:rPr>
        <w:t>全年污染物排放总量见表</w:t>
      </w:r>
      <w:r>
        <w:rPr>
          <w:rFonts w:hint="default" w:ascii="Times New Roman" w:hAnsi="Times New Roman" w:cs="Times New Roman"/>
          <w:snapToGrid w:val="0"/>
          <w:color w:val="auto"/>
          <w:lang w:val="en-US" w:eastAsia="zh-CN"/>
        </w:rPr>
        <w:t>9.3-1</w:t>
      </w:r>
      <w:r>
        <w:rPr>
          <w:rFonts w:hint="default" w:ascii="Times New Roman" w:hAnsi="Times New Roman" w:eastAsia="宋体" w:cs="Times New Roman"/>
          <w:snapToGrid w:val="0"/>
          <w:color w:val="auto"/>
        </w:rPr>
        <w:t>。</w:t>
      </w:r>
    </w:p>
    <w:p>
      <w:pPr>
        <w:pStyle w:val="7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9.3-1</w:t>
      </w:r>
      <w:r>
        <w:rPr>
          <w:rFonts w:hint="default" w:ascii="Times New Roman" w:hAnsi="Times New Roman" w:cs="Times New Roman"/>
          <w:color w:val="auto"/>
        </w:rPr>
        <w:t>全年污染物排放总量核算表</w:t>
      </w:r>
    </w:p>
    <w:tbl>
      <w:tblPr>
        <w:tblStyle w:val="33"/>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087"/>
        <w:gridCol w:w="1813"/>
        <w:gridCol w:w="1813"/>
        <w:gridCol w:w="1814"/>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noWrap w:val="0"/>
            <w:vAlign w:val="center"/>
          </w:tcPr>
          <w:p>
            <w:pPr>
              <w:pStyle w:val="9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污染源</w:t>
            </w:r>
          </w:p>
        </w:tc>
        <w:tc>
          <w:tcPr>
            <w:tcW w:w="602" w:type="pct"/>
            <w:noWrap w:val="0"/>
            <w:vAlign w:val="center"/>
          </w:tcPr>
          <w:p>
            <w:pPr>
              <w:pStyle w:val="9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污染因子</w:t>
            </w:r>
          </w:p>
        </w:tc>
        <w:tc>
          <w:tcPr>
            <w:tcW w:w="1004" w:type="pct"/>
            <w:noWrap w:val="0"/>
            <w:vAlign w:val="center"/>
          </w:tcPr>
          <w:p>
            <w:pPr>
              <w:pStyle w:val="9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监测期间最大排放浓度</w:t>
            </w:r>
          </w:p>
        </w:tc>
        <w:tc>
          <w:tcPr>
            <w:tcW w:w="1004" w:type="pct"/>
            <w:noWrap w:val="0"/>
            <w:vAlign w:val="center"/>
          </w:tcPr>
          <w:p>
            <w:pPr>
              <w:pStyle w:val="99"/>
              <w:rPr>
                <w:rFonts w:hint="default" w:ascii="Times New Roman" w:hAnsi="Times New Roman" w:eastAsia="宋体" w:cs="Times New Roman"/>
                <w:color w:val="auto"/>
              </w:rPr>
            </w:pPr>
            <w:r>
              <w:rPr>
                <w:rFonts w:hint="default" w:ascii="Times New Roman" w:hAnsi="Times New Roman" w:eastAsia="宋体" w:cs="Times New Roman"/>
                <w:color w:val="auto"/>
              </w:rPr>
              <w:t>许可排放浓度</w:t>
            </w:r>
          </w:p>
        </w:tc>
        <w:tc>
          <w:tcPr>
            <w:tcW w:w="1005" w:type="pct"/>
            <w:noWrap w:val="0"/>
            <w:vAlign w:val="center"/>
          </w:tcPr>
          <w:p>
            <w:pPr>
              <w:pStyle w:val="9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监测期间总量指标</w:t>
            </w:r>
          </w:p>
        </w:tc>
        <w:tc>
          <w:tcPr>
            <w:tcW w:w="789" w:type="pct"/>
            <w:noWrap w:val="0"/>
            <w:vAlign w:val="center"/>
          </w:tcPr>
          <w:p>
            <w:pPr>
              <w:pStyle w:val="99"/>
              <w:rPr>
                <w:rFonts w:hint="default" w:ascii="Times New Roman" w:hAnsi="Times New Roman" w:eastAsia="宋体" w:cs="Times New Roman"/>
                <w:color w:val="auto"/>
              </w:rPr>
            </w:pPr>
            <w:r>
              <w:rPr>
                <w:rFonts w:hint="default" w:ascii="Times New Roman" w:hAnsi="Times New Roman" w:eastAsia="宋体" w:cs="Times New Roman"/>
                <w:color w:val="auto"/>
              </w:rPr>
              <w:t>是否满足总量控制要求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restart"/>
            <w:noWrap w:val="0"/>
            <w:vAlign w:val="center"/>
          </w:tcPr>
          <w:p>
            <w:pPr>
              <w:pStyle w:val="9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污水处理厂尾水</w:t>
            </w:r>
          </w:p>
        </w:tc>
        <w:tc>
          <w:tcPr>
            <w:tcW w:w="602"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COD</w:t>
            </w:r>
          </w:p>
        </w:tc>
        <w:tc>
          <w:tcPr>
            <w:tcW w:w="1004" w:type="pct"/>
            <w:noWrap w:val="0"/>
            <w:vAlign w:val="center"/>
          </w:tcPr>
          <w:p>
            <w:pPr>
              <w:pStyle w:val="9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43</w:t>
            </w:r>
            <w:r>
              <w:rPr>
                <w:rFonts w:hint="default" w:ascii="Times New Roman" w:hAnsi="Times New Roman" w:eastAsia="宋体" w:cs="Times New Roman"/>
                <w:color w:val="auto"/>
                <w:sz w:val="21"/>
                <w:szCs w:val="21"/>
                <w:lang w:val="en-US" w:eastAsia="zh-CN"/>
              </w:rPr>
              <w:t>mg/L</w:t>
            </w:r>
          </w:p>
        </w:tc>
        <w:tc>
          <w:tcPr>
            <w:tcW w:w="1004"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w:t>
            </w:r>
            <w:r>
              <w:rPr>
                <w:rFonts w:hint="default" w:ascii="Times New Roman" w:hAnsi="Times New Roman" w:eastAsia="宋体" w:cs="Times New Roman"/>
                <w:color w:val="auto"/>
                <w:sz w:val="21"/>
                <w:szCs w:val="21"/>
                <w:lang w:val="en-US" w:eastAsia="zh-CN"/>
              </w:rPr>
              <w:t>mg/L</w:t>
            </w:r>
          </w:p>
        </w:tc>
        <w:tc>
          <w:tcPr>
            <w:tcW w:w="1005"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136.88</w:t>
            </w:r>
            <w:r>
              <w:rPr>
                <w:rFonts w:hint="default" w:ascii="Times New Roman" w:hAnsi="Times New Roman" w:eastAsia="宋体" w:cs="Times New Roman"/>
                <w:color w:val="auto"/>
              </w:rPr>
              <w:t>t/a</w:t>
            </w:r>
          </w:p>
        </w:tc>
        <w:tc>
          <w:tcPr>
            <w:tcW w:w="789" w:type="pct"/>
            <w:noWrap w:val="0"/>
            <w:vAlign w:val="center"/>
          </w:tcPr>
          <w:p>
            <w:pPr>
              <w:pStyle w:val="9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noWrap w:val="0"/>
            <w:vAlign w:val="center"/>
          </w:tcPr>
          <w:p>
            <w:pPr>
              <w:pStyle w:val="99"/>
              <w:rPr>
                <w:rFonts w:hint="default" w:ascii="Times New Roman" w:hAnsi="Times New Roman" w:eastAsia="宋体" w:cs="Times New Roman"/>
                <w:color w:val="auto"/>
              </w:rPr>
            </w:pPr>
          </w:p>
        </w:tc>
        <w:tc>
          <w:tcPr>
            <w:tcW w:w="602"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1004" w:type="pct"/>
            <w:noWrap w:val="0"/>
            <w:vAlign w:val="center"/>
          </w:tcPr>
          <w:p>
            <w:pPr>
              <w:pStyle w:val="99"/>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7.4</w:t>
            </w:r>
            <w:r>
              <w:rPr>
                <w:rFonts w:hint="default" w:ascii="Times New Roman" w:hAnsi="Times New Roman" w:eastAsia="宋体" w:cs="Times New Roman"/>
                <w:color w:val="auto"/>
                <w:sz w:val="21"/>
                <w:szCs w:val="21"/>
                <w:lang w:val="en-US" w:eastAsia="zh-CN"/>
              </w:rPr>
              <w:t>mg/L</w:t>
            </w:r>
          </w:p>
        </w:tc>
        <w:tc>
          <w:tcPr>
            <w:tcW w:w="1004"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r>
              <w:rPr>
                <w:rFonts w:hint="default" w:ascii="Times New Roman" w:hAnsi="Times New Roman" w:eastAsia="宋体" w:cs="Times New Roman"/>
                <w:color w:val="auto"/>
                <w:sz w:val="21"/>
                <w:szCs w:val="21"/>
                <w:lang w:val="en-US" w:eastAsia="zh-CN"/>
              </w:rPr>
              <w:t>mg/L</w:t>
            </w:r>
          </w:p>
        </w:tc>
        <w:tc>
          <w:tcPr>
            <w:tcW w:w="1005"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27.38</w:t>
            </w:r>
            <w:r>
              <w:rPr>
                <w:rFonts w:hint="default" w:ascii="Times New Roman" w:hAnsi="Times New Roman" w:eastAsia="宋体" w:cs="Times New Roman"/>
                <w:color w:val="auto"/>
              </w:rPr>
              <w:t>t/a</w:t>
            </w:r>
          </w:p>
        </w:tc>
        <w:tc>
          <w:tcPr>
            <w:tcW w:w="789" w:type="pct"/>
            <w:noWrap w:val="0"/>
            <w:vAlign w:val="center"/>
          </w:tcPr>
          <w:p>
            <w:pPr>
              <w:ind w:firstLine="0" w:firstLineChars="0"/>
              <w:jc w:val="center"/>
              <w:rPr>
                <w:rFonts w:hint="default" w:ascii="Times New Roman" w:hAnsi="Times New Roman" w:eastAsia="宋体" w:cs="Times New Roman"/>
                <w:color w:val="auto"/>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noWrap w:val="0"/>
            <w:vAlign w:val="center"/>
          </w:tcPr>
          <w:p>
            <w:pPr>
              <w:pStyle w:val="99"/>
              <w:rPr>
                <w:rFonts w:hint="default" w:ascii="Times New Roman" w:hAnsi="Times New Roman" w:eastAsia="宋体" w:cs="Times New Roman"/>
                <w:color w:val="auto"/>
              </w:rPr>
            </w:pPr>
          </w:p>
        </w:tc>
        <w:tc>
          <w:tcPr>
            <w:tcW w:w="602"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SS</w:t>
            </w:r>
          </w:p>
        </w:tc>
        <w:tc>
          <w:tcPr>
            <w:tcW w:w="1004" w:type="pct"/>
            <w:noWrap w:val="0"/>
            <w:vAlign w:val="center"/>
          </w:tcPr>
          <w:p>
            <w:pPr>
              <w:pStyle w:val="9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r>
              <w:rPr>
                <w:rFonts w:hint="default" w:ascii="Times New Roman" w:hAnsi="Times New Roman" w:eastAsia="宋体" w:cs="Times New Roman"/>
                <w:color w:val="auto"/>
                <w:sz w:val="21"/>
                <w:szCs w:val="21"/>
                <w:lang w:val="en-US" w:eastAsia="zh-CN"/>
              </w:rPr>
              <w:t>mg/L</w:t>
            </w:r>
          </w:p>
        </w:tc>
        <w:tc>
          <w:tcPr>
            <w:tcW w:w="1004"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r>
              <w:rPr>
                <w:rFonts w:hint="default" w:ascii="Times New Roman" w:hAnsi="Times New Roman" w:eastAsia="宋体" w:cs="Times New Roman"/>
                <w:color w:val="auto"/>
                <w:sz w:val="21"/>
                <w:szCs w:val="21"/>
                <w:lang w:val="en-US" w:eastAsia="zh-CN"/>
              </w:rPr>
              <w:t>mg/L</w:t>
            </w:r>
          </w:p>
        </w:tc>
        <w:tc>
          <w:tcPr>
            <w:tcW w:w="1005" w:type="pct"/>
            <w:noWrap w:val="0"/>
            <w:vAlign w:val="center"/>
          </w:tcPr>
          <w:p>
            <w:pPr>
              <w:pStyle w:val="9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27.38</w:t>
            </w:r>
            <w:r>
              <w:rPr>
                <w:rFonts w:hint="default" w:ascii="Times New Roman" w:hAnsi="Times New Roman" w:eastAsia="宋体" w:cs="Times New Roman"/>
                <w:color w:val="auto"/>
              </w:rPr>
              <w:t>t/a</w:t>
            </w:r>
          </w:p>
        </w:tc>
        <w:tc>
          <w:tcPr>
            <w:tcW w:w="789" w:type="pct"/>
            <w:noWrap w:val="0"/>
            <w:vAlign w:val="center"/>
          </w:tcPr>
          <w:p>
            <w:pPr>
              <w:ind w:firstLine="0" w:firstLineChars="0"/>
              <w:jc w:val="center"/>
              <w:rPr>
                <w:rFonts w:hint="default" w:ascii="Times New Roman" w:hAnsi="Times New Roman" w:eastAsia="宋体" w:cs="Times New Roman"/>
                <w:color w:val="auto"/>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noWrap w:val="0"/>
            <w:vAlign w:val="center"/>
          </w:tcPr>
          <w:p>
            <w:pPr>
              <w:pStyle w:val="99"/>
              <w:rPr>
                <w:rFonts w:hint="default" w:ascii="Times New Roman" w:hAnsi="Times New Roman" w:eastAsia="宋体" w:cs="Times New Roman"/>
                <w:color w:val="auto"/>
              </w:rPr>
            </w:pPr>
          </w:p>
        </w:tc>
        <w:tc>
          <w:tcPr>
            <w:tcW w:w="602"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氨氮</w:t>
            </w:r>
          </w:p>
        </w:tc>
        <w:tc>
          <w:tcPr>
            <w:tcW w:w="1004" w:type="pct"/>
            <w:noWrap w:val="0"/>
            <w:vAlign w:val="center"/>
          </w:tcPr>
          <w:p>
            <w:pPr>
              <w:pStyle w:val="9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3.22</w:t>
            </w:r>
            <w:r>
              <w:rPr>
                <w:rFonts w:hint="default" w:ascii="Times New Roman" w:hAnsi="Times New Roman" w:eastAsia="宋体" w:cs="Times New Roman"/>
                <w:color w:val="auto"/>
                <w:sz w:val="21"/>
                <w:szCs w:val="21"/>
                <w:lang w:val="en-US" w:eastAsia="zh-CN"/>
              </w:rPr>
              <w:t>mg/L</w:t>
            </w:r>
          </w:p>
        </w:tc>
        <w:tc>
          <w:tcPr>
            <w:tcW w:w="1004"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r>
              <w:rPr>
                <w:rFonts w:hint="default" w:ascii="Times New Roman" w:hAnsi="Times New Roman" w:eastAsia="宋体" w:cs="Times New Roman"/>
                <w:color w:val="auto"/>
                <w:sz w:val="21"/>
                <w:szCs w:val="21"/>
                <w:lang w:val="en-US" w:eastAsia="zh-CN"/>
              </w:rPr>
              <w:t>mg/L</w:t>
            </w:r>
          </w:p>
        </w:tc>
        <w:tc>
          <w:tcPr>
            <w:tcW w:w="1005" w:type="pct"/>
            <w:noWrap w:val="0"/>
            <w:vAlign w:val="center"/>
          </w:tcPr>
          <w:p>
            <w:pPr>
              <w:pStyle w:val="9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21.90</w:t>
            </w:r>
            <w:r>
              <w:rPr>
                <w:rFonts w:hint="default" w:ascii="Times New Roman" w:hAnsi="Times New Roman" w:eastAsia="宋体" w:cs="Times New Roman"/>
                <w:color w:val="auto"/>
              </w:rPr>
              <w:t>t/a</w:t>
            </w:r>
          </w:p>
        </w:tc>
        <w:tc>
          <w:tcPr>
            <w:tcW w:w="789" w:type="pct"/>
            <w:noWrap w:val="0"/>
            <w:vAlign w:val="center"/>
          </w:tcPr>
          <w:p>
            <w:pPr>
              <w:ind w:firstLine="0" w:firstLineChars="0"/>
              <w:jc w:val="center"/>
              <w:rPr>
                <w:rFonts w:hint="default" w:ascii="Times New Roman" w:hAnsi="Times New Roman" w:eastAsia="宋体" w:cs="Times New Roman"/>
                <w:color w:val="auto"/>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noWrap w:val="0"/>
            <w:vAlign w:val="center"/>
          </w:tcPr>
          <w:p>
            <w:pPr>
              <w:pStyle w:val="99"/>
              <w:rPr>
                <w:rFonts w:hint="default" w:ascii="Times New Roman" w:hAnsi="Times New Roman" w:eastAsia="宋体" w:cs="Times New Roman"/>
                <w:color w:val="auto"/>
              </w:rPr>
            </w:pPr>
          </w:p>
        </w:tc>
        <w:tc>
          <w:tcPr>
            <w:tcW w:w="602"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总氮</w:t>
            </w:r>
          </w:p>
        </w:tc>
        <w:tc>
          <w:tcPr>
            <w:tcW w:w="1004" w:type="pct"/>
            <w:noWrap w:val="0"/>
            <w:vAlign w:val="center"/>
          </w:tcPr>
          <w:p>
            <w:pPr>
              <w:pStyle w:val="9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6.62</w:t>
            </w:r>
            <w:r>
              <w:rPr>
                <w:rFonts w:hint="default" w:ascii="Times New Roman" w:hAnsi="Times New Roman" w:eastAsia="宋体" w:cs="Times New Roman"/>
                <w:color w:val="auto"/>
                <w:sz w:val="21"/>
                <w:szCs w:val="21"/>
                <w:lang w:val="en-US" w:eastAsia="zh-CN"/>
              </w:rPr>
              <w:t>mg/L</w:t>
            </w:r>
          </w:p>
        </w:tc>
        <w:tc>
          <w:tcPr>
            <w:tcW w:w="1004"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r>
              <w:rPr>
                <w:rFonts w:hint="default" w:ascii="Times New Roman" w:hAnsi="Times New Roman" w:eastAsia="宋体" w:cs="Times New Roman"/>
                <w:color w:val="auto"/>
                <w:sz w:val="21"/>
                <w:szCs w:val="21"/>
                <w:lang w:val="en-US" w:eastAsia="zh-CN"/>
              </w:rPr>
              <w:t>mg/L</w:t>
            </w:r>
          </w:p>
        </w:tc>
        <w:tc>
          <w:tcPr>
            <w:tcW w:w="1005" w:type="pct"/>
            <w:noWrap w:val="0"/>
            <w:vAlign w:val="center"/>
          </w:tcPr>
          <w:p>
            <w:pPr>
              <w:pStyle w:val="9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41.06</w:t>
            </w:r>
            <w:r>
              <w:rPr>
                <w:rFonts w:hint="default" w:ascii="Times New Roman" w:hAnsi="Times New Roman" w:eastAsia="宋体" w:cs="Times New Roman"/>
                <w:color w:val="auto"/>
              </w:rPr>
              <w:t>t/a</w:t>
            </w:r>
          </w:p>
        </w:tc>
        <w:tc>
          <w:tcPr>
            <w:tcW w:w="789" w:type="pct"/>
            <w:noWrap w:val="0"/>
            <w:vAlign w:val="center"/>
          </w:tcPr>
          <w:p>
            <w:pPr>
              <w:ind w:firstLine="0" w:firstLineChars="0"/>
              <w:jc w:val="center"/>
              <w:rPr>
                <w:rFonts w:hint="default" w:ascii="Times New Roman" w:hAnsi="Times New Roman" w:eastAsia="宋体" w:cs="Times New Roman"/>
                <w:color w:val="auto"/>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noWrap w:val="0"/>
            <w:vAlign w:val="center"/>
          </w:tcPr>
          <w:p>
            <w:pPr>
              <w:pStyle w:val="99"/>
              <w:rPr>
                <w:rFonts w:hint="default" w:ascii="Times New Roman" w:hAnsi="Times New Roman" w:eastAsia="宋体" w:cs="Times New Roman"/>
                <w:color w:val="auto"/>
              </w:rPr>
            </w:pPr>
          </w:p>
        </w:tc>
        <w:tc>
          <w:tcPr>
            <w:tcW w:w="602"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总磷</w:t>
            </w:r>
          </w:p>
        </w:tc>
        <w:tc>
          <w:tcPr>
            <w:tcW w:w="1004" w:type="pct"/>
            <w:noWrap w:val="0"/>
            <w:vAlign w:val="center"/>
          </w:tcPr>
          <w:p>
            <w:pPr>
              <w:pStyle w:val="9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0.24</w:t>
            </w:r>
            <w:r>
              <w:rPr>
                <w:rFonts w:hint="default" w:ascii="Times New Roman" w:hAnsi="Times New Roman" w:eastAsia="宋体" w:cs="Times New Roman"/>
                <w:color w:val="auto"/>
                <w:sz w:val="21"/>
                <w:szCs w:val="21"/>
                <w:lang w:val="en-US" w:eastAsia="zh-CN"/>
              </w:rPr>
              <w:t>mg/L</w:t>
            </w:r>
          </w:p>
        </w:tc>
        <w:tc>
          <w:tcPr>
            <w:tcW w:w="1004"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0.5</w:t>
            </w:r>
            <w:r>
              <w:rPr>
                <w:rFonts w:hint="default" w:ascii="Times New Roman" w:hAnsi="Times New Roman" w:eastAsia="宋体" w:cs="Times New Roman"/>
                <w:color w:val="auto"/>
                <w:sz w:val="21"/>
                <w:szCs w:val="21"/>
                <w:lang w:val="en-US" w:eastAsia="zh-CN"/>
              </w:rPr>
              <w:t>mg/L</w:t>
            </w:r>
          </w:p>
        </w:tc>
        <w:tc>
          <w:tcPr>
            <w:tcW w:w="1005" w:type="pct"/>
            <w:noWrap w:val="0"/>
            <w:vAlign w:val="center"/>
          </w:tcPr>
          <w:p>
            <w:pPr>
              <w:pStyle w:val="9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1.37</w:t>
            </w:r>
            <w:r>
              <w:rPr>
                <w:rFonts w:hint="default" w:ascii="Times New Roman" w:hAnsi="Times New Roman" w:eastAsia="宋体" w:cs="Times New Roman"/>
                <w:color w:val="auto"/>
              </w:rPr>
              <w:t>t/a</w:t>
            </w:r>
          </w:p>
        </w:tc>
        <w:tc>
          <w:tcPr>
            <w:tcW w:w="789" w:type="pct"/>
            <w:noWrap w:val="0"/>
            <w:vAlign w:val="center"/>
          </w:tcPr>
          <w:p>
            <w:pPr>
              <w:ind w:firstLine="0" w:firstLineChars="0"/>
              <w:jc w:val="center"/>
              <w:rPr>
                <w:rFonts w:hint="default" w:ascii="Times New Roman" w:hAnsi="Times New Roman" w:eastAsia="宋体" w:cs="Times New Roman"/>
                <w:color w:val="auto"/>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noWrap w:val="0"/>
            <w:vAlign w:val="center"/>
          </w:tcPr>
          <w:p>
            <w:pPr>
              <w:pStyle w:val="99"/>
              <w:rPr>
                <w:rFonts w:hint="default" w:ascii="Times New Roman" w:hAnsi="Times New Roman" w:eastAsia="宋体" w:cs="Times New Roman"/>
                <w:color w:val="auto"/>
              </w:rPr>
            </w:pPr>
          </w:p>
        </w:tc>
        <w:tc>
          <w:tcPr>
            <w:tcW w:w="602"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石油类</w:t>
            </w:r>
          </w:p>
        </w:tc>
        <w:tc>
          <w:tcPr>
            <w:tcW w:w="1004" w:type="pct"/>
            <w:noWrap w:val="0"/>
            <w:vAlign w:val="center"/>
          </w:tcPr>
          <w:p>
            <w:pPr>
              <w:pStyle w:val="9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0.84</w:t>
            </w:r>
            <w:r>
              <w:rPr>
                <w:rFonts w:hint="default" w:ascii="Times New Roman" w:hAnsi="Times New Roman" w:eastAsia="宋体" w:cs="Times New Roman"/>
                <w:color w:val="auto"/>
                <w:sz w:val="21"/>
                <w:szCs w:val="21"/>
                <w:lang w:val="en-US" w:eastAsia="zh-CN"/>
              </w:rPr>
              <w:t>mg/L</w:t>
            </w:r>
          </w:p>
        </w:tc>
        <w:tc>
          <w:tcPr>
            <w:tcW w:w="1004" w:type="pct"/>
            <w:noWrap w:val="0"/>
            <w:vAlign w:val="center"/>
          </w:tcPr>
          <w:p>
            <w:pPr>
              <w:pStyle w:val="99"/>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r>
              <w:rPr>
                <w:rFonts w:hint="default" w:ascii="Times New Roman" w:hAnsi="Times New Roman" w:eastAsia="宋体" w:cs="Times New Roman"/>
                <w:color w:val="auto"/>
                <w:sz w:val="21"/>
                <w:szCs w:val="21"/>
                <w:lang w:val="en-US" w:eastAsia="zh-CN"/>
              </w:rPr>
              <w:t>mg/L</w:t>
            </w:r>
          </w:p>
        </w:tc>
        <w:tc>
          <w:tcPr>
            <w:tcW w:w="1005" w:type="pct"/>
            <w:noWrap w:val="0"/>
            <w:vAlign w:val="center"/>
          </w:tcPr>
          <w:p>
            <w:pPr>
              <w:pStyle w:val="9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2.74</w:t>
            </w:r>
            <w:r>
              <w:rPr>
                <w:rFonts w:hint="default" w:ascii="Times New Roman" w:hAnsi="Times New Roman" w:eastAsia="宋体" w:cs="Times New Roman"/>
                <w:color w:val="auto"/>
              </w:rPr>
              <w:t>t/a</w:t>
            </w:r>
          </w:p>
        </w:tc>
        <w:tc>
          <w:tcPr>
            <w:tcW w:w="789" w:type="pct"/>
            <w:noWrap w:val="0"/>
            <w:vAlign w:val="center"/>
          </w:tcPr>
          <w:p>
            <w:pPr>
              <w:ind w:firstLine="0" w:firstLineChars="0"/>
              <w:jc w:val="center"/>
              <w:rPr>
                <w:rFonts w:hint="default" w:ascii="Times New Roman" w:hAnsi="Times New Roman" w:eastAsia="宋体" w:cs="Times New Roman"/>
                <w:color w:val="auto"/>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restart"/>
            <w:noWrap w:val="0"/>
            <w:vAlign w:val="center"/>
          </w:tcPr>
          <w:p>
            <w:pPr>
              <w:pStyle w:val="99"/>
              <w:rPr>
                <w:rFonts w:hint="eastAsia" w:ascii="Times New Roman" w:hAnsi="Times New Roman" w:eastAsia="宋体" w:cs="Times New Roman"/>
                <w:color w:val="auto"/>
                <w:lang w:val="en-US" w:eastAsia="zh-CN"/>
              </w:rPr>
            </w:pPr>
            <w:r>
              <w:rPr>
                <w:rFonts w:hint="eastAsia" w:cs="Times New Roman"/>
                <w:color w:val="auto"/>
                <w:lang w:val="en-US" w:eastAsia="zh-CN"/>
              </w:rPr>
              <w:t>废气</w:t>
            </w:r>
          </w:p>
        </w:tc>
        <w:tc>
          <w:tcPr>
            <w:tcW w:w="602" w:type="pct"/>
            <w:noWrap w:val="0"/>
            <w:vAlign w:val="center"/>
          </w:tcPr>
          <w:p>
            <w:pPr>
              <w:pStyle w:val="99"/>
              <w:rPr>
                <w:rFonts w:hint="default" w:ascii="Times New Roman" w:hAnsi="Times New Roman" w:cs="Times New Roman"/>
                <w:color w:val="auto"/>
                <w:lang w:val="en-US" w:eastAsia="zh-CN"/>
              </w:rPr>
            </w:pPr>
            <w:r>
              <w:rPr>
                <w:rFonts w:hint="eastAsia" w:cs="Times New Roman"/>
                <w:color w:val="auto"/>
                <w:lang w:val="en-US" w:eastAsia="zh-CN"/>
              </w:rPr>
              <w:t>氨</w:t>
            </w:r>
          </w:p>
        </w:tc>
        <w:tc>
          <w:tcPr>
            <w:tcW w:w="1004" w:type="pct"/>
            <w:noWrap w:val="0"/>
            <w:vAlign w:val="center"/>
          </w:tcPr>
          <w:p>
            <w:pPr>
              <w:pStyle w:val="99"/>
              <w:rPr>
                <w:rFonts w:hint="default" w:ascii="Times New Roman" w:hAnsi="Times New Roman" w:cs="Times New Roman"/>
                <w:color w:val="auto"/>
                <w:lang w:val="en-US" w:eastAsia="zh-CN"/>
              </w:rPr>
            </w:pPr>
            <w:r>
              <w:rPr>
                <w:rFonts w:hint="eastAsia" w:cs="Times New Roman"/>
                <w:color w:val="auto"/>
                <w:lang w:val="en-US" w:eastAsia="zh-CN"/>
              </w:rPr>
              <w:t>未检出</w:t>
            </w:r>
          </w:p>
        </w:tc>
        <w:tc>
          <w:tcPr>
            <w:tcW w:w="1004" w:type="pct"/>
            <w:noWrap w:val="0"/>
            <w:vAlign w:val="center"/>
          </w:tcPr>
          <w:p>
            <w:pPr>
              <w:pStyle w:val="99"/>
              <w:rPr>
                <w:rFonts w:hint="default" w:ascii="Times New Roman" w:hAnsi="Times New Roman" w:cs="Times New Roman"/>
                <w:color w:val="auto"/>
                <w:lang w:val="en-US" w:eastAsia="zh-CN"/>
              </w:rPr>
            </w:pPr>
            <w:r>
              <w:rPr>
                <w:rFonts w:hint="eastAsia" w:cs="Times New Roman"/>
                <w:color w:val="auto"/>
                <w:lang w:val="en-US" w:eastAsia="zh-CN"/>
              </w:rPr>
              <w:t>/</w:t>
            </w:r>
          </w:p>
        </w:tc>
        <w:tc>
          <w:tcPr>
            <w:tcW w:w="1005" w:type="pct"/>
            <w:noWrap w:val="0"/>
            <w:vAlign w:val="center"/>
          </w:tcPr>
          <w:p>
            <w:pPr>
              <w:pStyle w:val="99"/>
              <w:rPr>
                <w:rFonts w:hint="default" w:ascii="Times New Roman" w:hAnsi="Times New Roman" w:cs="Times New Roman"/>
                <w:color w:val="auto"/>
                <w:lang w:val="en-US" w:eastAsia="zh-CN"/>
              </w:rPr>
            </w:pPr>
            <w:r>
              <w:rPr>
                <w:rFonts w:hint="eastAsia" w:cs="Times New Roman"/>
                <w:color w:val="auto"/>
                <w:lang w:val="en-US" w:eastAsia="zh-CN"/>
              </w:rPr>
              <w:t>0.155万m</w:t>
            </w:r>
            <w:r>
              <w:rPr>
                <w:rFonts w:hint="eastAsia" w:cs="Times New Roman"/>
                <w:color w:val="auto"/>
                <w:vertAlign w:val="superscript"/>
                <w:lang w:val="en-US" w:eastAsia="zh-CN"/>
              </w:rPr>
              <w:t>3</w:t>
            </w:r>
            <w:r>
              <w:rPr>
                <w:rFonts w:hint="eastAsia" w:cs="Times New Roman"/>
                <w:color w:val="auto"/>
                <w:lang w:val="en-US" w:eastAsia="zh-CN"/>
              </w:rPr>
              <w:t>/a</w:t>
            </w:r>
          </w:p>
        </w:tc>
        <w:tc>
          <w:tcPr>
            <w:tcW w:w="789" w:type="pct"/>
            <w:noWrap w:val="0"/>
            <w:vAlign w:val="center"/>
          </w:tcPr>
          <w:p>
            <w:pPr>
              <w:ind w:firstLine="0" w:firstLineChars="0"/>
              <w:jc w:val="center"/>
              <w:rPr>
                <w:rFonts w:hint="eastAsia" w:ascii="Times New Roman" w:hAnsi="Times New Roman" w:eastAsia="宋体" w:cs="Times New Roman"/>
                <w:color w:val="auto"/>
                <w:kern w:val="2"/>
                <w:sz w:val="21"/>
                <w:lang w:val="en-US" w:eastAsia="zh-CN" w:bidi="ar-SA"/>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noWrap w:val="0"/>
            <w:vAlign w:val="center"/>
          </w:tcPr>
          <w:p>
            <w:pPr>
              <w:pStyle w:val="99"/>
              <w:rPr>
                <w:rFonts w:hint="default" w:ascii="Times New Roman" w:hAnsi="Times New Roman" w:eastAsia="宋体" w:cs="Times New Roman"/>
                <w:color w:val="auto"/>
              </w:rPr>
            </w:pPr>
          </w:p>
        </w:tc>
        <w:tc>
          <w:tcPr>
            <w:tcW w:w="602" w:type="pct"/>
            <w:noWrap w:val="0"/>
            <w:vAlign w:val="center"/>
          </w:tcPr>
          <w:p>
            <w:pPr>
              <w:pStyle w:val="99"/>
              <w:rPr>
                <w:rFonts w:hint="default" w:ascii="Times New Roman" w:hAnsi="Times New Roman" w:cs="Times New Roman"/>
                <w:color w:val="auto"/>
                <w:lang w:val="en-US" w:eastAsia="zh-CN"/>
              </w:rPr>
            </w:pPr>
            <w:r>
              <w:rPr>
                <w:rFonts w:hint="eastAsia" w:cs="Times New Roman"/>
                <w:color w:val="auto"/>
                <w:lang w:val="en-US" w:eastAsia="zh-CN"/>
              </w:rPr>
              <w:t>硫化氢</w:t>
            </w:r>
          </w:p>
        </w:tc>
        <w:tc>
          <w:tcPr>
            <w:tcW w:w="1004" w:type="pct"/>
            <w:noWrap w:val="0"/>
            <w:vAlign w:val="center"/>
          </w:tcPr>
          <w:p>
            <w:pPr>
              <w:pStyle w:val="99"/>
              <w:rPr>
                <w:rFonts w:hint="default" w:ascii="Times New Roman" w:hAnsi="Times New Roman" w:cs="Times New Roman"/>
                <w:color w:val="auto"/>
                <w:lang w:val="en-US" w:eastAsia="zh-CN"/>
              </w:rPr>
            </w:pPr>
            <w:r>
              <w:rPr>
                <w:rFonts w:hint="eastAsia" w:cs="Times New Roman"/>
                <w:color w:val="auto"/>
                <w:lang w:val="en-US" w:eastAsia="zh-CN"/>
              </w:rPr>
              <w:t>未检出</w:t>
            </w:r>
          </w:p>
        </w:tc>
        <w:tc>
          <w:tcPr>
            <w:tcW w:w="1004" w:type="pct"/>
            <w:noWrap w:val="0"/>
            <w:vAlign w:val="center"/>
          </w:tcPr>
          <w:p>
            <w:pPr>
              <w:pStyle w:val="99"/>
              <w:rPr>
                <w:rFonts w:hint="default" w:ascii="Times New Roman" w:hAnsi="Times New Roman" w:cs="Times New Roman"/>
                <w:color w:val="auto"/>
                <w:lang w:val="en-US" w:eastAsia="zh-CN"/>
              </w:rPr>
            </w:pPr>
            <w:r>
              <w:rPr>
                <w:rFonts w:hint="eastAsia" w:cs="Times New Roman"/>
                <w:color w:val="auto"/>
                <w:lang w:val="en-US" w:eastAsia="zh-CN"/>
              </w:rPr>
              <w:t>/</w:t>
            </w:r>
          </w:p>
        </w:tc>
        <w:tc>
          <w:tcPr>
            <w:tcW w:w="1005" w:type="pct"/>
            <w:noWrap w:val="0"/>
            <w:vAlign w:val="center"/>
          </w:tcPr>
          <w:p>
            <w:pPr>
              <w:pStyle w:val="99"/>
              <w:rPr>
                <w:rFonts w:hint="default" w:ascii="Times New Roman" w:hAnsi="Times New Roman" w:cs="Times New Roman"/>
                <w:color w:val="auto"/>
                <w:lang w:val="en-US" w:eastAsia="zh-CN"/>
              </w:rPr>
            </w:pPr>
            <w:r>
              <w:rPr>
                <w:rFonts w:hint="eastAsia" w:cs="Times New Roman"/>
                <w:color w:val="auto"/>
                <w:lang w:val="en-US" w:eastAsia="zh-CN"/>
              </w:rPr>
              <w:t>0.019万m</w:t>
            </w:r>
            <w:r>
              <w:rPr>
                <w:rFonts w:hint="eastAsia" w:cs="Times New Roman"/>
                <w:color w:val="auto"/>
                <w:vertAlign w:val="superscript"/>
                <w:lang w:val="en-US" w:eastAsia="zh-CN"/>
              </w:rPr>
              <w:t>3</w:t>
            </w:r>
            <w:r>
              <w:rPr>
                <w:rFonts w:hint="eastAsia" w:cs="Times New Roman"/>
                <w:color w:val="auto"/>
                <w:lang w:val="en-US" w:eastAsia="zh-CN"/>
              </w:rPr>
              <w:t>/a</w:t>
            </w:r>
          </w:p>
        </w:tc>
        <w:tc>
          <w:tcPr>
            <w:tcW w:w="789" w:type="pct"/>
            <w:noWrap w:val="0"/>
            <w:vAlign w:val="center"/>
          </w:tcPr>
          <w:p>
            <w:pPr>
              <w:ind w:firstLine="0" w:firstLineChars="0"/>
              <w:jc w:val="center"/>
              <w:rPr>
                <w:rFonts w:hint="eastAsia" w:ascii="Times New Roman" w:hAnsi="Times New Roman" w:eastAsia="宋体" w:cs="Times New Roman"/>
                <w:color w:val="auto"/>
                <w:kern w:val="2"/>
                <w:sz w:val="21"/>
                <w:lang w:val="en-US" w:eastAsia="zh-CN" w:bidi="ar-SA"/>
              </w:rPr>
            </w:pPr>
            <w:r>
              <w:rPr>
                <w:rFonts w:hint="eastAsia" w:ascii="Times New Roman" w:hAnsi="Times New Roman" w:cs="Times New Roman"/>
                <w:color w:val="auto"/>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pPr>
              <w:rPr>
                <w:rFonts w:hint="default" w:ascii="Times New Roman" w:hAnsi="Times New Roman" w:eastAsia="宋体" w:cs="Times New Roman"/>
                <w:color w:val="auto"/>
              </w:rPr>
            </w:pPr>
            <w:r>
              <w:rPr>
                <w:rFonts w:hint="default" w:ascii="Times New Roman" w:hAnsi="Times New Roman" w:eastAsia="宋体" w:cs="Times New Roman"/>
                <w:color w:val="auto"/>
              </w:rPr>
              <w:t>备注：排水量</w:t>
            </w:r>
            <w:r>
              <w:rPr>
                <w:rFonts w:hint="default" w:ascii="Times New Roman" w:hAnsi="Times New Roman" w:cs="Times New Roman"/>
                <w:color w:val="auto"/>
                <w:lang w:eastAsia="zh-CN"/>
              </w:rPr>
              <w:t>按设计处理能力</w:t>
            </w:r>
            <w:r>
              <w:rPr>
                <w:rFonts w:hint="default" w:ascii="Times New Roman" w:hAnsi="Times New Roman" w:cs="Times New Roman"/>
                <w:color w:val="auto"/>
                <w:lang w:val="en-US" w:eastAsia="zh-CN"/>
              </w:rPr>
              <w:t>7500m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/d计，</w:t>
            </w:r>
            <w:r>
              <w:rPr>
                <w:rFonts w:hint="default" w:ascii="Times New Roman" w:hAnsi="Times New Roman" w:eastAsia="宋体" w:cs="Times New Roman"/>
                <w:color w:val="auto"/>
              </w:rPr>
              <w:t>天数按每年365天计。</w:t>
            </w:r>
          </w:p>
        </w:tc>
      </w:tr>
    </w:tbl>
    <w:p>
      <w:pPr>
        <w:pStyle w:val="87"/>
        <w:ind w:firstLine="480"/>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由表9</w:t>
      </w:r>
      <w:r>
        <w:rPr>
          <w:rFonts w:hint="default" w:ascii="Times New Roman" w:hAnsi="Times New Roman" w:cs="Times New Roman"/>
          <w:snapToGrid w:val="0"/>
          <w:color w:val="auto"/>
          <w:lang w:val="en-US" w:eastAsia="zh-CN"/>
        </w:rPr>
        <w:t>.3-1</w:t>
      </w:r>
      <w:r>
        <w:rPr>
          <w:rFonts w:hint="default" w:ascii="Times New Roman" w:hAnsi="Times New Roman" w:eastAsia="宋体" w:cs="Times New Roman"/>
          <w:snapToGrid w:val="0"/>
          <w:color w:val="auto"/>
        </w:rPr>
        <w:t>可知，</w:t>
      </w:r>
      <w:r>
        <w:rPr>
          <w:rFonts w:hint="default" w:ascii="Times New Roman" w:hAnsi="Times New Roman" w:eastAsia="宋体" w:cs="Times New Roman"/>
          <w:color w:val="auto"/>
        </w:rPr>
        <w:t>本项目污染物排放量</w:t>
      </w:r>
      <w:r>
        <w:rPr>
          <w:rFonts w:hint="default" w:ascii="Times New Roman" w:hAnsi="Times New Roman" w:eastAsia="宋体" w:cs="Times New Roman"/>
          <w:snapToGrid w:val="0"/>
          <w:color w:val="auto"/>
        </w:rPr>
        <w:t>满足环评总量控制指标要求。</w:t>
      </w:r>
    </w:p>
    <w:p>
      <w:pPr>
        <w:pStyle w:val="4"/>
        <w:rPr>
          <w:rFonts w:hint="default" w:ascii="Times New Roman" w:hAnsi="Times New Roman" w:eastAsia="宋体" w:cs="Times New Roman"/>
          <w:color w:val="auto"/>
          <w:sz w:val="30"/>
          <w:szCs w:val="30"/>
        </w:rPr>
      </w:pPr>
      <w:bookmarkStart w:id="156" w:name="_Toc18465"/>
      <w:bookmarkStart w:id="157" w:name="_Toc20296"/>
      <w:r>
        <w:rPr>
          <w:rFonts w:hint="default" w:ascii="Times New Roman" w:hAnsi="Times New Roman" w:eastAsia="宋体" w:cs="Times New Roman"/>
          <w:color w:val="auto"/>
          <w:sz w:val="30"/>
          <w:szCs w:val="30"/>
        </w:rPr>
        <w:t>9.4工程建设对环境的影响</w:t>
      </w:r>
      <w:bookmarkEnd w:id="156"/>
      <w:bookmarkEnd w:id="157"/>
    </w:p>
    <w:p>
      <w:pPr>
        <w:pStyle w:val="87"/>
        <w:ind w:firstLine="480"/>
        <w:rPr>
          <w:rFonts w:hint="default" w:ascii="Times New Roman" w:hAnsi="Times New Roman" w:eastAsia="宋体" w:cs="Times New Roman"/>
          <w:snapToGrid w:val="0"/>
          <w:color w:val="auto"/>
        </w:rPr>
      </w:pPr>
      <w:r>
        <w:rPr>
          <w:rFonts w:hint="default" w:ascii="Times New Roman" w:hAnsi="Times New Roman" w:eastAsia="宋体" w:cs="Times New Roman"/>
          <w:color w:val="auto"/>
        </w:rPr>
        <w:t>本次提标改造工程不新增污水排放，废水主要以现有污水处理厂尾水为主，尾水验收结果达标，且项目提标改造后削减了污染物的排放，对地表水环境主要为有利影响；项目卫生防护距离范围内</w:t>
      </w:r>
      <w:r>
        <w:rPr>
          <w:rFonts w:hint="default" w:ascii="Times New Roman" w:hAnsi="Times New Roman" w:cs="Times New Roman"/>
          <w:color w:val="auto"/>
          <w:lang w:val="en-US" w:eastAsia="zh-CN"/>
        </w:rPr>
        <w:t>环境敏感建筑物均已拆除</w:t>
      </w:r>
      <w:r>
        <w:rPr>
          <w:rFonts w:hint="default" w:ascii="Times New Roman" w:hAnsi="Times New Roman" w:eastAsia="宋体" w:cs="Times New Roman"/>
          <w:color w:val="auto"/>
        </w:rPr>
        <w:t>；</w:t>
      </w:r>
      <w:r>
        <w:rPr>
          <w:rFonts w:hint="default" w:ascii="Times New Roman" w:hAnsi="Times New Roman" w:eastAsia="宋体" w:cs="Times New Roman"/>
          <w:snapToGrid w:val="0"/>
          <w:color w:val="auto"/>
        </w:rPr>
        <w:t>无组织排放监控点的</w:t>
      </w:r>
      <w:r>
        <w:rPr>
          <w:rFonts w:hint="default" w:ascii="Times New Roman" w:hAnsi="Times New Roman" w:cs="Times New Roman"/>
          <w:snapToGrid w:val="0"/>
          <w:color w:val="auto"/>
          <w:lang w:eastAsia="zh-CN"/>
        </w:rPr>
        <w:t>氨</w:t>
      </w:r>
      <w:r>
        <w:rPr>
          <w:rFonts w:hint="default" w:ascii="Times New Roman" w:hAnsi="Times New Roman" w:eastAsia="宋体" w:cs="Times New Roman"/>
          <w:snapToGrid w:val="0"/>
          <w:color w:val="auto"/>
        </w:rPr>
        <w:t>、</w:t>
      </w:r>
      <w:r>
        <w:rPr>
          <w:rFonts w:hint="default" w:ascii="Times New Roman" w:hAnsi="Times New Roman" w:cs="Times New Roman"/>
          <w:color w:val="auto"/>
          <w:lang w:eastAsia="zh-CN"/>
        </w:rPr>
        <w:t>硫化氢</w:t>
      </w:r>
      <w:r>
        <w:rPr>
          <w:rFonts w:hint="default" w:ascii="Times New Roman" w:hAnsi="Times New Roman" w:eastAsia="宋体" w:cs="Times New Roman"/>
          <w:color w:val="auto"/>
        </w:rPr>
        <w:t>、臭气浓度</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甲烷</w:t>
      </w:r>
      <w:r>
        <w:rPr>
          <w:rFonts w:hint="default" w:ascii="Times New Roman" w:hAnsi="Times New Roman" w:eastAsia="宋体" w:cs="Times New Roman"/>
          <w:color w:val="auto"/>
        </w:rPr>
        <w:t>的验收监测结果</w:t>
      </w:r>
      <w:r>
        <w:rPr>
          <w:rFonts w:hint="default" w:ascii="Times New Roman" w:hAnsi="Times New Roman" w:eastAsia="宋体" w:cs="Times New Roman"/>
          <w:snapToGrid w:val="0"/>
          <w:color w:val="auto"/>
        </w:rPr>
        <w:t>达标，</w:t>
      </w:r>
      <w:r>
        <w:rPr>
          <w:rFonts w:hint="default" w:ascii="Times New Roman" w:hAnsi="Times New Roman" w:eastAsia="宋体" w:cs="Times New Roman"/>
          <w:color w:val="auto"/>
        </w:rPr>
        <w:t>各产臭单元产生的臭气对环境空气影响较小。机械设备通过隔声、减震等措施，厂界噪声验收监测结果达标，生产噪声对声环境影响较小；生活垃圾送环卫部门处理；污泥</w:t>
      </w:r>
      <w:r>
        <w:rPr>
          <w:rFonts w:hint="eastAsia" w:cs="Times New Roman"/>
          <w:color w:val="auto"/>
          <w:lang w:val="en-US" w:eastAsia="zh-CN"/>
        </w:rPr>
        <w:t>由冲你去哪个顺齐利固体废物治理有限公司</w:t>
      </w:r>
      <w:r>
        <w:rPr>
          <w:rFonts w:hint="default" w:ascii="Times New Roman" w:hAnsi="Times New Roman" w:cs="Times New Roman"/>
          <w:color w:val="auto"/>
          <w:sz w:val="24"/>
          <w:szCs w:val="24"/>
          <w:lang w:eastAsia="zh-CN"/>
        </w:rPr>
        <w:t>运送至</w:t>
      </w:r>
      <w:r>
        <w:rPr>
          <w:rFonts w:hint="eastAsia" w:cs="Times New Roman"/>
          <w:color w:val="auto"/>
          <w:sz w:val="24"/>
          <w:szCs w:val="24"/>
          <w:highlight w:val="none"/>
          <w:lang w:val="en-US" w:eastAsia="zh-CN"/>
        </w:rPr>
        <w:t>万盛煤电化园区一般工业固废处置中心</w:t>
      </w:r>
      <w:r>
        <w:rPr>
          <w:rFonts w:hint="eastAsia" w:cs="Times New Roman"/>
          <w:color w:val="auto"/>
          <w:sz w:val="24"/>
          <w:szCs w:val="24"/>
          <w:lang w:val="en-US" w:eastAsia="zh-CN"/>
        </w:rPr>
        <w:t>填埋</w:t>
      </w:r>
      <w:r>
        <w:rPr>
          <w:rFonts w:hint="default" w:ascii="Times New Roman" w:hAnsi="Times New Roman" w:eastAsia="宋体" w:cs="Times New Roman"/>
          <w:color w:val="auto"/>
        </w:rPr>
        <w:t>；</w:t>
      </w:r>
      <w:r>
        <w:rPr>
          <w:rFonts w:hint="eastAsia" w:cs="Times New Roman"/>
          <w:color w:val="auto"/>
          <w:lang w:val="en-US" w:eastAsia="zh-CN"/>
        </w:rPr>
        <w:t>危险废物</w:t>
      </w:r>
      <w:r>
        <w:rPr>
          <w:rFonts w:hint="default" w:ascii="Times New Roman" w:hAnsi="Times New Roman" w:cs="Times New Roman"/>
          <w:color w:val="auto"/>
          <w:lang w:val="en-US" w:eastAsia="zh-CN"/>
        </w:rPr>
        <w:t>暂存于</w:t>
      </w:r>
      <w:r>
        <w:rPr>
          <w:rFonts w:hint="eastAsia" w:cs="Times New Roman"/>
          <w:color w:val="auto"/>
          <w:lang w:val="en-US" w:eastAsia="zh-CN"/>
        </w:rPr>
        <w:t>危</w:t>
      </w:r>
      <w:r>
        <w:rPr>
          <w:rFonts w:hint="default" w:ascii="Times New Roman" w:hAnsi="Times New Roman" w:cs="Times New Roman"/>
          <w:color w:val="auto"/>
          <w:lang w:val="en-US" w:eastAsia="zh-CN"/>
        </w:rPr>
        <w:t>废处理间后由</w:t>
      </w:r>
      <w:r>
        <w:rPr>
          <w:rFonts w:hint="eastAsia" w:cs="Times New Roman"/>
          <w:color w:val="auto"/>
          <w:lang w:val="en-US" w:eastAsia="zh-CN"/>
        </w:rPr>
        <w:t>重庆弘邦环保有限公司</w:t>
      </w:r>
      <w:r>
        <w:rPr>
          <w:rFonts w:hint="default" w:ascii="Times New Roman" w:hAnsi="Times New Roman" w:eastAsia="宋体" w:cs="Times New Roman"/>
          <w:color w:val="auto"/>
        </w:rPr>
        <w:t>处置，对周围环境不产生直接影响。项目建设</w:t>
      </w:r>
      <w:r>
        <w:rPr>
          <w:rFonts w:hint="default" w:ascii="Times New Roman" w:hAnsi="Times New Roman" w:cs="Times New Roman"/>
          <w:color w:val="auto"/>
          <w:lang w:val="en-US" w:eastAsia="zh-CN"/>
        </w:rPr>
        <w:t>2019年7月西南侧敏感点反应过臭气扰民，建设单位对预处理区加盖，2019年9月投入使用后未收到投诉</w:t>
      </w:r>
      <w:r>
        <w:rPr>
          <w:rFonts w:hint="default" w:ascii="Times New Roman" w:hAnsi="Times New Roman" w:eastAsia="宋体" w:cs="Times New Roman"/>
          <w:color w:val="auto"/>
        </w:rPr>
        <w:t>。</w:t>
      </w:r>
    </w:p>
    <w:p>
      <w:pPr>
        <w:tabs>
          <w:tab w:val="left" w:pos="2513"/>
        </w:tabs>
        <w:rPr>
          <w:rFonts w:hint="default" w:ascii="Times New Roman" w:hAnsi="Times New Roman" w:eastAsia="宋体" w:cs="Times New Roman"/>
          <w:color w:val="auto"/>
        </w:rPr>
        <w:sectPr>
          <w:pgSz w:w="11907" w:h="16840"/>
          <w:pgMar w:top="1440" w:right="1531" w:bottom="1440" w:left="1531" w:header="850" w:footer="851" w:gutter="0"/>
          <w:pgBorders>
            <w:top w:val="none" w:sz="0" w:space="0"/>
            <w:left w:val="none" w:sz="0" w:space="0"/>
            <w:bottom w:val="none" w:sz="0" w:space="0"/>
            <w:right w:val="none" w:sz="0" w:space="0"/>
          </w:pgBorders>
          <w:pgNumType w:fmt="decimal"/>
          <w:cols w:space="720" w:num="1"/>
          <w:rtlGutter w:val="0"/>
          <w:docGrid w:linePitch="299" w:charSpace="0"/>
        </w:sectPr>
      </w:pPr>
    </w:p>
    <w:p>
      <w:pPr>
        <w:pStyle w:val="3"/>
        <w:bidi w:val="0"/>
        <w:rPr>
          <w:rFonts w:hint="default" w:ascii="Times New Roman" w:hAnsi="Times New Roman" w:cs="Times New Roman"/>
          <w:color w:val="auto"/>
        </w:rPr>
      </w:pPr>
      <w:bookmarkStart w:id="158" w:name="_Toc19011"/>
      <w:bookmarkStart w:id="159" w:name="_Toc14821"/>
      <w:r>
        <w:rPr>
          <w:rFonts w:hint="default" w:ascii="Times New Roman" w:hAnsi="Times New Roman" w:cs="Times New Roman"/>
          <w:color w:val="auto"/>
        </w:rPr>
        <w:t>10验收监测结论</w:t>
      </w:r>
      <w:bookmarkEnd w:id="158"/>
      <w:bookmarkEnd w:id="159"/>
    </w:p>
    <w:p>
      <w:pPr>
        <w:pStyle w:val="4"/>
        <w:bidi w:val="0"/>
        <w:rPr>
          <w:rFonts w:hint="default" w:ascii="Times New Roman" w:hAnsi="Times New Roman" w:cs="Times New Roman"/>
          <w:color w:val="auto"/>
          <w:lang w:eastAsia="zh-CN"/>
        </w:rPr>
      </w:pPr>
      <w:bookmarkStart w:id="160" w:name="_Toc1818"/>
      <w:bookmarkStart w:id="161" w:name="_Toc22420"/>
      <w:bookmarkStart w:id="162" w:name="_Toc15701"/>
      <w:r>
        <w:rPr>
          <w:rFonts w:hint="default" w:ascii="Times New Roman" w:hAnsi="Times New Roman" w:cs="Times New Roman"/>
          <w:color w:val="auto"/>
        </w:rPr>
        <w:t>1</w:t>
      </w:r>
      <w:r>
        <w:rPr>
          <w:rFonts w:hint="default" w:ascii="Times New Roman" w:hAnsi="Times New Roman" w:cs="Times New Roman"/>
          <w:color w:val="auto"/>
          <w:lang w:val="en-US" w:eastAsia="zh-CN"/>
        </w:rPr>
        <w:t>0</w:t>
      </w:r>
      <w:r>
        <w:rPr>
          <w:rFonts w:hint="default" w:ascii="Times New Roman" w:hAnsi="Times New Roman" w:cs="Times New Roman"/>
          <w:color w:val="auto"/>
        </w:rPr>
        <w:t>.1</w:t>
      </w:r>
      <w:r>
        <w:rPr>
          <w:rFonts w:hint="default" w:ascii="Times New Roman" w:hAnsi="Times New Roman" w:cs="Times New Roman"/>
          <w:color w:val="auto"/>
          <w:lang w:eastAsia="zh-CN"/>
        </w:rPr>
        <w:t>项目概况</w:t>
      </w:r>
      <w:bookmarkEnd w:id="160"/>
      <w:bookmarkEnd w:id="161"/>
      <w:bookmarkEnd w:id="162"/>
    </w:p>
    <w:p>
      <w:pPr>
        <w:pStyle w:val="87"/>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荣昌荣隆工业园污水处理厂提标改造工程项目位于荣昌区荣隆工业园，荣隆污水处理厂</w:t>
      </w:r>
      <w:r>
        <w:rPr>
          <w:rFonts w:hint="default" w:ascii="Times New Roman" w:hAnsi="Times New Roman" w:cs="Times New Roman"/>
          <w:color w:val="auto"/>
          <w:lang w:val="en-US" w:eastAsia="zh-CN"/>
        </w:rPr>
        <w:t>东侧</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新增</w:t>
      </w:r>
      <w:r>
        <w:rPr>
          <w:rFonts w:hint="default" w:ascii="Times New Roman" w:hAnsi="Times New Roman" w:cs="Times New Roman"/>
          <w:color w:val="auto"/>
          <w:lang w:eastAsia="zh-CN"/>
        </w:rPr>
        <w:t>占地面积约</w:t>
      </w:r>
      <w:r>
        <w:rPr>
          <w:rFonts w:hint="default" w:ascii="Times New Roman" w:hAnsi="Times New Roman" w:cs="Times New Roman"/>
          <w:color w:val="auto"/>
          <w:lang w:val="en-US" w:eastAsia="zh-CN"/>
        </w:rPr>
        <w:t>3200m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，项目总投资2830.38万元。</w:t>
      </w:r>
      <w:r>
        <w:rPr>
          <w:rFonts w:hint="default" w:ascii="Times New Roman" w:hAnsi="Times New Roman" w:cs="Times New Roman"/>
          <w:color w:val="auto"/>
          <w:lang w:eastAsia="zh-CN"/>
        </w:rPr>
        <w:t>提标改造后处理规模不变，为</w:t>
      </w:r>
      <w:r>
        <w:rPr>
          <w:rFonts w:hint="default" w:ascii="Times New Roman" w:hAnsi="Times New Roman" w:cs="Times New Roman"/>
          <w:color w:val="auto"/>
          <w:lang w:val="en-US" w:eastAsia="zh-CN"/>
        </w:rPr>
        <w:t>7500</w:t>
      </w:r>
      <w:r>
        <w:rPr>
          <w:rFonts w:hint="default" w:ascii="Times New Roman" w:hAnsi="Times New Roman" w:cs="Times New Roman"/>
          <w:color w:val="auto"/>
          <w:lang w:eastAsia="zh-CN"/>
        </w:rPr>
        <w:t>m³/d，</w:t>
      </w:r>
      <w:r>
        <w:rPr>
          <w:rFonts w:hint="default" w:ascii="Times New Roman" w:hAnsi="Times New Roman" w:cs="Times New Roman"/>
          <w:color w:val="auto"/>
          <w:lang w:val="en-US" w:eastAsia="zh-CN"/>
        </w:rPr>
        <w:t>主要建设内容为</w:t>
      </w:r>
      <w:r>
        <w:rPr>
          <w:rFonts w:hint="default" w:ascii="Times New Roman" w:hAnsi="Times New Roman" w:cs="Times New Roman"/>
          <w:color w:val="auto"/>
        </w:rPr>
        <w:t>新增和改造部分污水处理池，将现有工艺为A</w:t>
      </w:r>
      <w:r>
        <w:rPr>
          <w:rFonts w:hint="default" w:ascii="Times New Roman" w:hAnsi="Times New Roman" w:cs="Times New Roman"/>
          <w:color w:val="auto"/>
          <w:vertAlign w:val="superscript"/>
        </w:rPr>
        <w:t>2</w:t>
      </w:r>
      <w:r>
        <w:rPr>
          <w:rFonts w:hint="default" w:ascii="Times New Roman" w:hAnsi="Times New Roman" w:cs="Times New Roman"/>
          <w:color w:val="auto"/>
        </w:rPr>
        <w:t>/O污水处理工艺改为</w:t>
      </w:r>
      <w:r>
        <w:rPr>
          <w:rFonts w:hint="default" w:ascii="Times New Roman" w:hAnsi="Times New Roman" w:cs="Times New Roman"/>
          <w:bCs w:val="0"/>
          <w:color w:val="auto"/>
          <w:szCs w:val="26"/>
        </w:rPr>
        <w:t>“粗格栅—调节池—细格栅—混凝沉淀池—气浮—水解酸化池—</w:t>
      </w:r>
      <w:r>
        <w:rPr>
          <w:rFonts w:hint="default" w:ascii="Times New Roman" w:hAnsi="Times New Roman" w:cs="Times New Roman"/>
          <w:color w:val="auto"/>
          <w:szCs w:val="26"/>
        </w:rPr>
        <w:t>厌氧+</w:t>
      </w:r>
      <w:r>
        <w:rPr>
          <w:rFonts w:hint="default" w:ascii="Times New Roman" w:hAnsi="Times New Roman" w:cs="Times New Roman"/>
          <w:bCs w:val="0"/>
          <w:color w:val="auto"/>
          <w:szCs w:val="26"/>
        </w:rPr>
        <w:t>二级AO反应池—二沉池—深度絮凝沉淀过滤设备—消毒”的组合处理</w:t>
      </w:r>
      <w:r>
        <w:rPr>
          <w:rFonts w:hint="default" w:ascii="Times New Roman" w:hAnsi="Times New Roman" w:cs="Times New Roman"/>
          <w:color w:val="auto"/>
        </w:rPr>
        <w:t>工艺，出水水质执行《城镇污水处理厂污染物排放标准》（GB 18918-2002）一级A标</w:t>
      </w:r>
      <w:r>
        <w:rPr>
          <w:rFonts w:hint="default" w:ascii="Times New Roman" w:hAnsi="Times New Roman" w:cs="Times New Roman"/>
          <w:color w:val="auto"/>
          <w:lang w:eastAsia="zh-CN"/>
        </w:rPr>
        <w:t>准。截至目前，项目已全面建成并完成通水。</w:t>
      </w:r>
    </w:p>
    <w:p>
      <w:pPr>
        <w:pStyle w:val="4"/>
        <w:bidi w:val="0"/>
        <w:rPr>
          <w:rFonts w:hint="default" w:ascii="Times New Roman" w:hAnsi="Times New Roman" w:cs="Times New Roman"/>
          <w:color w:val="auto"/>
        </w:rPr>
      </w:pPr>
      <w:bookmarkStart w:id="163" w:name="_Toc23882"/>
      <w:bookmarkStart w:id="164" w:name="_Toc1692"/>
      <w:bookmarkStart w:id="165" w:name="_Toc27287"/>
      <w:r>
        <w:rPr>
          <w:rFonts w:hint="default" w:ascii="Times New Roman" w:hAnsi="Times New Roman" w:cs="Times New Roman"/>
          <w:color w:val="auto"/>
          <w:lang w:val="en-US" w:eastAsia="zh-CN"/>
        </w:rPr>
        <w:t>10.2</w:t>
      </w:r>
      <w:r>
        <w:rPr>
          <w:rFonts w:hint="default" w:ascii="Times New Roman" w:hAnsi="Times New Roman" w:cs="Times New Roman"/>
          <w:color w:val="auto"/>
        </w:rPr>
        <w:t>环保设施调试运行效果</w:t>
      </w:r>
      <w:bookmarkEnd w:id="163"/>
      <w:bookmarkEnd w:id="164"/>
      <w:bookmarkEnd w:id="165"/>
    </w:p>
    <w:p>
      <w:pPr>
        <w:pStyle w:val="87"/>
        <w:bidi w:val="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废水、</w:t>
      </w:r>
      <w:r>
        <w:rPr>
          <w:rFonts w:hint="default" w:ascii="Times New Roman" w:hAnsi="Times New Roman" w:cs="Times New Roman"/>
          <w:color w:val="auto"/>
        </w:rPr>
        <w:t>废气、厂界噪声验收监测结果均达到相关排放标准，符合</w:t>
      </w:r>
      <w:r>
        <w:rPr>
          <w:rFonts w:hint="default" w:ascii="Times New Roman" w:hAnsi="Times New Roman" w:cs="Times New Roman"/>
          <w:color w:val="auto"/>
          <w:lang w:eastAsia="zh-CN"/>
        </w:rPr>
        <w:t>提标改造设计要求</w:t>
      </w:r>
      <w:r>
        <w:rPr>
          <w:rFonts w:hint="default" w:ascii="Times New Roman" w:hAnsi="Times New Roman" w:cs="Times New Roman"/>
          <w:color w:val="auto"/>
        </w:rPr>
        <w:t>。</w:t>
      </w:r>
    </w:p>
    <w:p>
      <w:pPr>
        <w:pStyle w:val="5"/>
        <w:bidi w:val="0"/>
        <w:rPr>
          <w:rFonts w:hint="default" w:ascii="Times New Roman" w:hAnsi="Times New Roman" w:cs="Times New Roman"/>
          <w:color w:val="auto"/>
        </w:rPr>
      </w:pPr>
      <w:bookmarkStart w:id="166" w:name="_Toc6068"/>
      <w:bookmarkStart w:id="167" w:name="_Toc30698"/>
      <w:r>
        <w:rPr>
          <w:rFonts w:hint="default" w:ascii="Times New Roman" w:hAnsi="Times New Roman" w:cs="Times New Roman"/>
          <w:color w:val="auto"/>
        </w:rPr>
        <w:t>1</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.1环保设施处理效率监测结果</w:t>
      </w:r>
      <w:bookmarkEnd w:id="166"/>
      <w:bookmarkEnd w:id="167"/>
    </w:p>
    <w:p>
      <w:pPr>
        <w:pStyle w:val="87"/>
        <w:bidi w:val="0"/>
        <w:rPr>
          <w:rFonts w:hint="default" w:ascii="Times New Roman" w:hAnsi="Times New Roman" w:cs="Times New Roman"/>
          <w:color w:val="auto"/>
        </w:rPr>
      </w:pPr>
      <w:r>
        <w:rPr>
          <w:rFonts w:hint="default" w:ascii="Times New Roman" w:hAnsi="Times New Roman" w:cs="Times New Roman"/>
          <w:color w:val="auto"/>
        </w:rPr>
        <w:t>根据前文</w:t>
      </w:r>
      <w:r>
        <w:rPr>
          <w:rFonts w:hint="default" w:ascii="Times New Roman" w:hAnsi="Times New Roman" w:cs="Times New Roman"/>
          <w:color w:val="auto"/>
          <w:lang w:val="en-US" w:eastAsia="zh-CN"/>
        </w:rPr>
        <w:t>9.2</w:t>
      </w:r>
      <w:r>
        <w:rPr>
          <w:rFonts w:hint="default" w:ascii="Times New Roman" w:hAnsi="Times New Roman" w:cs="Times New Roman"/>
          <w:color w:val="auto"/>
          <w:lang w:eastAsia="zh-CN"/>
        </w:rPr>
        <w:t>监测</w:t>
      </w:r>
      <w:r>
        <w:rPr>
          <w:rFonts w:hint="default" w:ascii="Times New Roman" w:hAnsi="Times New Roman" w:cs="Times New Roman"/>
          <w:color w:val="auto"/>
        </w:rPr>
        <w:t>结果可知，本项目污染物</w:t>
      </w:r>
      <w:r>
        <w:rPr>
          <w:rFonts w:hint="default" w:ascii="Times New Roman" w:hAnsi="Times New Roman" w:cs="Times New Roman"/>
          <w:color w:val="auto"/>
          <w:lang w:eastAsia="zh-CN"/>
        </w:rPr>
        <w:t>排放浓度均能</w:t>
      </w:r>
      <w:r>
        <w:rPr>
          <w:rFonts w:hint="default" w:ascii="Times New Roman" w:hAnsi="Times New Roman" w:cs="Times New Roman"/>
          <w:color w:val="auto"/>
        </w:rPr>
        <w:t>满足环保要求。</w:t>
      </w:r>
    </w:p>
    <w:p>
      <w:pPr>
        <w:pStyle w:val="5"/>
        <w:bidi w:val="0"/>
        <w:rPr>
          <w:rFonts w:hint="default" w:ascii="Times New Roman" w:hAnsi="Times New Roman" w:cs="Times New Roman"/>
          <w:color w:val="auto"/>
        </w:rPr>
      </w:pPr>
      <w:bookmarkStart w:id="168" w:name="_Toc23479"/>
      <w:bookmarkStart w:id="169" w:name="_Toc9875"/>
      <w:r>
        <w:rPr>
          <w:rFonts w:hint="default" w:ascii="Times New Roman" w:hAnsi="Times New Roman" w:cs="Times New Roman"/>
          <w:color w:val="auto"/>
        </w:rPr>
        <w:t>1</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.2污染物排放监测结果</w:t>
      </w:r>
      <w:bookmarkEnd w:id="168"/>
      <w:bookmarkEnd w:id="169"/>
    </w:p>
    <w:p>
      <w:pPr>
        <w:pStyle w:val="87"/>
        <w:bidi w:val="0"/>
        <w:rPr>
          <w:rFonts w:hint="default" w:ascii="Times New Roman" w:hAnsi="Times New Roman" w:cs="Times New Roman"/>
          <w:color w:val="auto"/>
        </w:rPr>
      </w:pPr>
      <w:bookmarkStart w:id="170" w:name="_Toc29118"/>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废水达标排放监测结果</w:t>
      </w:r>
      <w:bookmarkEnd w:id="170"/>
    </w:p>
    <w:p>
      <w:pPr>
        <w:pStyle w:val="87"/>
        <w:bidi w:val="0"/>
        <w:rPr>
          <w:rFonts w:hint="default" w:ascii="Times New Roman" w:hAnsi="Times New Roman" w:cs="Times New Roman"/>
          <w:color w:val="auto"/>
        </w:rPr>
      </w:pPr>
      <w:r>
        <w:rPr>
          <w:rFonts w:hint="default" w:ascii="Times New Roman" w:hAnsi="Times New Roman" w:cs="Times New Roman"/>
          <w:color w:val="auto"/>
          <w:lang w:eastAsia="zh-CN"/>
        </w:rPr>
        <w:t>验收监测期间</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污水处理厂总排口</w:t>
      </w:r>
      <w:r>
        <w:rPr>
          <w:rFonts w:hint="default" w:ascii="Times New Roman" w:hAnsi="Times New Roman" w:cs="Times New Roman"/>
          <w:color w:val="auto"/>
          <w:lang w:val="en-US" w:eastAsia="zh-CN"/>
        </w:rPr>
        <w:t>pH值、COD、SS、BOD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-N、石油类、总磷、总氮、动植物油类、阴离子表面活性剂、粪大肠菌群、色度共12项指标符合《城镇污水处理厂污染物排放标准》（GB 18918－2002）一级A标准限值。</w:t>
      </w:r>
    </w:p>
    <w:p>
      <w:pPr>
        <w:pStyle w:val="87"/>
        <w:bidi w:val="0"/>
        <w:rPr>
          <w:rFonts w:hint="default" w:ascii="Times New Roman" w:hAnsi="Times New Roman" w:cs="Times New Roman"/>
          <w:color w:val="auto"/>
        </w:rPr>
      </w:pPr>
      <w:bookmarkStart w:id="171" w:name="_Toc15042"/>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废气达标排放监测结果</w:t>
      </w:r>
      <w:bookmarkEnd w:id="171"/>
    </w:p>
    <w:p>
      <w:pPr>
        <w:pStyle w:val="87"/>
        <w:bidi w:val="0"/>
        <w:rPr>
          <w:rFonts w:hint="default" w:ascii="Times New Roman" w:hAnsi="Times New Roman" w:cs="Times New Roman"/>
          <w:color w:val="auto"/>
          <w:lang w:val="en-US" w:eastAsia="zh-CN"/>
        </w:rPr>
      </w:pPr>
      <w:bookmarkStart w:id="172" w:name="_Toc7212"/>
      <w:r>
        <w:rPr>
          <w:rFonts w:hint="default" w:ascii="Times New Roman" w:hAnsi="Times New Roman" w:cs="Times New Roman"/>
          <w:color w:val="auto"/>
          <w:lang w:val="en-US" w:eastAsia="zh-CN"/>
        </w:rPr>
        <w:t>验收监测期间，无组织废气氨、硫化氢、臭气浓度、甲烷排放符合《城镇污水处理厂污染物排放标准》（GB 18918－2002）表5中二级标准，排放达标；有组织废气氨、硫化氢《恶臭污染物排放标准》（GB14554-93）表2。</w:t>
      </w:r>
    </w:p>
    <w:p>
      <w:pPr>
        <w:pStyle w:val="87"/>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噪声达标排放监测结果</w:t>
      </w:r>
      <w:bookmarkEnd w:id="172"/>
    </w:p>
    <w:p>
      <w:pPr>
        <w:pStyle w:val="87"/>
        <w:bidi w:val="0"/>
        <w:rPr>
          <w:rFonts w:hint="default" w:ascii="Times New Roman" w:hAnsi="Times New Roman" w:cs="Times New Roman"/>
          <w:color w:val="auto"/>
        </w:rPr>
      </w:pPr>
      <w:r>
        <w:rPr>
          <w:rFonts w:hint="default" w:ascii="Times New Roman" w:hAnsi="Times New Roman" w:cs="Times New Roman"/>
          <w:color w:val="auto"/>
          <w:lang w:val="en-US" w:eastAsia="zh-CN"/>
        </w:rPr>
        <w:t>验收监测期间，项目</w:t>
      </w:r>
      <w:r>
        <w:rPr>
          <w:rFonts w:hint="default" w:ascii="Times New Roman" w:hAnsi="Times New Roman" w:cs="Times New Roman"/>
          <w:color w:val="auto"/>
        </w:rPr>
        <w:t>厂界环境噪声排放符合《</w:t>
      </w:r>
      <w:r>
        <w:rPr>
          <w:rFonts w:hint="default" w:ascii="Times New Roman" w:hAnsi="Times New Roman" w:cs="Times New Roman"/>
          <w:color w:val="auto"/>
          <w:lang w:val="nl-BE"/>
        </w:rPr>
        <w:t>工业企业厂界环境噪声排放标准</w:t>
      </w:r>
      <w:r>
        <w:rPr>
          <w:rFonts w:hint="default" w:ascii="Times New Roman" w:hAnsi="Times New Roman" w:cs="Times New Roman"/>
          <w:color w:val="auto"/>
        </w:rPr>
        <w:t>》（GB</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12348-2008）表1中的</w:t>
      </w:r>
      <w:r>
        <w:rPr>
          <w:rFonts w:hint="default" w:ascii="Times New Roman" w:hAnsi="Times New Roman" w:cs="Times New Roman"/>
          <w:color w:val="auto"/>
          <w:lang w:val="en-US" w:eastAsia="zh-CN"/>
        </w:rPr>
        <w:t>3</w:t>
      </w:r>
      <w:r>
        <w:rPr>
          <w:rFonts w:hint="default" w:ascii="Times New Roman" w:hAnsi="Times New Roman" w:cs="Times New Roman"/>
          <w:color w:val="auto"/>
        </w:rPr>
        <w:t>类标准，排放达标。</w:t>
      </w:r>
    </w:p>
    <w:p>
      <w:pPr>
        <w:pStyle w:val="87"/>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）固废：</w:t>
      </w:r>
      <w:r>
        <w:rPr>
          <w:rFonts w:hint="default" w:ascii="Times New Roman" w:hAnsi="Times New Roman" w:cs="Times New Roman"/>
          <w:color w:val="auto"/>
          <w:lang w:val="en-US" w:eastAsia="zh-CN"/>
        </w:rPr>
        <w:t>项目产生的固废主要包括一般固废、危险废物及生活垃圾。</w:t>
      </w:r>
    </w:p>
    <w:p>
      <w:pPr>
        <w:pStyle w:val="8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一般固废主要为栅渣、沉砂、污泥，由</w:t>
      </w:r>
      <w:r>
        <w:rPr>
          <w:rFonts w:hint="eastAsia" w:cs="Times New Roman"/>
          <w:color w:val="auto"/>
          <w:sz w:val="24"/>
          <w:szCs w:val="24"/>
          <w:highlight w:val="none"/>
          <w:lang w:val="en-US" w:eastAsia="zh-CN"/>
        </w:rPr>
        <w:t>重庆顺齐利固体废物治理有限公司</w:t>
      </w:r>
      <w:r>
        <w:rPr>
          <w:rFonts w:hint="default" w:ascii="Times New Roman" w:hAnsi="Times New Roman" w:cs="Times New Roman"/>
          <w:color w:val="auto"/>
          <w:sz w:val="24"/>
          <w:szCs w:val="24"/>
          <w:highlight w:val="none"/>
          <w:lang w:val="en-US" w:eastAsia="zh-CN"/>
        </w:rPr>
        <w:t>处置，并签订了污泥处置服务合同（合同有效期：</w:t>
      </w:r>
      <w:r>
        <w:rPr>
          <w:rFonts w:hint="eastAsia" w:cs="Times New Roman"/>
          <w:color w:val="auto"/>
          <w:sz w:val="24"/>
          <w:szCs w:val="24"/>
          <w:highlight w:val="none"/>
          <w:lang w:val="en-US" w:eastAsia="zh-CN"/>
        </w:rPr>
        <w:t>2022</w:t>
      </w:r>
      <w:r>
        <w:rPr>
          <w:rFonts w:hint="default" w:ascii="Times New Roman" w:hAnsi="Times New Roman" w:cs="Times New Roman"/>
          <w:color w:val="auto"/>
          <w:sz w:val="24"/>
          <w:szCs w:val="24"/>
          <w:highlight w:val="none"/>
          <w:lang w:val="en-US" w:eastAsia="zh-CN"/>
        </w:rPr>
        <w:t>年3月</w:t>
      </w: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val="en-US" w:eastAsia="zh-CN"/>
        </w:rPr>
        <w:t>日至202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年3月</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日）</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根据合同，污泥相关指标符合《</w:t>
      </w:r>
      <w:r>
        <w:rPr>
          <w:rFonts w:hint="eastAsia" w:cs="Times New Roman"/>
          <w:color w:val="auto"/>
          <w:sz w:val="24"/>
          <w:szCs w:val="24"/>
          <w:highlight w:val="none"/>
          <w:lang w:val="en-US" w:eastAsia="zh-CN"/>
        </w:rPr>
        <w:t>一般工业固体废物储存和填埋污染控制标准</w:t>
      </w:r>
      <w:r>
        <w:rPr>
          <w:rFonts w:hint="default" w:ascii="Times New Roman" w:hAnsi="Times New Roman" w:cs="Times New Roman"/>
          <w:color w:val="auto"/>
          <w:sz w:val="24"/>
          <w:szCs w:val="24"/>
          <w:highlight w:val="none"/>
          <w:lang w:val="en-US" w:eastAsia="zh-CN"/>
        </w:rPr>
        <w:t>》（GB</w:t>
      </w:r>
      <w:r>
        <w:rPr>
          <w:rFonts w:hint="eastAsia" w:cs="Times New Roman"/>
          <w:color w:val="auto"/>
          <w:sz w:val="24"/>
          <w:szCs w:val="24"/>
          <w:highlight w:val="none"/>
          <w:lang w:val="en-US" w:eastAsia="zh-CN"/>
        </w:rPr>
        <w:t>18599-2020</w:t>
      </w:r>
      <w:r>
        <w:rPr>
          <w:rFonts w:hint="default" w:ascii="Times New Roman" w:hAnsi="Times New Roman" w:cs="Times New Roman"/>
          <w:color w:val="auto"/>
          <w:sz w:val="24"/>
          <w:szCs w:val="24"/>
          <w:highlight w:val="none"/>
          <w:lang w:val="en-US" w:eastAsia="zh-CN"/>
        </w:rPr>
        <w:t>）的要求，由自卸货车运输</w:t>
      </w:r>
      <w:r>
        <w:rPr>
          <w:rFonts w:hint="eastAsia" w:cs="Times New Roman"/>
          <w:color w:val="auto"/>
          <w:sz w:val="24"/>
          <w:szCs w:val="24"/>
          <w:highlight w:val="none"/>
          <w:lang w:val="en-US" w:eastAsia="zh-CN"/>
        </w:rPr>
        <w:t>至万盛煤电化园区一般工业固废填埋中心</w:t>
      </w:r>
      <w:r>
        <w:rPr>
          <w:rFonts w:hint="default" w:ascii="Times New Roman" w:hAnsi="Times New Roman" w:cs="Times New Roman"/>
          <w:color w:val="auto"/>
          <w:sz w:val="24"/>
          <w:szCs w:val="24"/>
          <w:highlight w:val="none"/>
          <w:lang w:val="en-US" w:eastAsia="zh-CN"/>
        </w:rPr>
        <w:t>。</w:t>
      </w:r>
    </w:p>
    <w:p>
      <w:pPr>
        <w:pStyle w:val="87"/>
        <w:numPr>
          <w:numId w:val="0"/>
        </w:numPr>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危险废物主要为实验室及在线监测废液、废弃空试剂瓶等。危险废物分类收集暂存于危废暂存间，定期交由</w:t>
      </w:r>
      <w:r>
        <w:rPr>
          <w:rFonts w:hint="eastAsia" w:cs="Times New Roman"/>
          <w:color w:val="auto"/>
          <w:sz w:val="24"/>
          <w:szCs w:val="24"/>
          <w:highlight w:val="none"/>
          <w:lang w:val="en-US" w:eastAsia="zh-CN"/>
        </w:rPr>
        <w:t>重庆宏邦环保有限公司</w:t>
      </w:r>
      <w:r>
        <w:rPr>
          <w:rFonts w:hint="default" w:ascii="Times New Roman" w:hAnsi="Times New Roman" w:cs="Times New Roman"/>
          <w:color w:val="auto"/>
          <w:sz w:val="24"/>
          <w:szCs w:val="24"/>
          <w:highlight w:val="none"/>
          <w:lang w:val="en-US" w:eastAsia="zh-CN"/>
        </w:rPr>
        <w:t>处理并签订了危险废物安全处置</w:t>
      </w:r>
      <w:r>
        <w:rPr>
          <w:rFonts w:hint="eastAsia" w:cs="Times New Roman"/>
          <w:color w:val="auto"/>
          <w:sz w:val="24"/>
          <w:szCs w:val="24"/>
          <w:highlight w:val="none"/>
          <w:lang w:val="en-US" w:eastAsia="zh-CN"/>
        </w:rPr>
        <w:t>服务合同</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合同</w:t>
      </w:r>
      <w:r>
        <w:rPr>
          <w:rFonts w:hint="default" w:ascii="Times New Roman" w:hAnsi="Times New Roman" w:cs="Times New Roman"/>
          <w:color w:val="auto"/>
          <w:sz w:val="24"/>
          <w:szCs w:val="24"/>
          <w:highlight w:val="none"/>
          <w:lang w:val="en-US" w:eastAsia="zh-CN"/>
        </w:rPr>
        <w:t>有效期：</w:t>
      </w:r>
      <w:r>
        <w:rPr>
          <w:rFonts w:hint="eastAsia" w:cs="Times New Roman"/>
          <w:color w:val="auto"/>
          <w:sz w:val="24"/>
          <w:szCs w:val="24"/>
          <w:highlight w:val="none"/>
          <w:lang w:val="en-US" w:eastAsia="zh-CN"/>
        </w:rPr>
        <w:t>2022</w:t>
      </w:r>
      <w:r>
        <w:rPr>
          <w:rFonts w:hint="default" w:ascii="Times New Roman" w:hAnsi="Times New Roman" w:cs="Times New Roman"/>
          <w:color w:val="auto"/>
          <w:sz w:val="24"/>
          <w:szCs w:val="24"/>
          <w:highlight w:val="none"/>
          <w:lang w:val="en-US" w:eastAsia="zh-CN"/>
        </w:rPr>
        <w:t>年7月2</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日至202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年7月2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日）</w:t>
      </w:r>
      <w:r>
        <w:rPr>
          <w:rFonts w:hint="eastAsia" w:cs="Times New Roman"/>
          <w:color w:val="auto"/>
          <w:sz w:val="24"/>
          <w:szCs w:val="24"/>
          <w:highlight w:val="none"/>
          <w:lang w:val="en-US" w:eastAsia="zh-CN"/>
        </w:rPr>
        <w:t>。</w:t>
      </w:r>
    </w:p>
    <w:p>
      <w:pPr>
        <w:pStyle w:val="87"/>
        <w:bidi w:val="0"/>
        <w:rPr>
          <w:rFonts w:hint="default" w:ascii="Times New Roman" w:hAnsi="Times New Roman" w:cs="Times New Roman"/>
          <w:color w:val="auto"/>
          <w:lang w:eastAsia="zh-CN"/>
        </w:rPr>
      </w:pPr>
      <w:r>
        <w:rPr>
          <w:rFonts w:hint="default" w:ascii="Times New Roman" w:hAnsi="Times New Roman" w:cs="Times New Roman"/>
          <w:color w:val="auto"/>
          <w:sz w:val="24"/>
          <w:szCs w:val="24"/>
          <w:lang w:val="en-US" w:eastAsia="zh-CN"/>
        </w:rPr>
        <w:t>本次提标改造项目新增员工2名，新增部分生活垃圾，生活垃圾收集后交由环卫部门处置。</w:t>
      </w:r>
      <w:r>
        <w:rPr>
          <w:rFonts w:hint="default" w:ascii="Times New Roman" w:hAnsi="Times New Roman" w:cs="Times New Roman"/>
          <w:color w:val="auto"/>
          <w:lang w:eastAsia="zh-CN"/>
        </w:rPr>
        <w:t>项目固体废弃物处置率100%。</w:t>
      </w:r>
    </w:p>
    <w:p>
      <w:pPr>
        <w:pStyle w:val="4"/>
        <w:rPr>
          <w:rFonts w:hint="default" w:ascii="Times New Roman" w:hAnsi="Times New Roman" w:eastAsia="宋体" w:cs="Times New Roman"/>
          <w:color w:val="auto"/>
          <w:sz w:val="30"/>
          <w:szCs w:val="30"/>
        </w:rPr>
      </w:pPr>
      <w:bookmarkStart w:id="173" w:name="_Toc22705"/>
      <w:bookmarkStart w:id="174" w:name="_Toc13297"/>
      <w:bookmarkStart w:id="175" w:name="_Toc29908362"/>
      <w:bookmarkStart w:id="176" w:name="_Hlk29913033"/>
      <w:r>
        <w:rPr>
          <w:rFonts w:hint="default" w:ascii="Times New Roman" w:hAnsi="Times New Roman" w:eastAsia="宋体" w:cs="Times New Roman"/>
          <w:color w:val="auto"/>
          <w:sz w:val="30"/>
          <w:szCs w:val="30"/>
        </w:rPr>
        <w:t>10.</w:t>
      </w:r>
      <w:r>
        <w:rPr>
          <w:rFonts w:hint="default" w:ascii="Times New Roman" w:hAnsi="Times New Roman" w:cs="Times New Roman"/>
          <w:color w:val="auto"/>
          <w:sz w:val="30"/>
          <w:szCs w:val="30"/>
          <w:lang w:val="en-US" w:eastAsia="zh-CN"/>
        </w:rPr>
        <w:t>3</w:t>
      </w:r>
      <w:r>
        <w:rPr>
          <w:rFonts w:hint="default" w:ascii="Times New Roman" w:hAnsi="Times New Roman" w:eastAsia="宋体" w:cs="Times New Roman"/>
          <w:color w:val="auto"/>
          <w:sz w:val="30"/>
          <w:szCs w:val="30"/>
        </w:rPr>
        <w:t>工程建设对环境的影响</w:t>
      </w:r>
      <w:bookmarkEnd w:id="173"/>
      <w:bookmarkEnd w:id="174"/>
      <w:bookmarkEnd w:id="175"/>
    </w:p>
    <w:p>
      <w:pPr>
        <w:pStyle w:val="87"/>
        <w:ind w:firstLine="480"/>
        <w:rPr>
          <w:rFonts w:hint="default" w:ascii="Times New Roman" w:hAnsi="Times New Roman" w:eastAsia="宋体" w:cs="Times New Roman"/>
          <w:color w:val="auto"/>
        </w:rPr>
      </w:pPr>
      <w:bookmarkStart w:id="177" w:name="_Toc29908363"/>
      <w:r>
        <w:rPr>
          <w:rFonts w:hint="default" w:ascii="Times New Roman" w:hAnsi="Times New Roman" w:cs="Times New Roman"/>
          <w:color w:val="auto"/>
          <w:lang w:val="en-US" w:eastAsia="zh-CN"/>
        </w:rPr>
        <w:t>荣昌荣隆工业园污水处理厂提标改造工程</w:t>
      </w:r>
      <w:r>
        <w:rPr>
          <w:rFonts w:hint="default" w:ascii="Times New Roman" w:hAnsi="Times New Roman" w:cs="Times New Roman"/>
          <w:color w:val="auto"/>
          <w:lang w:eastAsia="zh-CN"/>
        </w:rPr>
        <w:t>项目位于荣昌区荣隆工业园，荣隆污水处理厂厂区范围内，</w:t>
      </w:r>
      <w:r>
        <w:rPr>
          <w:rFonts w:hint="default" w:ascii="Times New Roman" w:hAnsi="Times New Roman" w:eastAsia="宋体" w:cs="Times New Roman"/>
          <w:color w:val="auto"/>
        </w:rPr>
        <w:t>本次提标改造工程不新增污水排放，且项目提标改造后削减了污染物的排放，对地表水环境主要为有利影响</w:t>
      </w:r>
      <w:r>
        <w:rPr>
          <w:rFonts w:hint="default" w:ascii="Times New Roman" w:hAnsi="Times New Roman" w:cs="Times New Roman"/>
          <w:color w:val="auto"/>
          <w:lang w:eastAsia="zh-CN"/>
        </w:rPr>
        <w:t>。本次提标改造工程</w:t>
      </w:r>
      <w:r>
        <w:rPr>
          <w:rFonts w:hint="default" w:ascii="Times New Roman" w:hAnsi="Times New Roman" w:cs="Times New Roman"/>
          <w:color w:val="auto"/>
          <w:lang w:val="en-US" w:eastAsia="zh-CN"/>
        </w:rPr>
        <w:t>废水</w:t>
      </w:r>
      <w:r>
        <w:rPr>
          <w:rFonts w:hint="default" w:ascii="Times New Roman" w:hAnsi="Times New Roman" w:cs="Times New Roman"/>
          <w:color w:val="auto"/>
          <w:lang w:eastAsia="zh-CN"/>
        </w:rPr>
        <w:t>依托原环保措施，</w:t>
      </w:r>
      <w:r>
        <w:rPr>
          <w:rFonts w:hint="default" w:ascii="Times New Roman" w:hAnsi="Times New Roman" w:cs="Times New Roman"/>
          <w:color w:val="auto"/>
          <w:lang w:val="en-US" w:eastAsia="zh-CN"/>
        </w:rPr>
        <w:t>废气通过两个新设排气筒处理后排放，</w:t>
      </w:r>
      <w:r>
        <w:rPr>
          <w:rFonts w:hint="default" w:ascii="Times New Roman" w:hAnsi="Times New Roman" w:cs="Times New Roman"/>
          <w:color w:val="auto"/>
          <w:lang w:eastAsia="zh-CN"/>
        </w:rPr>
        <w:t>不存在新增污染物，通过验收检测结果，</w:t>
      </w:r>
      <w:r>
        <w:rPr>
          <w:rFonts w:hint="default" w:ascii="Times New Roman" w:hAnsi="Times New Roman" w:cs="Times New Roman"/>
          <w:color w:val="auto"/>
          <w:spacing w:val="0"/>
          <w:w w:val="100"/>
        </w:rPr>
        <w:t>项目废水、废气、噪声均做到达标排放，固废均得到妥善处置</w:t>
      </w:r>
      <w:r>
        <w:rPr>
          <w:rFonts w:hint="default" w:ascii="Times New Roman" w:hAnsi="Times New Roman" w:cs="Times New Roman"/>
          <w:color w:val="auto"/>
          <w:spacing w:val="0"/>
          <w:w w:val="100"/>
          <w:lang w:eastAsia="zh-CN"/>
        </w:rPr>
        <w:t>。项目位于原污水处理厂</w:t>
      </w:r>
      <w:r>
        <w:rPr>
          <w:rFonts w:hint="default" w:ascii="Times New Roman" w:hAnsi="Times New Roman" w:cs="Times New Roman"/>
          <w:color w:val="auto"/>
          <w:spacing w:val="0"/>
          <w:w w:val="100"/>
          <w:lang w:val="en-US" w:eastAsia="zh-CN"/>
        </w:rPr>
        <w:t>东侧</w:t>
      </w:r>
      <w:r>
        <w:rPr>
          <w:rFonts w:hint="default" w:ascii="Times New Roman" w:hAnsi="Times New Roman" w:cs="Times New Roman"/>
          <w:color w:val="auto"/>
          <w:spacing w:val="0"/>
          <w:w w:val="100"/>
          <w:lang w:eastAsia="zh-CN"/>
        </w:rPr>
        <w:t>，</w:t>
      </w:r>
      <w:r>
        <w:rPr>
          <w:rFonts w:hint="default" w:ascii="Times New Roman" w:hAnsi="Times New Roman" w:cs="Times New Roman"/>
          <w:color w:val="auto"/>
          <w:spacing w:val="0"/>
          <w:w w:val="100"/>
          <w:lang w:val="en-US" w:eastAsia="zh-CN"/>
        </w:rPr>
        <w:t>1</w:t>
      </w:r>
      <w:r>
        <w:rPr>
          <w:rFonts w:hint="default" w:ascii="Times New Roman" w:hAnsi="Times New Roman" w:cs="Times New Roman"/>
          <w:color w:val="auto"/>
          <w:spacing w:val="0"/>
          <w:w w:val="100"/>
          <w:highlight w:val="none"/>
          <w:lang w:val="en-US" w:eastAsia="zh-CN"/>
        </w:rPr>
        <w:t>00m</w:t>
      </w:r>
      <w:r>
        <w:rPr>
          <w:rFonts w:hint="default" w:ascii="Times New Roman" w:hAnsi="Times New Roman" w:eastAsia="宋体" w:cs="Times New Roman"/>
          <w:color w:val="auto"/>
          <w:highlight w:val="none"/>
        </w:rPr>
        <w:t>卫生防护距离范围内</w:t>
      </w:r>
      <w:r>
        <w:rPr>
          <w:rFonts w:hint="default" w:ascii="Times New Roman" w:hAnsi="Times New Roman" w:cs="Times New Roman"/>
          <w:color w:val="auto"/>
          <w:highlight w:val="none"/>
          <w:lang w:val="en-US" w:eastAsia="zh-CN"/>
        </w:rPr>
        <w:t>环境敏感建筑物已拆除，厂西北侧厂界外约40m处（距离产臭单元月90m处）农户已搬迁，西南侧厂界外约15m处有农户已搬迁，环境防护距离内无其他商业、学校、医院等敏感目标。</w:t>
      </w:r>
      <w:r>
        <w:rPr>
          <w:rFonts w:hint="default" w:ascii="Times New Roman" w:hAnsi="Times New Roman" w:cs="Times New Roman"/>
          <w:color w:val="auto"/>
          <w:spacing w:val="0"/>
          <w:w w:val="100"/>
        </w:rPr>
        <w:t>因此，本项目的运营对区域地表水环境、大气环境、声环境影响较小</w:t>
      </w:r>
      <w:r>
        <w:rPr>
          <w:rFonts w:hint="default" w:ascii="Times New Roman" w:hAnsi="Times New Roman" w:eastAsia="宋体" w:cs="Times New Roman"/>
          <w:color w:val="auto"/>
          <w:spacing w:val="0"/>
          <w:w w:val="100"/>
          <w:lang w:eastAsia="zh-CN"/>
        </w:rPr>
        <w:t>，</w:t>
      </w:r>
      <w:r>
        <w:rPr>
          <w:rFonts w:hint="default" w:ascii="Times New Roman" w:hAnsi="Times New Roman" w:eastAsia="宋体" w:cs="Times New Roman"/>
          <w:color w:val="auto"/>
          <w:spacing w:val="0"/>
          <w:w w:val="100"/>
        </w:rPr>
        <w:t>项目符合竣工环境保护验收条件。</w:t>
      </w:r>
    </w:p>
    <w:p>
      <w:pPr>
        <w:pStyle w:val="4"/>
        <w:tabs>
          <w:tab w:val="left" w:pos="541"/>
          <w:tab w:val="left" w:pos="576"/>
        </w:tabs>
        <w:bidi w:val="0"/>
        <w:rPr>
          <w:rFonts w:hint="default" w:ascii="Times New Roman" w:hAnsi="Times New Roman" w:cs="Times New Roman"/>
          <w:color w:val="auto"/>
          <w:lang w:val="en-US" w:eastAsia="zh-CN"/>
        </w:rPr>
      </w:pPr>
      <w:bookmarkStart w:id="178" w:name="_Toc24081"/>
      <w:bookmarkStart w:id="179" w:name="_Toc8231"/>
      <w:bookmarkStart w:id="180" w:name="_Toc30361"/>
      <w:bookmarkStart w:id="181" w:name="_Toc14362"/>
      <w:r>
        <w:rPr>
          <w:rFonts w:hint="default" w:ascii="Times New Roman" w:hAnsi="Times New Roman" w:cs="Times New Roman"/>
          <w:color w:val="auto"/>
          <w:lang w:val="en-US" w:eastAsia="zh-CN"/>
        </w:rPr>
        <w:t>10.4投诉情况</w:t>
      </w:r>
      <w:bookmarkEnd w:id="178"/>
      <w:bookmarkEnd w:id="179"/>
      <w:bookmarkEnd w:id="180"/>
    </w:p>
    <w:p>
      <w:pPr>
        <w:pStyle w:val="87"/>
        <w:bidi w:val="0"/>
        <w:rPr>
          <w:rFonts w:hint="default" w:ascii="Times New Roman" w:hAnsi="Times New Roman" w:cs="Times New Roman"/>
          <w:color w:val="auto"/>
          <w:highlight w:val="yellow"/>
          <w:lang w:val="en-US" w:eastAsia="zh-CN"/>
        </w:rPr>
      </w:pPr>
      <w:r>
        <w:rPr>
          <w:rFonts w:hint="default" w:ascii="Times New Roman" w:hAnsi="Times New Roman" w:cs="Times New Roman"/>
          <w:color w:val="auto"/>
          <w:lang w:val="en-US" w:eastAsia="zh-CN"/>
        </w:rPr>
        <w:t>2019年7月西南侧敏感点反应过臭气扰民情况，因此建设单位对产臭单位最大的预处理区（粗格栅调节提升泵池、细格栅曝气沉砂池和水解酸化池）全部加盖密封，产生的臭气收集经生物滤池除臭后通过15m排气筒排放，该废气处理系统2019年9月份投入运营使用后未收到投诉。</w:t>
      </w:r>
      <w:r>
        <w:rPr>
          <w:rFonts w:hint="default" w:ascii="Times New Roman" w:hAnsi="Times New Roman" w:cs="Times New Roman"/>
          <w:color w:val="auto"/>
          <w:highlight w:val="none"/>
          <w:lang w:val="en-US" w:eastAsia="zh-CN"/>
        </w:rPr>
        <w:t>荣隆污水处理厂提标及工艺技改工程项目从开工建设至今未出现过环保投诉。</w:t>
      </w:r>
    </w:p>
    <w:p>
      <w:pPr>
        <w:pStyle w:val="4"/>
        <w:tabs>
          <w:tab w:val="left" w:pos="541"/>
          <w:tab w:val="left" w:pos="576"/>
        </w:tabs>
        <w:bidi w:val="0"/>
        <w:rPr>
          <w:rFonts w:hint="default" w:ascii="Times New Roman" w:hAnsi="Times New Roman" w:cs="Times New Roman"/>
          <w:color w:val="auto"/>
          <w:lang w:val="en-US" w:eastAsia="zh-CN"/>
        </w:rPr>
      </w:pPr>
      <w:bookmarkStart w:id="182" w:name="_Toc20165"/>
      <w:bookmarkStart w:id="183" w:name="_Toc31272"/>
      <w:bookmarkStart w:id="184" w:name="_Toc31723"/>
      <w:r>
        <w:rPr>
          <w:rFonts w:hint="default" w:ascii="Times New Roman" w:hAnsi="Times New Roman" w:cs="Times New Roman"/>
          <w:color w:val="auto"/>
          <w:lang w:val="en-US" w:eastAsia="zh-CN"/>
        </w:rPr>
        <w:t>10.5验收结论</w:t>
      </w:r>
      <w:bookmarkEnd w:id="182"/>
      <w:bookmarkEnd w:id="183"/>
      <w:bookmarkEnd w:id="184"/>
    </w:p>
    <w:p>
      <w:pPr>
        <w:pStyle w:val="109"/>
        <w:widowControl w:val="0"/>
        <w:wordWrap/>
        <w:autoSpaceDE w:val="0"/>
        <w:autoSpaceDN w:val="0"/>
        <w:adjustRightInd w:val="0"/>
        <w:snapToGrid/>
        <w:spacing w:line="360" w:lineRule="auto"/>
        <w:ind w:firstLine="480" w:firstLineChars="200"/>
        <w:textAlignment w:val="auto"/>
        <w:outlineLvl w:val="9"/>
        <w:rPr>
          <w:rFonts w:hint="default" w:ascii="Times New Roman" w:hAnsi="Times New Roman" w:eastAsia="宋体" w:cs="Times New Roman"/>
          <w:b/>
          <w:bCs/>
          <w:color w:val="auto"/>
          <w:spacing w:val="0"/>
          <w:w w:val="100"/>
          <w:sz w:val="24"/>
          <w:szCs w:val="24"/>
          <w:lang w:val="en-US" w:eastAsia="zh-CN"/>
        </w:rPr>
      </w:pPr>
      <w:r>
        <w:rPr>
          <w:rFonts w:hint="default" w:ascii="Times New Roman" w:hAnsi="Times New Roman" w:eastAsia="宋体" w:cs="Times New Roman"/>
          <w:color w:val="auto"/>
          <w:spacing w:val="0"/>
          <w:w w:val="100"/>
          <w:lang w:val="en-US" w:eastAsia="zh-CN"/>
        </w:rPr>
        <w:t>综上所述，</w:t>
      </w:r>
      <w:r>
        <w:rPr>
          <w:rFonts w:hint="default" w:ascii="Times New Roman" w:hAnsi="Times New Roman" w:cs="Times New Roman"/>
          <w:color w:val="auto"/>
          <w:spacing w:val="0"/>
          <w:w w:val="100"/>
          <w:lang w:val="en-US" w:eastAsia="zh-CN"/>
        </w:rPr>
        <w:t>荣昌荣隆污水处理厂</w:t>
      </w:r>
      <w:r>
        <w:rPr>
          <w:rFonts w:hint="default" w:ascii="Times New Roman" w:hAnsi="Times New Roman" w:eastAsia="宋体" w:cs="Times New Roman"/>
          <w:color w:val="auto"/>
          <w:spacing w:val="0"/>
          <w:w w:val="100"/>
          <w:lang w:val="en-US" w:eastAsia="zh-CN"/>
        </w:rPr>
        <w:t>各环保设施建设到位，较好地落实了提标改造设计要求及现场环保管理要求。</w:t>
      </w:r>
      <w:r>
        <w:rPr>
          <w:rFonts w:hint="default" w:ascii="Times New Roman" w:hAnsi="Times New Roman" w:eastAsia="宋体" w:cs="Times New Roman"/>
          <w:color w:val="auto"/>
          <w:spacing w:val="0"/>
          <w:w w:val="100"/>
          <w:highlight w:val="none"/>
          <w:lang w:val="en-US" w:eastAsia="zh-CN"/>
        </w:rPr>
        <w:t>工程建设期间，未发生重大污染和环保投诉事件</w:t>
      </w:r>
      <w:r>
        <w:rPr>
          <w:rFonts w:hint="default" w:ascii="Times New Roman" w:hAnsi="Times New Roman" w:eastAsia="宋体" w:cs="Times New Roman"/>
          <w:color w:val="auto"/>
          <w:spacing w:val="0"/>
          <w:w w:val="100"/>
          <w:lang w:val="en-US" w:eastAsia="zh-CN"/>
        </w:rPr>
        <w:t>。现有环保设施符合运营期污染物排放及处置要求，满足竣工环保验收条件。</w:t>
      </w:r>
    </w:p>
    <w:p>
      <w:pPr>
        <w:pStyle w:val="4"/>
        <w:bidi w:val="0"/>
        <w:rPr>
          <w:rFonts w:hint="default" w:ascii="Times New Roman" w:hAnsi="Times New Roman" w:cs="Times New Roman"/>
          <w:color w:val="auto"/>
        </w:rPr>
      </w:pPr>
      <w:bookmarkStart w:id="185" w:name="_Toc7985"/>
      <w:bookmarkStart w:id="186" w:name="_Toc497833642"/>
      <w:bookmarkStart w:id="187" w:name="_Toc1158"/>
      <w:bookmarkStart w:id="188" w:name="_Toc3964"/>
      <w:r>
        <w:rPr>
          <w:rFonts w:hint="default" w:ascii="Times New Roman" w:hAnsi="Times New Roman" w:cs="Times New Roman"/>
          <w:color w:val="auto"/>
        </w:rPr>
        <w:t>10.</w:t>
      </w:r>
      <w:r>
        <w:rPr>
          <w:rFonts w:hint="default" w:ascii="Times New Roman" w:hAnsi="Times New Roman" w:cs="Times New Roman"/>
          <w:color w:val="auto"/>
          <w:lang w:val="en-US" w:eastAsia="zh-CN"/>
        </w:rPr>
        <w:t>6</w:t>
      </w:r>
      <w:r>
        <w:rPr>
          <w:rFonts w:hint="default" w:ascii="Times New Roman" w:hAnsi="Times New Roman" w:cs="Times New Roman"/>
          <w:color w:val="auto"/>
        </w:rPr>
        <w:t>建议</w:t>
      </w:r>
      <w:bookmarkEnd w:id="185"/>
      <w:bookmarkEnd w:id="186"/>
      <w:r>
        <w:rPr>
          <w:rFonts w:hint="default" w:ascii="Times New Roman" w:hAnsi="Times New Roman" w:cs="Times New Roman"/>
          <w:color w:val="auto"/>
        </w:rPr>
        <w:t>与要求</w:t>
      </w:r>
      <w:bookmarkEnd w:id="187"/>
      <w:bookmarkEnd w:id="188"/>
    </w:p>
    <w:p>
      <w:pPr>
        <w:pStyle w:val="87"/>
        <w:bidi w:val="0"/>
        <w:rPr>
          <w:rFonts w:hint="default" w:ascii="Times New Roman" w:hAnsi="Times New Roman" w:cs="Times New Roman"/>
          <w:color w:val="auto"/>
        </w:rPr>
      </w:pPr>
      <w:r>
        <w:rPr>
          <w:rFonts w:hint="default" w:ascii="Times New Roman" w:hAnsi="Times New Roman" w:cs="Times New Roman"/>
          <w:color w:val="auto"/>
        </w:rPr>
        <w:t>（1）</w:t>
      </w:r>
      <w:bookmarkStart w:id="189" w:name="_Hlk7897223"/>
      <w:r>
        <w:rPr>
          <w:rFonts w:hint="default" w:ascii="Times New Roman" w:hAnsi="Times New Roman" w:cs="Times New Roman"/>
          <w:color w:val="auto"/>
        </w:rPr>
        <w:t>加强对厂区各环保设施的检查维护，确保污染物长期稳定达标排放</w:t>
      </w:r>
      <w:bookmarkEnd w:id="189"/>
      <w:r>
        <w:rPr>
          <w:rFonts w:hint="default" w:ascii="Times New Roman" w:hAnsi="Times New Roman" w:cs="Times New Roman"/>
          <w:color w:val="auto"/>
        </w:rPr>
        <w:t>。</w:t>
      </w:r>
    </w:p>
    <w:p>
      <w:pPr>
        <w:pStyle w:val="87"/>
        <w:bidi w:val="0"/>
        <w:rPr>
          <w:rFonts w:hint="default" w:ascii="Times New Roman" w:hAnsi="Times New Roman" w:cs="Times New Roman"/>
          <w:color w:val="auto"/>
        </w:rPr>
      </w:pPr>
      <w:r>
        <w:rPr>
          <w:rFonts w:hint="default" w:ascii="Times New Roman" w:hAnsi="Times New Roman" w:cs="Times New Roman"/>
          <w:color w:val="auto"/>
        </w:rPr>
        <w:t>（2）加强环境管理和风险防范意识，定期开展环境风险演练，不断完善环境风险防范措施和应急预案。</w:t>
      </w:r>
    </w:p>
    <w:p>
      <w:pPr>
        <w:pStyle w:val="87"/>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危废委托转运过程应采用危险废物转移联单登记的方式对转移的危险废物进行登记、交接和转移的管理。</w:t>
      </w:r>
    </w:p>
    <w:p>
      <w:pPr>
        <w:pStyle w:val="87"/>
        <w:bidi w:val="0"/>
        <w:rPr>
          <w:rFonts w:hint="default" w:ascii="Times New Roman" w:hAnsi="Times New Roman" w:eastAsia="宋体" w:cs="Times New Roman"/>
          <w:color w:val="auto"/>
          <w:lang w:eastAsia="zh-CN"/>
        </w:rPr>
      </w:pPr>
    </w:p>
    <w:bookmarkEnd w:id="177"/>
    <w:bookmarkEnd w:id="181"/>
    <w:p>
      <w:pPr>
        <w:pStyle w:val="87"/>
        <w:ind w:firstLine="480"/>
        <w:rPr>
          <w:rFonts w:hint="default" w:ascii="Times New Roman" w:hAnsi="Times New Roman" w:eastAsia="宋体" w:cs="Times New Roman"/>
          <w:color w:val="auto"/>
          <w:lang w:val="en-US" w:eastAsia="zh-CN"/>
        </w:rPr>
        <w:sectPr>
          <w:pgSz w:w="11907" w:h="16840"/>
          <w:pgMar w:top="1440" w:right="1531" w:bottom="1440" w:left="1531" w:header="850" w:footer="851" w:gutter="0"/>
          <w:pgBorders>
            <w:top w:val="none" w:sz="0" w:space="0"/>
            <w:left w:val="none" w:sz="0" w:space="0"/>
            <w:bottom w:val="none" w:sz="0" w:space="0"/>
            <w:right w:val="none" w:sz="0" w:space="0"/>
          </w:pgBorders>
          <w:pgNumType w:fmt="decimal"/>
          <w:cols w:space="720" w:num="1"/>
          <w:rtlGutter w:val="0"/>
          <w:docGrid w:linePitch="299" w:charSpace="0"/>
        </w:sectPr>
      </w:pPr>
    </w:p>
    <w:bookmarkEnd w:id="176"/>
    <w:p>
      <w:pPr>
        <w:pStyle w:val="3"/>
        <w:rPr>
          <w:rFonts w:hint="default" w:ascii="Times New Roman" w:hAnsi="Times New Roman" w:eastAsia="宋体" w:cs="Times New Roman"/>
          <w:color w:val="auto"/>
        </w:rPr>
      </w:pPr>
      <w:bookmarkStart w:id="190" w:name="_Toc27816"/>
      <w:bookmarkStart w:id="191" w:name="_Toc10701"/>
      <w:r>
        <w:rPr>
          <w:rFonts w:hint="default" w:ascii="Times New Roman" w:hAnsi="Times New Roman" w:eastAsia="宋体" w:cs="Times New Roman"/>
          <w:color w:val="auto"/>
        </w:rPr>
        <w:t>附图和附件</w:t>
      </w:r>
      <w:bookmarkEnd w:id="190"/>
      <w:bookmarkEnd w:id="191"/>
    </w:p>
    <w:p>
      <w:pPr>
        <w:pStyle w:val="87"/>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w:t>
      </w:r>
    </w:p>
    <w:p>
      <w:pPr>
        <w:pStyle w:val="87"/>
        <w:ind w:firstLine="480"/>
        <w:rPr>
          <w:rFonts w:hint="default" w:ascii="Times New Roman" w:hAnsi="Times New Roman" w:eastAsia="宋体" w:cs="Times New Roman"/>
          <w:snapToGrid w:val="0"/>
          <w:color w:val="auto"/>
          <w:highlight w:val="none"/>
          <w:lang w:val="en-US" w:eastAsia="zh-CN"/>
        </w:rPr>
      </w:pPr>
      <w:bookmarkStart w:id="192" w:name="_Hlk57650254"/>
      <w:r>
        <w:rPr>
          <w:rFonts w:hint="default" w:ascii="Times New Roman" w:hAnsi="Times New Roman" w:eastAsia="宋体" w:cs="Times New Roman"/>
          <w:snapToGrid w:val="0"/>
          <w:color w:val="auto"/>
          <w:highlight w:val="none"/>
        </w:rPr>
        <w:t>附件1</w:t>
      </w:r>
      <w:r>
        <w:rPr>
          <w:rFonts w:hint="eastAsia" w:cs="Times New Roman"/>
          <w:snapToGrid w:val="0"/>
          <w:color w:val="auto"/>
          <w:highlight w:val="none"/>
          <w:lang w:val="en-US" w:eastAsia="zh-CN"/>
        </w:rPr>
        <w:t>验收组意见</w:t>
      </w:r>
    </w:p>
    <w:p>
      <w:pPr>
        <w:pStyle w:val="87"/>
        <w:ind w:firstLine="480"/>
        <w:rPr>
          <w:rFonts w:hint="default" w:ascii="Times New Roman" w:hAnsi="Times New Roman" w:eastAsia="宋体" w:cs="Times New Roman"/>
          <w:snapToGrid w:val="0"/>
          <w:color w:val="auto"/>
          <w:highlight w:val="none"/>
          <w:lang w:val="en-US" w:eastAsia="zh-CN"/>
        </w:rPr>
      </w:pPr>
      <w:r>
        <w:rPr>
          <w:rFonts w:hint="default" w:ascii="Times New Roman" w:hAnsi="Times New Roman" w:eastAsia="宋体" w:cs="Times New Roman"/>
          <w:snapToGrid w:val="0"/>
          <w:color w:val="auto"/>
          <w:highlight w:val="none"/>
        </w:rPr>
        <w:t>附件</w:t>
      </w:r>
      <w:r>
        <w:rPr>
          <w:rFonts w:hint="default" w:ascii="Times New Roman" w:hAnsi="Times New Roman" w:cs="Times New Roman"/>
          <w:snapToGrid w:val="0"/>
          <w:color w:val="auto"/>
          <w:highlight w:val="none"/>
          <w:lang w:val="en-US" w:eastAsia="zh-CN"/>
        </w:rPr>
        <w:t>2</w:t>
      </w:r>
      <w:r>
        <w:rPr>
          <w:rFonts w:hint="eastAsia" w:cs="Times New Roman"/>
          <w:snapToGrid w:val="0"/>
          <w:color w:val="auto"/>
          <w:highlight w:val="none"/>
          <w:lang w:val="en-US" w:eastAsia="zh-CN"/>
        </w:rPr>
        <w:t>环境风险评估报告备案登记表</w:t>
      </w:r>
    </w:p>
    <w:p>
      <w:pPr>
        <w:pStyle w:val="87"/>
        <w:ind w:firstLine="480"/>
        <w:rPr>
          <w:rFonts w:hint="default" w:ascii="Times New Roman" w:hAnsi="Times New Roman" w:eastAsia="宋体" w:cs="Times New Roman"/>
          <w:snapToGrid w:val="0"/>
          <w:color w:val="auto"/>
          <w:highlight w:val="none"/>
          <w:lang w:val="en-US"/>
        </w:rPr>
      </w:pPr>
      <w:r>
        <w:rPr>
          <w:rFonts w:hint="default" w:ascii="Times New Roman" w:hAnsi="Times New Roman" w:eastAsia="宋体" w:cs="Times New Roman"/>
          <w:snapToGrid w:val="0"/>
          <w:color w:val="auto"/>
          <w:highlight w:val="none"/>
        </w:rPr>
        <w:t>附件</w:t>
      </w:r>
      <w:r>
        <w:rPr>
          <w:rFonts w:hint="default" w:ascii="Times New Roman" w:hAnsi="Times New Roman" w:cs="Times New Roman"/>
          <w:snapToGrid w:val="0"/>
          <w:color w:val="auto"/>
          <w:highlight w:val="none"/>
          <w:lang w:val="en-US" w:eastAsia="zh-CN"/>
        </w:rPr>
        <w:t>3</w:t>
      </w:r>
      <w:r>
        <w:rPr>
          <w:rFonts w:hint="eastAsia" w:cs="Times New Roman"/>
          <w:snapToGrid w:val="0"/>
          <w:color w:val="auto"/>
          <w:highlight w:val="none"/>
          <w:lang w:val="en-US" w:eastAsia="zh-CN"/>
        </w:rPr>
        <w:t>企业事业单位突发环境事件应急预案备案表</w:t>
      </w:r>
    </w:p>
    <w:p>
      <w:pPr>
        <w:pStyle w:val="87"/>
        <w:ind w:firstLine="480"/>
        <w:rPr>
          <w:rFonts w:hint="default" w:ascii="Times New Roman" w:hAnsi="Times New Roman" w:eastAsia="宋体" w:cs="Times New Roman"/>
          <w:snapToGrid w:val="0"/>
          <w:color w:val="auto"/>
          <w:highlight w:val="none"/>
          <w:lang w:val="en-US" w:eastAsia="zh-CN"/>
        </w:rPr>
      </w:pPr>
      <w:r>
        <w:rPr>
          <w:rFonts w:hint="default" w:ascii="Times New Roman" w:hAnsi="Times New Roman" w:eastAsia="宋体" w:cs="Times New Roman"/>
          <w:snapToGrid w:val="0"/>
          <w:color w:val="auto"/>
          <w:highlight w:val="none"/>
        </w:rPr>
        <w:t>附件</w:t>
      </w:r>
      <w:r>
        <w:rPr>
          <w:rFonts w:hint="default" w:ascii="Times New Roman" w:hAnsi="Times New Roman" w:cs="Times New Roman"/>
          <w:snapToGrid w:val="0"/>
          <w:color w:val="auto"/>
          <w:highlight w:val="none"/>
          <w:lang w:val="en-US" w:eastAsia="zh-CN"/>
        </w:rPr>
        <w:t>4</w:t>
      </w:r>
      <w:r>
        <w:rPr>
          <w:rFonts w:hint="eastAsia" w:cs="Times New Roman"/>
          <w:snapToGrid w:val="0"/>
          <w:color w:val="auto"/>
          <w:highlight w:val="none"/>
          <w:lang w:val="en-US" w:eastAsia="zh-CN"/>
        </w:rPr>
        <w:t>排污许可证</w:t>
      </w:r>
    </w:p>
    <w:p>
      <w:pPr>
        <w:pStyle w:val="87"/>
        <w:ind w:firstLine="480"/>
        <w:rPr>
          <w:rFonts w:hint="default" w:ascii="Times New Roman" w:hAnsi="Times New Roman" w:eastAsia="宋体" w:cs="Times New Roman"/>
          <w:snapToGrid w:val="0"/>
          <w:color w:val="auto"/>
          <w:highlight w:val="none"/>
          <w:lang w:val="en-US" w:eastAsia="zh-CN"/>
        </w:rPr>
      </w:pPr>
      <w:r>
        <w:rPr>
          <w:rFonts w:hint="default" w:ascii="Times New Roman" w:hAnsi="Times New Roman" w:eastAsia="宋体" w:cs="Times New Roman"/>
          <w:snapToGrid w:val="0"/>
          <w:color w:val="auto"/>
          <w:highlight w:val="none"/>
        </w:rPr>
        <w:t>附件</w:t>
      </w:r>
      <w:r>
        <w:rPr>
          <w:rFonts w:hint="default" w:ascii="Times New Roman" w:hAnsi="Times New Roman" w:cs="Times New Roman"/>
          <w:snapToGrid w:val="0"/>
          <w:color w:val="auto"/>
          <w:highlight w:val="none"/>
          <w:lang w:val="en-US" w:eastAsia="zh-CN"/>
        </w:rPr>
        <w:t>5</w:t>
      </w:r>
      <w:r>
        <w:rPr>
          <w:rFonts w:hint="eastAsia" w:cs="Times New Roman"/>
          <w:snapToGrid w:val="0"/>
          <w:color w:val="auto"/>
          <w:highlight w:val="none"/>
          <w:lang w:val="en-US" w:eastAsia="zh-CN"/>
        </w:rPr>
        <w:t>用地拆迁补偿协议</w:t>
      </w:r>
    </w:p>
    <w:p>
      <w:pPr>
        <w:pStyle w:val="87"/>
        <w:ind w:firstLine="480"/>
        <w:rPr>
          <w:rFonts w:hint="default" w:ascii="Times New Roman" w:hAnsi="Times New Roman" w:eastAsia="宋体"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附件6</w:t>
      </w:r>
      <w:r>
        <w:rPr>
          <w:rFonts w:hint="eastAsia" w:cs="Times New Roman"/>
          <w:snapToGrid w:val="0"/>
          <w:color w:val="auto"/>
          <w:highlight w:val="none"/>
          <w:lang w:val="en-US" w:eastAsia="zh-CN"/>
        </w:rPr>
        <w:t>验收监测报告</w:t>
      </w:r>
    </w:p>
    <w:p>
      <w:pPr>
        <w:pStyle w:val="87"/>
        <w:ind w:firstLine="480"/>
        <w:rPr>
          <w:rFonts w:hint="default" w:ascii="Times New Roman" w:hAnsi="Times New Roman" w:cs="Times New Roman"/>
          <w:snapToGrid w:val="0"/>
          <w:color w:val="auto"/>
          <w:highlight w:val="none"/>
          <w:lang w:val="en-US" w:eastAsia="zh-CN"/>
        </w:rPr>
      </w:pPr>
      <w:r>
        <w:rPr>
          <w:rFonts w:hint="default" w:ascii="Times New Roman" w:hAnsi="Times New Roman" w:cs="Times New Roman"/>
          <w:snapToGrid w:val="0"/>
          <w:color w:val="auto"/>
          <w:highlight w:val="none"/>
          <w:lang w:eastAsia="zh-CN"/>
        </w:rPr>
        <w:t>附</w:t>
      </w:r>
      <w:r>
        <w:rPr>
          <w:rFonts w:hint="default" w:ascii="Times New Roman" w:hAnsi="Times New Roman" w:cs="Times New Roman"/>
          <w:snapToGrid w:val="0"/>
          <w:color w:val="auto"/>
          <w:highlight w:val="none"/>
          <w:lang w:val="en-US" w:eastAsia="zh-CN"/>
        </w:rPr>
        <w:t>件7</w:t>
      </w:r>
      <w:r>
        <w:rPr>
          <w:rFonts w:hint="eastAsia" w:cs="Times New Roman"/>
          <w:snapToGrid w:val="0"/>
          <w:color w:val="auto"/>
          <w:highlight w:val="none"/>
          <w:lang w:val="en-US" w:eastAsia="zh-CN"/>
        </w:rPr>
        <w:t>污泥处置合同</w:t>
      </w:r>
    </w:p>
    <w:p>
      <w:pPr>
        <w:pStyle w:val="87"/>
        <w:ind w:firstLine="480"/>
        <w:rPr>
          <w:rFonts w:hint="eastAsia" w:cs="Times New Roman"/>
          <w:snapToGrid w:val="0"/>
          <w:color w:val="auto"/>
          <w:highlight w:val="none"/>
          <w:lang w:val="en-US" w:eastAsia="zh-CN"/>
        </w:rPr>
      </w:pPr>
      <w:r>
        <w:rPr>
          <w:rFonts w:hint="default" w:ascii="Times New Roman" w:hAnsi="Times New Roman" w:cs="Times New Roman"/>
          <w:snapToGrid w:val="0"/>
          <w:color w:val="auto"/>
          <w:highlight w:val="none"/>
          <w:lang w:val="en-US" w:eastAsia="zh-CN"/>
        </w:rPr>
        <w:t>附件8</w:t>
      </w:r>
      <w:r>
        <w:rPr>
          <w:rFonts w:hint="eastAsia" w:cs="Times New Roman"/>
          <w:snapToGrid w:val="0"/>
          <w:color w:val="auto"/>
          <w:highlight w:val="none"/>
          <w:lang w:val="en-US" w:eastAsia="zh-CN"/>
        </w:rPr>
        <w:t>重庆顺齐利固体废物治理有限公司排污许可证</w:t>
      </w:r>
    </w:p>
    <w:p>
      <w:pPr>
        <w:pStyle w:val="87"/>
        <w:ind w:firstLine="480"/>
        <w:rPr>
          <w:rFonts w:hint="eastAsia" w:cs="Times New Roman"/>
          <w:snapToGrid w:val="0"/>
          <w:color w:val="auto"/>
          <w:highlight w:val="none"/>
          <w:lang w:val="en-US" w:eastAsia="zh-CN"/>
        </w:rPr>
      </w:pPr>
      <w:r>
        <w:rPr>
          <w:rFonts w:hint="eastAsia" w:cs="Times New Roman"/>
          <w:snapToGrid w:val="0"/>
          <w:color w:val="auto"/>
          <w:highlight w:val="none"/>
          <w:lang w:val="en-US" w:eastAsia="zh-CN"/>
        </w:rPr>
        <w:t>附件9万盛煤电化园区一般工业固废处置中心环境影响评价文件批准书</w:t>
      </w:r>
    </w:p>
    <w:p>
      <w:pPr>
        <w:pStyle w:val="87"/>
        <w:ind w:firstLine="480"/>
        <w:rPr>
          <w:rFonts w:hint="eastAsia" w:cs="Times New Roman"/>
          <w:snapToGrid w:val="0"/>
          <w:color w:val="auto"/>
          <w:highlight w:val="none"/>
          <w:lang w:val="en-US" w:eastAsia="zh-CN"/>
        </w:rPr>
      </w:pPr>
      <w:r>
        <w:rPr>
          <w:rFonts w:hint="eastAsia" w:cs="Times New Roman"/>
          <w:snapToGrid w:val="0"/>
          <w:color w:val="auto"/>
          <w:highlight w:val="none"/>
          <w:lang w:val="en-US" w:eastAsia="zh-CN"/>
        </w:rPr>
        <w:t>附件10重庆顺齐利固体废物治理有限公司营业执照</w:t>
      </w:r>
    </w:p>
    <w:p>
      <w:pPr>
        <w:pStyle w:val="87"/>
        <w:ind w:firstLine="480"/>
        <w:rPr>
          <w:rFonts w:hint="eastAsia" w:cs="Times New Roman"/>
          <w:snapToGrid w:val="0"/>
          <w:color w:val="auto"/>
          <w:highlight w:val="none"/>
          <w:lang w:val="en-US" w:eastAsia="zh-CN"/>
        </w:rPr>
      </w:pPr>
      <w:r>
        <w:rPr>
          <w:rFonts w:hint="eastAsia" w:cs="Times New Roman"/>
          <w:snapToGrid w:val="0"/>
          <w:color w:val="auto"/>
          <w:highlight w:val="none"/>
          <w:lang w:val="en-US" w:eastAsia="zh-CN"/>
        </w:rPr>
        <w:t>附件11危险废物处置合同</w:t>
      </w:r>
    </w:p>
    <w:p>
      <w:pPr>
        <w:pStyle w:val="87"/>
        <w:ind w:firstLine="480"/>
        <w:rPr>
          <w:rFonts w:hint="eastAsia" w:cs="Times New Roman"/>
          <w:snapToGrid w:val="0"/>
          <w:color w:val="auto"/>
          <w:highlight w:val="none"/>
          <w:lang w:val="en-US" w:eastAsia="zh-CN"/>
        </w:rPr>
      </w:pPr>
      <w:r>
        <w:rPr>
          <w:rFonts w:hint="eastAsia" w:cs="Times New Roman"/>
          <w:snapToGrid w:val="0"/>
          <w:color w:val="auto"/>
          <w:highlight w:val="none"/>
          <w:lang w:val="en-US" w:eastAsia="zh-CN"/>
        </w:rPr>
        <w:t>附件12重庆弘邦环保有限公司危险废物经营许可证</w:t>
      </w:r>
    </w:p>
    <w:p>
      <w:pPr>
        <w:pStyle w:val="87"/>
        <w:ind w:firstLine="480"/>
        <w:rPr>
          <w:rFonts w:hint="default" w:cs="Times New Roman"/>
          <w:snapToGrid w:val="0"/>
          <w:color w:val="auto"/>
          <w:highlight w:val="none"/>
          <w:lang w:val="en-US" w:eastAsia="zh-CN"/>
        </w:rPr>
      </w:pPr>
      <w:r>
        <w:rPr>
          <w:rFonts w:hint="eastAsia" w:cs="Times New Roman"/>
          <w:snapToGrid w:val="0"/>
          <w:color w:val="auto"/>
          <w:highlight w:val="none"/>
          <w:lang w:val="en-US" w:eastAsia="zh-CN"/>
        </w:rPr>
        <w:t>附件13重庆弘邦环保有限公司营业执照</w:t>
      </w:r>
      <w:bookmarkStart w:id="193" w:name="_GoBack"/>
      <w:bookmarkEnd w:id="193"/>
    </w:p>
    <w:p>
      <w:pPr>
        <w:pStyle w:val="87"/>
        <w:ind w:firstLine="480"/>
        <w:rPr>
          <w:rFonts w:hint="default" w:ascii="Times New Roman" w:hAnsi="Times New Roman" w:eastAsia="宋体" w:cs="Times New Roman"/>
          <w:snapToGrid w:val="0"/>
          <w:color w:val="auto"/>
          <w:highlight w:val="yellow"/>
        </w:rPr>
      </w:pPr>
    </w:p>
    <w:p>
      <w:pPr>
        <w:bidi w:val="0"/>
        <w:rPr>
          <w:rFonts w:hint="default" w:ascii="Times New Roman" w:hAnsi="Times New Roman" w:cs="Times New Roman"/>
          <w:color w:val="auto"/>
        </w:rPr>
      </w:pPr>
    </w:p>
    <w:bookmarkEnd w:id="192"/>
    <w:p>
      <w:pPr>
        <w:bidi w:val="0"/>
        <w:rPr>
          <w:rFonts w:hint="default" w:ascii="Times New Roman" w:hAnsi="Times New Roman" w:cs="Times New Roman"/>
          <w:color w:val="auto"/>
        </w:rPr>
      </w:pPr>
    </w:p>
    <w:p>
      <w:pPr>
        <w:bidi w:val="0"/>
        <w:rPr>
          <w:rFonts w:hint="default" w:ascii="Times New Roman" w:hAnsi="Times New Roman" w:cs="Times New Roman"/>
          <w:color w:val="auto"/>
        </w:rPr>
      </w:pPr>
    </w:p>
    <w:p>
      <w:pPr>
        <w:bidi w:val="0"/>
        <w:rPr>
          <w:rFonts w:hint="default" w:ascii="Times New Roman" w:hAnsi="Times New Roman" w:cs="Times New Roman"/>
          <w:color w:val="auto"/>
        </w:rPr>
      </w:pPr>
    </w:p>
    <w:sectPr>
      <w:footerReference r:id="rId13" w:type="default"/>
      <w:pgSz w:w="11907" w:h="16840"/>
      <w:pgMar w:top="1440" w:right="1531" w:bottom="1440" w:left="1531" w:header="851" w:footer="992" w:gutter="454"/>
      <w:pgBorders>
        <w:top w:val="none" w:sz="0" w:space="0"/>
        <w:left w:val="none" w:sz="0" w:space="0"/>
        <w:bottom w:val="none" w:sz="0" w:space="0"/>
        <w:right w:val="none" w:sz="0" w:space="0"/>
      </w:pgBorders>
      <w:pgNumType w:fmt="decimal" w:start="1"/>
      <w:cols w:space="720" w:num="1"/>
      <w:rtlGutter w:val="0"/>
      <w:docGrid w:type="lines" w:linePitch="32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serif">
    <w:altName w:val="AMGDT"/>
    <w:panose1 w:val="00000000000000000000"/>
    <w:charset w:val="00"/>
    <w:family w:val="auto"/>
    <w:pitch w:val="default"/>
    <w:sig w:usb0="00000000" w:usb1="00000000" w:usb2="00000000" w:usb3="00000000" w:csb0="00040001" w:csb1="00000000"/>
  </w:font>
  <w:font w:name="AMGDT">
    <w:panose1 w:val="02000400000000000000"/>
    <w:charset w:val="00"/>
    <w:family w:val="auto"/>
    <w:pitch w:val="default"/>
    <w:sig w:usb0="80000003" w:usb1="10000000" w:usb2="00000000" w:usb3="00000000" w:csb0="00000001" w:csb1="00000000"/>
  </w:font>
  <w:font w:name="Dutch801 Rm BT">
    <w:panose1 w:val="02020603060505020304"/>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tggj">
    <w:altName w:val="AMGDT"/>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734"/>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81"/>
      </w:rPr>
    </w:pPr>
    <w:r>
      <w:fldChar w:fldCharType="begin"/>
    </w:r>
    <w:r>
      <w:rPr>
        <w:rStyle w:val="81"/>
      </w:rPr>
      <w:instrText xml:space="preserve">PAGE  </w:instrText>
    </w:r>
    <w:r>
      <w:fldChar w:fldCharType="separate"/>
    </w:r>
    <w:r>
      <w:rPr>
        <w:rStyle w:val="81"/>
      </w:rPr>
      <w:t>36</w:t>
    </w:r>
    <w:r>
      <w:fldChar w:fldCharType="end"/>
    </w:r>
  </w:p>
  <w:p>
    <w:pPr>
      <w:pStyle w:val="2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3</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81"/>
      </w:rPr>
    </w:pPr>
    <w:r>
      <w:fldChar w:fldCharType="begin"/>
    </w:r>
    <w:r>
      <w:rPr>
        <w:rStyle w:val="81"/>
      </w:rPr>
      <w:instrText xml:space="preserve">PAGE  </w:instrText>
    </w:r>
    <w:r>
      <w:fldChar w:fldCharType="separate"/>
    </w:r>
    <w:r>
      <w:rPr>
        <w:rStyle w:val="81"/>
      </w:rPr>
      <w:t>36</w:t>
    </w:r>
    <w:r>
      <w:fldChar w:fldCharType="end"/>
    </w:r>
  </w:p>
  <w:p>
    <w:pPr>
      <w:pStyle w:val="22"/>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rPr>
        <w:rFonts w:hint="default"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50</w:t>
                    </w:r>
                    <w:r>
                      <w:t xml:space="preserve"> 页</w:t>
                    </w:r>
                  </w:p>
                </w:txbxContent>
              </v:textbox>
            </v:shape>
          </w:pict>
        </mc:Fallback>
      </mc:AlternateContent>
    </w:r>
    <w:r>
      <w:rPr>
        <w:rFonts w:hint="eastAsia"/>
        <w:lang w:val="en-US" w:eastAsia="zh-CN"/>
      </w:rPr>
      <w:t>重庆惠能标普科技有限公司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rPr>
        <w:rFonts w:hint="default" w:eastAsia="宋体"/>
        <w:lang w:val="en-US" w:eastAsia="zh-CN"/>
      </w:rPr>
    </w:pPr>
    <w:r>
      <w:rPr>
        <w:rFonts w:hint="eastAsia"/>
        <w:lang w:val="en-US" w:eastAsia="zh-CN"/>
      </w:rPr>
      <w:t>重庆惠能标普科技有限公司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eastAsia="Calibri"/>
        <w:lang w:eastAsia="zh-CN"/>
      </w:rPr>
    </w:pPr>
    <w:r>
      <w:rPr>
        <w:rFonts w:hint="eastAsia"/>
        <w:sz w:val="21"/>
        <w:szCs w:val="21"/>
        <w:lang w:eastAsia="zh-CN"/>
      </w:rPr>
      <w:t>荣昌荣隆工业园污水处理厂提标及工艺技改工程项目竣工环境保护验收监测报告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ED2B73"/>
    <w:multiLevelType w:val="singleLevel"/>
    <w:tmpl w:val="F6ED2B73"/>
    <w:lvl w:ilvl="0" w:tentative="0">
      <w:start w:val="1"/>
      <w:numFmt w:val="decimal"/>
      <w:lvlText w:val="%1."/>
      <w:lvlJc w:val="left"/>
      <w:pPr>
        <w:tabs>
          <w:tab w:val="left" w:pos="312"/>
        </w:tabs>
      </w:pPr>
    </w:lvl>
  </w:abstractNum>
  <w:abstractNum w:abstractNumId="1">
    <w:nsid w:val="2A543866"/>
    <w:multiLevelType w:val="singleLevel"/>
    <w:tmpl w:val="2A543866"/>
    <w:lvl w:ilvl="0" w:tentative="0">
      <w:start w:val="1"/>
      <w:numFmt w:val="decimal"/>
      <w:suff w:val="nothing"/>
      <w:lvlText w:val="（%1）"/>
      <w:lvlJc w:val="left"/>
      <w:pPr>
        <w:ind w:left="-90"/>
      </w:pPr>
    </w:lvl>
  </w:abstractNum>
  <w:abstractNum w:abstractNumId="2">
    <w:nsid w:val="37A99659"/>
    <w:multiLevelType w:val="singleLevel"/>
    <w:tmpl w:val="37A99659"/>
    <w:lvl w:ilvl="0" w:tentative="0">
      <w:start w:val="1"/>
      <w:numFmt w:val="decimal"/>
      <w:suff w:val="nothing"/>
      <w:lvlText w:val="%1、"/>
      <w:lvlJc w:val="left"/>
    </w:lvl>
  </w:abstractNum>
  <w:abstractNum w:abstractNumId="3">
    <w:nsid w:val="565958BD"/>
    <w:multiLevelType w:val="multilevel"/>
    <w:tmpl w:val="565958BD"/>
    <w:lvl w:ilvl="0" w:tentative="0">
      <w:start w:val="1"/>
      <w:numFmt w:val="decimal"/>
      <w:lvlText w:val="第%1章"/>
      <w:lvlJc w:val="center"/>
      <w:pPr>
        <w:tabs>
          <w:tab w:val="left" w:pos="1008"/>
        </w:tabs>
        <w:ind w:left="0" w:firstLine="288"/>
      </w:pPr>
      <w:rPr>
        <w:rFonts w:hint="default" w:ascii="Times New Roman" w:hAnsi="Times New Roman" w:eastAsia="黑体"/>
        <w:b w:val="0"/>
        <w:i w:val="0"/>
        <w:sz w:val="32"/>
      </w:rPr>
    </w:lvl>
    <w:lvl w:ilvl="1" w:tentative="0">
      <w:start w:val="1"/>
      <w:numFmt w:val="decimal"/>
      <w:pStyle w:val="111"/>
      <w:lvlText w:val="%1.%2"/>
      <w:lvlJc w:val="left"/>
      <w:pPr>
        <w:tabs>
          <w:tab w:val="left" w:pos="720"/>
        </w:tabs>
        <w:ind w:left="0" w:firstLine="0"/>
      </w:pPr>
      <w:rPr>
        <w:rFonts w:hint="default" w:ascii="Times New Roman" w:hAnsi="Times New Roman" w:eastAsia="黑体"/>
        <w:b w:val="0"/>
        <w:i w:val="0"/>
        <w:sz w:val="30"/>
      </w:rPr>
    </w:lvl>
    <w:lvl w:ilvl="2" w:tentative="0">
      <w:start w:val="1"/>
      <w:numFmt w:val="decimal"/>
      <w:pStyle w:val="101"/>
      <w:lvlText w:val="%1.%2.%3"/>
      <w:lvlJc w:val="left"/>
      <w:pPr>
        <w:tabs>
          <w:tab w:val="left" w:pos="720"/>
        </w:tabs>
        <w:ind w:left="0" w:firstLine="0"/>
      </w:pPr>
      <w:rPr>
        <w:rFonts w:hint="default" w:ascii="Times New Roman" w:hAnsi="Times New Roman" w:eastAsia="黑体"/>
        <w:b w:val="0"/>
        <w:i w:val="0"/>
        <w:sz w:val="28"/>
      </w:rPr>
    </w:lvl>
    <w:lvl w:ilvl="3" w:tentative="0">
      <w:start w:val="1"/>
      <w:numFmt w:val="decimal"/>
      <w:lvlText w:val="%1.%2.%3.%4"/>
      <w:lvlJc w:val="left"/>
      <w:pPr>
        <w:tabs>
          <w:tab w:val="left" w:pos="720"/>
        </w:tabs>
        <w:ind w:left="0" w:firstLine="0"/>
      </w:pPr>
      <w:rPr>
        <w:rFonts w:hint="default" w:ascii="Times New Roman" w:hAnsi="Times New Roman" w:eastAsia="黑体"/>
        <w:b w:val="0"/>
        <w:i w:val="0"/>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69CCCAD8"/>
    <w:multiLevelType w:val="singleLevel"/>
    <w:tmpl w:val="69CCCAD8"/>
    <w:lvl w:ilvl="0" w:tentative="0">
      <w:start w:val="1"/>
      <w:numFmt w:val="decimal"/>
      <w:lvlText w:val="%1."/>
      <w:lvlJc w:val="left"/>
      <w:pPr>
        <w:ind w:left="425" w:hanging="425"/>
      </w:pPr>
      <w:rPr>
        <w:rFont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05"/>
  <w:drawingGridVerticalSpacing w:val="160"/>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2MjM1MmMzMzU3N2ZhNTMwM2RkNWJmOGQzOTcyOWEifQ=="/>
  </w:docVars>
  <w:rsids>
    <w:rsidRoot w:val="00172A27"/>
    <w:rsid w:val="000005B9"/>
    <w:rsid w:val="000009C1"/>
    <w:rsid w:val="0000282A"/>
    <w:rsid w:val="00006C2D"/>
    <w:rsid w:val="00006E6E"/>
    <w:rsid w:val="00007063"/>
    <w:rsid w:val="000076F0"/>
    <w:rsid w:val="00007E94"/>
    <w:rsid w:val="00011762"/>
    <w:rsid w:val="0001250F"/>
    <w:rsid w:val="000139CF"/>
    <w:rsid w:val="0001460F"/>
    <w:rsid w:val="00014C61"/>
    <w:rsid w:val="0001564C"/>
    <w:rsid w:val="00015CEB"/>
    <w:rsid w:val="000174B5"/>
    <w:rsid w:val="000175E7"/>
    <w:rsid w:val="00020B6D"/>
    <w:rsid w:val="00020F78"/>
    <w:rsid w:val="000210F2"/>
    <w:rsid w:val="00021F7F"/>
    <w:rsid w:val="00023C41"/>
    <w:rsid w:val="00023EDB"/>
    <w:rsid w:val="00024398"/>
    <w:rsid w:val="00024A7E"/>
    <w:rsid w:val="00027981"/>
    <w:rsid w:val="0003029F"/>
    <w:rsid w:val="00031985"/>
    <w:rsid w:val="00031E70"/>
    <w:rsid w:val="00032C9A"/>
    <w:rsid w:val="00032E49"/>
    <w:rsid w:val="00033210"/>
    <w:rsid w:val="000346EA"/>
    <w:rsid w:val="00035008"/>
    <w:rsid w:val="00036297"/>
    <w:rsid w:val="00036B77"/>
    <w:rsid w:val="00037827"/>
    <w:rsid w:val="00037E4F"/>
    <w:rsid w:val="00041A1B"/>
    <w:rsid w:val="00041E39"/>
    <w:rsid w:val="00041FA7"/>
    <w:rsid w:val="000441F1"/>
    <w:rsid w:val="00044ED6"/>
    <w:rsid w:val="00045F9F"/>
    <w:rsid w:val="0004693E"/>
    <w:rsid w:val="000471C5"/>
    <w:rsid w:val="000473D3"/>
    <w:rsid w:val="00047666"/>
    <w:rsid w:val="00050EE8"/>
    <w:rsid w:val="00051915"/>
    <w:rsid w:val="00052279"/>
    <w:rsid w:val="0005472F"/>
    <w:rsid w:val="0005528A"/>
    <w:rsid w:val="000571A8"/>
    <w:rsid w:val="000579B3"/>
    <w:rsid w:val="000608B3"/>
    <w:rsid w:val="00061458"/>
    <w:rsid w:val="00062AE3"/>
    <w:rsid w:val="000630C3"/>
    <w:rsid w:val="00063630"/>
    <w:rsid w:val="000639E9"/>
    <w:rsid w:val="00063FE2"/>
    <w:rsid w:val="000646B0"/>
    <w:rsid w:val="000661B0"/>
    <w:rsid w:val="0006658C"/>
    <w:rsid w:val="0006659B"/>
    <w:rsid w:val="000667C2"/>
    <w:rsid w:val="0007063C"/>
    <w:rsid w:val="000708D4"/>
    <w:rsid w:val="00071ED6"/>
    <w:rsid w:val="00072150"/>
    <w:rsid w:val="000731D1"/>
    <w:rsid w:val="00074290"/>
    <w:rsid w:val="00074755"/>
    <w:rsid w:val="00074EF3"/>
    <w:rsid w:val="0007558B"/>
    <w:rsid w:val="00080454"/>
    <w:rsid w:val="000804CF"/>
    <w:rsid w:val="00081C5A"/>
    <w:rsid w:val="00082F1F"/>
    <w:rsid w:val="00083589"/>
    <w:rsid w:val="00084225"/>
    <w:rsid w:val="00084CD9"/>
    <w:rsid w:val="00086F0E"/>
    <w:rsid w:val="00087388"/>
    <w:rsid w:val="00087808"/>
    <w:rsid w:val="00087C39"/>
    <w:rsid w:val="00092307"/>
    <w:rsid w:val="00092C47"/>
    <w:rsid w:val="0009319A"/>
    <w:rsid w:val="00093F07"/>
    <w:rsid w:val="00094DE1"/>
    <w:rsid w:val="000951A4"/>
    <w:rsid w:val="00095813"/>
    <w:rsid w:val="0009591E"/>
    <w:rsid w:val="00095F4B"/>
    <w:rsid w:val="00096DB1"/>
    <w:rsid w:val="00097FC0"/>
    <w:rsid w:val="00097FCA"/>
    <w:rsid w:val="000A11BA"/>
    <w:rsid w:val="000A1268"/>
    <w:rsid w:val="000A1674"/>
    <w:rsid w:val="000A197A"/>
    <w:rsid w:val="000A2DA2"/>
    <w:rsid w:val="000A37B0"/>
    <w:rsid w:val="000A695C"/>
    <w:rsid w:val="000A6B70"/>
    <w:rsid w:val="000A717E"/>
    <w:rsid w:val="000B0B5E"/>
    <w:rsid w:val="000B0D27"/>
    <w:rsid w:val="000B13B2"/>
    <w:rsid w:val="000B69CD"/>
    <w:rsid w:val="000B6D13"/>
    <w:rsid w:val="000B758F"/>
    <w:rsid w:val="000B791A"/>
    <w:rsid w:val="000B7BBC"/>
    <w:rsid w:val="000C01D8"/>
    <w:rsid w:val="000C06A7"/>
    <w:rsid w:val="000C1759"/>
    <w:rsid w:val="000C1ACC"/>
    <w:rsid w:val="000C2857"/>
    <w:rsid w:val="000C3685"/>
    <w:rsid w:val="000C3DF7"/>
    <w:rsid w:val="000C3DF8"/>
    <w:rsid w:val="000C3F14"/>
    <w:rsid w:val="000C4202"/>
    <w:rsid w:val="000C531A"/>
    <w:rsid w:val="000C633D"/>
    <w:rsid w:val="000C7A53"/>
    <w:rsid w:val="000D025E"/>
    <w:rsid w:val="000D0A54"/>
    <w:rsid w:val="000D1385"/>
    <w:rsid w:val="000D3350"/>
    <w:rsid w:val="000D3E71"/>
    <w:rsid w:val="000D3EF8"/>
    <w:rsid w:val="000D4F42"/>
    <w:rsid w:val="000D53E5"/>
    <w:rsid w:val="000D5BF2"/>
    <w:rsid w:val="000D5C01"/>
    <w:rsid w:val="000D6DC4"/>
    <w:rsid w:val="000E03F8"/>
    <w:rsid w:val="000E0933"/>
    <w:rsid w:val="000E0B81"/>
    <w:rsid w:val="000E11B0"/>
    <w:rsid w:val="000E129F"/>
    <w:rsid w:val="000E21B0"/>
    <w:rsid w:val="000E3B57"/>
    <w:rsid w:val="000E3F4E"/>
    <w:rsid w:val="000E46AC"/>
    <w:rsid w:val="000E52A0"/>
    <w:rsid w:val="000E5773"/>
    <w:rsid w:val="000E6EEA"/>
    <w:rsid w:val="000E71A5"/>
    <w:rsid w:val="000E71BE"/>
    <w:rsid w:val="000F1FA7"/>
    <w:rsid w:val="000F30A8"/>
    <w:rsid w:val="000F33D7"/>
    <w:rsid w:val="000F3522"/>
    <w:rsid w:val="000F3D03"/>
    <w:rsid w:val="000F4325"/>
    <w:rsid w:val="000F4AB2"/>
    <w:rsid w:val="000F4E36"/>
    <w:rsid w:val="000F564C"/>
    <w:rsid w:val="000F69CC"/>
    <w:rsid w:val="000F7924"/>
    <w:rsid w:val="000F7ADE"/>
    <w:rsid w:val="0010142B"/>
    <w:rsid w:val="0010219C"/>
    <w:rsid w:val="0010393E"/>
    <w:rsid w:val="00103CCA"/>
    <w:rsid w:val="00105CFA"/>
    <w:rsid w:val="00107A3A"/>
    <w:rsid w:val="00107C9D"/>
    <w:rsid w:val="001114A6"/>
    <w:rsid w:val="001128AA"/>
    <w:rsid w:val="00113AD7"/>
    <w:rsid w:val="00114140"/>
    <w:rsid w:val="0011450A"/>
    <w:rsid w:val="001150B3"/>
    <w:rsid w:val="0011593B"/>
    <w:rsid w:val="00115BBF"/>
    <w:rsid w:val="001168E3"/>
    <w:rsid w:val="00120471"/>
    <w:rsid w:val="00120791"/>
    <w:rsid w:val="001225ED"/>
    <w:rsid w:val="00123293"/>
    <w:rsid w:val="001238EC"/>
    <w:rsid w:val="001239FB"/>
    <w:rsid w:val="00124174"/>
    <w:rsid w:val="00124371"/>
    <w:rsid w:val="001243C3"/>
    <w:rsid w:val="00124649"/>
    <w:rsid w:val="00125251"/>
    <w:rsid w:val="00125424"/>
    <w:rsid w:val="00125807"/>
    <w:rsid w:val="00126B48"/>
    <w:rsid w:val="001273CA"/>
    <w:rsid w:val="00127A1B"/>
    <w:rsid w:val="00127ADD"/>
    <w:rsid w:val="00133BD5"/>
    <w:rsid w:val="0013446A"/>
    <w:rsid w:val="0013449B"/>
    <w:rsid w:val="0013456A"/>
    <w:rsid w:val="00135DCA"/>
    <w:rsid w:val="001363F3"/>
    <w:rsid w:val="00137A7C"/>
    <w:rsid w:val="00140DA5"/>
    <w:rsid w:val="0014109A"/>
    <w:rsid w:val="0014234E"/>
    <w:rsid w:val="00142AF8"/>
    <w:rsid w:val="001437EB"/>
    <w:rsid w:val="00143EB2"/>
    <w:rsid w:val="00143F18"/>
    <w:rsid w:val="00144F50"/>
    <w:rsid w:val="00145410"/>
    <w:rsid w:val="00151D59"/>
    <w:rsid w:val="00152112"/>
    <w:rsid w:val="00154125"/>
    <w:rsid w:val="001542BC"/>
    <w:rsid w:val="00154E0B"/>
    <w:rsid w:val="00156FE3"/>
    <w:rsid w:val="00157037"/>
    <w:rsid w:val="00157106"/>
    <w:rsid w:val="00157C11"/>
    <w:rsid w:val="00160C09"/>
    <w:rsid w:val="00161085"/>
    <w:rsid w:val="00162B86"/>
    <w:rsid w:val="0016309A"/>
    <w:rsid w:val="001639AF"/>
    <w:rsid w:val="00167AC0"/>
    <w:rsid w:val="0017120B"/>
    <w:rsid w:val="00172084"/>
    <w:rsid w:val="00174733"/>
    <w:rsid w:val="001769FC"/>
    <w:rsid w:val="00177558"/>
    <w:rsid w:val="00181683"/>
    <w:rsid w:val="001822BE"/>
    <w:rsid w:val="00183362"/>
    <w:rsid w:val="0018345D"/>
    <w:rsid w:val="0018421B"/>
    <w:rsid w:val="001845E7"/>
    <w:rsid w:val="00187AAA"/>
    <w:rsid w:val="00190035"/>
    <w:rsid w:val="001907B8"/>
    <w:rsid w:val="001909AA"/>
    <w:rsid w:val="001910A2"/>
    <w:rsid w:val="001935F8"/>
    <w:rsid w:val="00194492"/>
    <w:rsid w:val="0019456C"/>
    <w:rsid w:val="00194D4D"/>
    <w:rsid w:val="00197F2C"/>
    <w:rsid w:val="001A092A"/>
    <w:rsid w:val="001A0BEE"/>
    <w:rsid w:val="001A11CE"/>
    <w:rsid w:val="001A1BB2"/>
    <w:rsid w:val="001A27D9"/>
    <w:rsid w:val="001A3FBD"/>
    <w:rsid w:val="001A5DC2"/>
    <w:rsid w:val="001A5E30"/>
    <w:rsid w:val="001A7972"/>
    <w:rsid w:val="001A7D8A"/>
    <w:rsid w:val="001B0E7A"/>
    <w:rsid w:val="001B0FA8"/>
    <w:rsid w:val="001B19C5"/>
    <w:rsid w:val="001B1C1C"/>
    <w:rsid w:val="001B20C3"/>
    <w:rsid w:val="001B26C9"/>
    <w:rsid w:val="001B4C6D"/>
    <w:rsid w:val="001B6451"/>
    <w:rsid w:val="001B6D6D"/>
    <w:rsid w:val="001C462D"/>
    <w:rsid w:val="001C48E7"/>
    <w:rsid w:val="001C5361"/>
    <w:rsid w:val="001C660C"/>
    <w:rsid w:val="001C69D0"/>
    <w:rsid w:val="001C720D"/>
    <w:rsid w:val="001C76C6"/>
    <w:rsid w:val="001C7CFA"/>
    <w:rsid w:val="001D0B54"/>
    <w:rsid w:val="001D2BD5"/>
    <w:rsid w:val="001D4F56"/>
    <w:rsid w:val="001D5891"/>
    <w:rsid w:val="001D6451"/>
    <w:rsid w:val="001D73A4"/>
    <w:rsid w:val="001D750E"/>
    <w:rsid w:val="001E1F81"/>
    <w:rsid w:val="001E2085"/>
    <w:rsid w:val="001E24DC"/>
    <w:rsid w:val="001E29AD"/>
    <w:rsid w:val="001E2AA7"/>
    <w:rsid w:val="001E37C0"/>
    <w:rsid w:val="001E4440"/>
    <w:rsid w:val="001E6169"/>
    <w:rsid w:val="001E634A"/>
    <w:rsid w:val="001F0898"/>
    <w:rsid w:val="001F405F"/>
    <w:rsid w:val="001F415D"/>
    <w:rsid w:val="001F60B1"/>
    <w:rsid w:val="001F676D"/>
    <w:rsid w:val="001F687F"/>
    <w:rsid w:val="001F6A44"/>
    <w:rsid w:val="001F7A5A"/>
    <w:rsid w:val="00200736"/>
    <w:rsid w:val="00202183"/>
    <w:rsid w:val="00202D74"/>
    <w:rsid w:val="00202FDC"/>
    <w:rsid w:val="00203205"/>
    <w:rsid w:val="00204DF7"/>
    <w:rsid w:val="00205BCE"/>
    <w:rsid w:val="00205F40"/>
    <w:rsid w:val="0020608C"/>
    <w:rsid w:val="0020625C"/>
    <w:rsid w:val="002109E4"/>
    <w:rsid w:val="00210BB8"/>
    <w:rsid w:val="00211D89"/>
    <w:rsid w:val="002134FD"/>
    <w:rsid w:val="0021387C"/>
    <w:rsid w:val="00213EE1"/>
    <w:rsid w:val="002141F2"/>
    <w:rsid w:val="00214870"/>
    <w:rsid w:val="00214F19"/>
    <w:rsid w:val="0021606D"/>
    <w:rsid w:val="00216102"/>
    <w:rsid w:val="002163CF"/>
    <w:rsid w:val="00217370"/>
    <w:rsid w:val="00217AA4"/>
    <w:rsid w:val="00220205"/>
    <w:rsid w:val="002211C4"/>
    <w:rsid w:val="002213BE"/>
    <w:rsid w:val="00221C67"/>
    <w:rsid w:val="00222887"/>
    <w:rsid w:val="00223063"/>
    <w:rsid w:val="0022367B"/>
    <w:rsid w:val="00226A33"/>
    <w:rsid w:val="00226DE1"/>
    <w:rsid w:val="00230CFD"/>
    <w:rsid w:val="00230E60"/>
    <w:rsid w:val="00231BD8"/>
    <w:rsid w:val="00231E1F"/>
    <w:rsid w:val="002320AA"/>
    <w:rsid w:val="002328AA"/>
    <w:rsid w:val="002344F8"/>
    <w:rsid w:val="00234843"/>
    <w:rsid w:val="00234B9D"/>
    <w:rsid w:val="00235304"/>
    <w:rsid w:val="00235B38"/>
    <w:rsid w:val="0023699A"/>
    <w:rsid w:val="002379C5"/>
    <w:rsid w:val="00237B8E"/>
    <w:rsid w:val="00241044"/>
    <w:rsid w:val="00241696"/>
    <w:rsid w:val="002422D7"/>
    <w:rsid w:val="00243344"/>
    <w:rsid w:val="00244645"/>
    <w:rsid w:val="00244811"/>
    <w:rsid w:val="00244D14"/>
    <w:rsid w:val="0024620D"/>
    <w:rsid w:val="00246F72"/>
    <w:rsid w:val="0024769C"/>
    <w:rsid w:val="00247C61"/>
    <w:rsid w:val="00251732"/>
    <w:rsid w:val="00251889"/>
    <w:rsid w:val="00252B57"/>
    <w:rsid w:val="00254348"/>
    <w:rsid w:val="002545B8"/>
    <w:rsid w:val="0025499F"/>
    <w:rsid w:val="00256035"/>
    <w:rsid w:val="00256A16"/>
    <w:rsid w:val="00257E8F"/>
    <w:rsid w:val="0026032A"/>
    <w:rsid w:val="00260B53"/>
    <w:rsid w:val="00260D98"/>
    <w:rsid w:val="00261A71"/>
    <w:rsid w:val="002623FF"/>
    <w:rsid w:val="00262E85"/>
    <w:rsid w:val="00263108"/>
    <w:rsid w:val="002641B9"/>
    <w:rsid w:val="00264BD0"/>
    <w:rsid w:val="0026538C"/>
    <w:rsid w:val="00265E28"/>
    <w:rsid w:val="00267EEF"/>
    <w:rsid w:val="00270CAB"/>
    <w:rsid w:val="00270F0D"/>
    <w:rsid w:val="002717B0"/>
    <w:rsid w:val="002718F1"/>
    <w:rsid w:val="0027328C"/>
    <w:rsid w:val="002736E9"/>
    <w:rsid w:val="00274C74"/>
    <w:rsid w:val="0027530C"/>
    <w:rsid w:val="00275886"/>
    <w:rsid w:val="00275B8B"/>
    <w:rsid w:val="00276E61"/>
    <w:rsid w:val="00277372"/>
    <w:rsid w:val="002802C1"/>
    <w:rsid w:val="00280443"/>
    <w:rsid w:val="002807EB"/>
    <w:rsid w:val="002812C2"/>
    <w:rsid w:val="00281F5A"/>
    <w:rsid w:val="002820C3"/>
    <w:rsid w:val="002840C8"/>
    <w:rsid w:val="002859FD"/>
    <w:rsid w:val="0029019D"/>
    <w:rsid w:val="0029167F"/>
    <w:rsid w:val="002937B1"/>
    <w:rsid w:val="002937B9"/>
    <w:rsid w:val="00294935"/>
    <w:rsid w:val="00297206"/>
    <w:rsid w:val="002A54EC"/>
    <w:rsid w:val="002A6E52"/>
    <w:rsid w:val="002B0265"/>
    <w:rsid w:val="002B104C"/>
    <w:rsid w:val="002B13BB"/>
    <w:rsid w:val="002B3C17"/>
    <w:rsid w:val="002B6EAA"/>
    <w:rsid w:val="002B7945"/>
    <w:rsid w:val="002C04EA"/>
    <w:rsid w:val="002C0B4A"/>
    <w:rsid w:val="002C10AA"/>
    <w:rsid w:val="002C1D8F"/>
    <w:rsid w:val="002C2164"/>
    <w:rsid w:val="002C2358"/>
    <w:rsid w:val="002C3812"/>
    <w:rsid w:val="002C4626"/>
    <w:rsid w:val="002C4B71"/>
    <w:rsid w:val="002C79A6"/>
    <w:rsid w:val="002C7AFA"/>
    <w:rsid w:val="002C7DB1"/>
    <w:rsid w:val="002D003B"/>
    <w:rsid w:val="002D2144"/>
    <w:rsid w:val="002D2401"/>
    <w:rsid w:val="002D2406"/>
    <w:rsid w:val="002D2EEB"/>
    <w:rsid w:val="002D3DFE"/>
    <w:rsid w:val="002D3E3C"/>
    <w:rsid w:val="002D4C24"/>
    <w:rsid w:val="002D64F7"/>
    <w:rsid w:val="002D65E5"/>
    <w:rsid w:val="002D73D6"/>
    <w:rsid w:val="002D7A45"/>
    <w:rsid w:val="002D7EC9"/>
    <w:rsid w:val="002E1B0F"/>
    <w:rsid w:val="002E1C54"/>
    <w:rsid w:val="002E1E93"/>
    <w:rsid w:val="002E20A4"/>
    <w:rsid w:val="002E25D7"/>
    <w:rsid w:val="002E29C6"/>
    <w:rsid w:val="002E36D2"/>
    <w:rsid w:val="002E4060"/>
    <w:rsid w:val="002E50AF"/>
    <w:rsid w:val="002E6DE2"/>
    <w:rsid w:val="002E7790"/>
    <w:rsid w:val="002E7A62"/>
    <w:rsid w:val="002F04CE"/>
    <w:rsid w:val="002F053B"/>
    <w:rsid w:val="002F0FE9"/>
    <w:rsid w:val="002F1560"/>
    <w:rsid w:val="002F18CB"/>
    <w:rsid w:val="002F18E2"/>
    <w:rsid w:val="002F2623"/>
    <w:rsid w:val="002F2D8D"/>
    <w:rsid w:val="002F3231"/>
    <w:rsid w:val="002F61A2"/>
    <w:rsid w:val="002F6245"/>
    <w:rsid w:val="002F6509"/>
    <w:rsid w:val="002F6AF9"/>
    <w:rsid w:val="002F7204"/>
    <w:rsid w:val="002F739D"/>
    <w:rsid w:val="002F7794"/>
    <w:rsid w:val="00300BA6"/>
    <w:rsid w:val="003013A0"/>
    <w:rsid w:val="0030209A"/>
    <w:rsid w:val="003035A7"/>
    <w:rsid w:val="00305423"/>
    <w:rsid w:val="0030747F"/>
    <w:rsid w:val="00311458"/>
    <w:rsid w:val="003140B9"/>
    <w:rsid w:val="0031433E"/>
    <w:rsid w:val="00322B59"/>
    <w:rsid w:val="003235CC"/>
    <w:rsid w:val="0032380D"/>
    <w:rsid w:val="00323C56"/>
    <w:rsid w:val="003257DB"/>
    <w:rsid w:val="0032620B"/>
    <w:rsid w:val="00326E91"/>
    <w:rsid w:val="00327A68"/>
    <w:rsid w:val="003302F2"/>
    <w:rsid w:val="00331E17"/>
    <w:rsid w:val="00331F5E"/>
    <w:rsid w:val="003333E3"/>
    <w:rsid w:val="00335CB8"/>
    <w:rsid w:val="00335F0F"/>
    <w:rsid w:val="00336267"/>
    <w:rsid w:val="00337247"/>
    <w:rsid w:val="003409AA"/>
    <w:rsid w:val="00340A37"/>
    <w:rsid w:val="00340A56"/>
    <w:rsid w:val="00341B82"/>
    <w:rsid w:val="00341CDA"/>
    <w:rsid w:val="003443B9"/>
    <w:rsid w:val="003455C0"/>
    <w:rsid w:val="003457CE"/>
    <w:rsid w:val="00345C73"/>
    <w:rsid w:val="00347BFB"/>
    <w:rsid w:val="003501A5"/>
    <w:rsid w:val="00350737"/>
    <w:rsid w:val="00350C95"/>
    <w:rsid w:val="00351929"/>
    <w:rsid w:val="00351EA1"/>
    <w:rsid w:val="00353403"/>
    <w:rsid w:val="003548A7"/>
    <w:rsid w:val="00354971"/>
    <w:rsid w:val="00354EC9"/>
    <w:rsid w:val="00354FCE"/>
    <w:rsid w:val="0035547A"/>
    <w:rsid w:val="00360298"/>
    <w:rsid w:val="00360470"/>
    <w:rsid w:val="00362AE6"/>
    <w:rsid w:val="00363301"/>
    <w:rsid w:val="003633D7"/>
    <w:rsid w:val="0036377F"/>
    <w:rsid w:val="00364801"/>
    <w:rsid w:val="00364FF0"/>
    <w:rsid w:val="00365EB2"/>
    <w:rsid w:val="003701B5"/>
    <w:rsid w:val="0037110E"/>
    <w:rsid w:val="00371342"/>
    <w:rsid w:val="00371D8A"/>
    <w:rsid w:val="00372B47"/>
    <w:rsid w:val="0037348D"/>
    <w:rsid w:val="00374270"/>
    <w:rsid w:val="00375B76"/>
    <w:rsid w:val="00375C50"/>
    <w:rsid w:val="00376A68"/>
    <w:rsid w:val="00377A00"/>
    <w:rsid w:val="003809A3"/>
    <w:rsid w:val="00381B36"/>
    <w:rsid w:val="00382C5A"/>
    <w:rsid w:val="003832D8"/>
    <w:rsid w:val="00383CFC"/>
    <w:rsid w:val="00383FC5"/>
    <w:rsid w:val="00384011"/>
    <w:rsid w:val="00386367"/>
    <w:rsid w:val="00386621"/>
    <w:rsid w:val="003868F0"/>
    <w:rsid w:val="0038725C"/>
    <w:rsid w:val="00387DA2"/>
    <w:rsid w:val="003914D4"/>
    <w:rsid w:val="003917E9"/>
    <w:rsid w:val="0039315D"/>
    <w:rsid w:val="003939D1"/>
    <w:rsid w:val="003939E1"/>
    <w:rsid w:val="00394C14"/>
    <w:rsid w:val="00395FE3"/>
    <w:rsid w:val="003962D8"/>
    <w:rsid w:val="00396565"/>
    <w:rsid w:val="00397968"/>
    <w:rsid w:val="00397B63"/>
    <w:rsid w:val="003A1963"/>
    <w:rsid w:val="003A2C88"/>
    <w:rsid w:val="003A4085"/>
    <w:rsid w:val="003A4546"/>
    <w:rsid w:val="003A55FF"/>
    <w:rsid w:val="003A5776"/>
    <w:rsid w:val="003A5793"/>
    <w:rsid w:val="003A6E16"/>
    <w:rsid w:val="003A7172"/>
    <w:rsid w:val="003B08F0"/>
    <w:rsid w:val="003B0A27"/>
    <w:rsid w:val="003B0D49"/>
    <w:rsid w:val="003B11FC"/>
    <w:rsid w:val="003B2389"/>
    <w:rsid w:val="003B23F7"/>
    <w:rsid w:val="003B27A4"/>
    <w:rsid w:val="003B50C7"/>
    <w:rsid w:val="003B67F9"/>
    <w:rsid w:val="003B721C"/>
    <w:rsid w:val="003C285E"/>
    <w:rsid w:val="003C2DC0"/>
    <w:rsid w:val="003C3172"/>
    <w:rsid w:val="003C3952"/>
    <w:rsid w:val="003C3E0E"/>
    <w:rsid w:val="003C42FE"/>
    <w:rsid w:val="003C4368"/>
    <w:rsid w:val="003C4F8D"/>
    <w:rsid w:val="003C514E"/>
    <w:rsid w:val="003C52D6"/>
    <w:rsid w:val="003C5765"/>
    <w:rsid w:val="003C5976"/>
    <w:rsid w:val="003C6161"/>
    <w:rsid w:val="003C6347"/>
    <w:rsid w:val="003C66AB"/>
    <w:rsid w:val="003D0184"/>
    <w:rsid w:val="003D1417"/>
    <w:rsid w:val="003D2562"/>
    <w:rsid w:val="003D3A92"/>
    <w:rsid w:val="003D4699"/>
    <w:rsid w:val="003D6C66"/>
    <w:rsid w:val="003D7461"/>
    <w:rsid w:val="003D7D77"/>
    <w:rsid w:val="003E0847"/>
    <w:rsid w:val="003F0E1B"/>
    <w:rsid w:val="003F1C22"/>
    <w:rsid w:val="003F2EFB"/>
    <w:rsid w:val="003F3A1D"/>
    <w:rsid w:val="003F449A"/>
    <w:rsid w:val="003F4A46"/>
    <w:rsid w:val="003F53A3"/>
    <w:rsid w:val="003F5621"/>
    <w:rsid w:val="003F5AEA"/>
    <w:rsid w:val="003F6C87"/>
    <w:rsid w:val="004000BE"/>
    <w:rsid w:val="004003AA"/>
    <w:rsid w:val="004027CE"/>
    <w:rsid w:val="00404758"/>
    <w:rsid w:val="0040685F"/>
    <w:rsid w:val="00407C54"/>
    <w:rsid w:val="00407F9F"/>
    <w:rsid w:val="00410D58"/>
    <w:rsid w:val="00410D5E"/>
    <w:rsid w:val="0041177D"/>
    <w:rsid w:val="00412AB3"/>
    <w:rsid w:val="00413BF8"/>
    <w:rsid w:val="00415CF0"/>
    <w:rsid w:val="00416767"/>
    <w:rsid w:val="004171C7"/>
    <w:rsid w:val="0041786E"/>
    <w:rsid w:val="0042001A"/>
    <w:rsid w:val="004204D4"/>
    <w:rsid w:val="00420F85"/>
    <w:rsid w:val="00421008"/>
    <w:rsid w:val="0042104C"/>
    <w:rsid w:val="004219FC"/>
    <w:rsid w:val="00421DE5"/>
    <w:rsid w:val="00421ED7"/>
    <w:rsid w:val="004243C4"/>
    <w:rsid w:val="00424591"/>
    <w:rsid w:val="0042537E"/>
    <w:rsid w:val="00425689"/>
    <w:rsid w:val="004258F9"/>
    <w:rsid w:val="00425B0A"/>
    <w:rsid w:val="00425FA8"/>
    <w:rsid w:val="004330BD"/>
    <w:rsid w:val="00434169"/>
    <w:rsid w:val="00434674"/>
    <w:rsid w:val="004354D3"/>
    <w:rsid w:val="0043562C"/>
    <w:rsid w:val="004377ED"/>
    <w:rsid w:val="004417C6"/>
    <w:rsid w:val="00441FC6"/>
    <w:rsid w:val="00442739"/>
    <w:rsid w:val="00442F4E"/>
    <w:rsid w:val="004433C8"/>
    <w:rsid w:val="0044397A"/>
    <w:rsid w:val="0044522C"/>
    <w:rsid w:val="004457A6"/>
    <w:rsid w:val="0044633F"/>
    <w:rsid w:val="0044737E"/>
    <w:rsid w:val="00447EAF"/>
    <w:rsid w:val="0045063E"/>
    <w:rsid w:val="004514B8"/>
    <w:rsid w:val="00451706"/>
    <w:rsid w:val="00451A24"/>
    <w:rsid w:val="00452988"/>
    <w:rsid w:val="004535C1"/>
    <w:rsid w:val="00454E26"/>
    <w:rsid w:val="0045596C"/>
    <w:rsid w:val="00456F7A"/>
    <w:rsid w:val="004570D5"/>
    <w:rsid w:val="004604B5"/>
    <w:rsid w:val="0046101D"/>
    <w:rsid w:val="004625B2"/>
    <w:rsid w:val="0046387A"/>
    <w:rsid w:val="004642E0"/>
    <w:rsid w:val="00464360"/>
    <w:rsid w:val="00465539"/>
    <w:rsid w:val="004655C1"/>
    <w:rsid w:val="00467276"/>
    <w:rsid w:val="0047107D"/>
    <w:rsid w:val="00471601"/>
    <w:rsid w:val="00471C3A"/>
    <w:rsid w:val="00471C95"/>
    <w:rsid w:val="00473796"/>
    <w:rsid w:val="004766AD"/>
    <w:rsid w:val="0047691C"/>
    <w:rsid w:val="00477188"/>
    <w:rsid w:val="00480AE6"/>
    <w:rsid w:val="0048171B"/>
    <w:rsid w:val="00482A30"/>
    <w:rsid w:val="0048407E"/>
    <w:rsid w:val="004842B0"/>
    <w:rsid w:val="00484412"/>
    <w:rsid w:val="00485C96"/>
    <w:rsid w:val="0048661E"/>
    <w:rsid w:val="004908DA"/>
    <w:rsid w:val="00490B1B"/>
    <w:rsid w:val="00490ED5"/>
    <w:rsid w:val="0049138F"/>
    <w:rsid w:val="0049142E"/>
    <w:rsid w:val="00493868"/>
    <w:rsid w:val="0049706E"/>
    <w:rsid w:val="004972E1"/>
    <w:rsid w:val="004A0729"/>
    <w:rsid w:val="004A0C79"/>
    <w:rsid w:val="004A2B47"/>
    <w:rsid w:val="004A2F23"/>
    <w:rsid w:val="004A3FF2"/>
    <w:rsid w:val="004A3FF9"/>
    <w:rsid w:val="004A4021"/>
    <w:rsid w:val="004A4970"/>
    <w:rsid w:val="004A5564"/>
    <w:rsid w:val="004A6802"/>
    <w:rsid w:val="004A68C0"/>
    <w:rsid w:val="004A6917"/>
    <w:rsid w:val="004A6C0A"/>
    <w:rsid w:val="004A7EEA"/>
    <w:rsid w:val="004B0457"/>
    <w:rsid w:val="004B068F"/>
    <w:rsid w:val="004B0763"/>
    <w:rsid w:val="004B11C4"/>
    <w:rsid w:val="004B28EF"/>
    <w:rsid w:val="004B2E8E"/>
    <w:rsid w:val="004B2FB4"/>
    <w:rsid w:val="004B4879"/>
    <w:rsid w:val="004B6A84"/>
    <w:rsid w:val="004B7539"/>
    <w:rsid w:val="004B7843"/>
    <w:rsid w:val="004C0C25"/>
    <w:rsid w:val="004C26B8"/>
    <w:rsid w:val="004C3ABB"/>
    <w:rsid w:val="004C3EC7"/>
    <w:rsid w:val="004C4B8C"/>
    <w:rsid w:val="004D21AA"/>
    <w:rsid w:val="004D2CC7"/>
    <w:rsid w:val="004D2D4C"/>
    <w:rsid w:val="004D3986"/>
    <w:rsid w:val="004D42A8"/>
    <w:rsid w:val="004D5975"/>
    <w:rsid w:val="004D70F3"/>
    <w:rsid w:val="004D756A"/>
    <w:rsid w:val="004D7679"/>
    <w:rsid w:val="004D776F"/>
    <w:rsid w:val="004E79AD"/>
    <w:rsid w:val="004E7E66"/>
    <w:rsid w:val="004F0140"/>
    <w:rsid w:val="004F080B"/>
    <w:rsid w:val="004F26EB"/>
    <w:rsid w:val="004F2D07"/>
    <w:rsid w:val="004F3D1D"/>
    <w:rsid w:val="004F41F6"/>
    <w:rsid w:val="004F44AB"/>
    <w:rsid w:val="004F48E7"/>
    <w:rsid w:val="004F4E18"/>
    <w:rsid w:val="004F64CA"/>
    <w:rsid w:val="004F6CF1"/>
    <w:rsid w:val="005003EF"/>
    <w:rsid w:val="00500FE6"/>
    <w:rsid w:val="00501561"/>
    <w:rsid w:val="005032C3"/>
    <w:rsid w:val="00503A10"/>
    <w:rsid w:val="00503B35"/>
    <w:rsid w:val="00504DB7"/>
    <w:rsid w:val="005052A5"/>
    <w:rsid w:val="00506377"/>
    <w:rsid w:val="00506AB3"/>
    <w:rsid w:val="0050798B"/>
    <w:rsid w:val="005100AC"/>
    <w:rsid w:val="00510E37"/>
    <w:rsid w:val="0051158A"/>
    <w:rsid w:val="00512739"/>
    <w:rsid w:val="00512A6E"/>
    <w:rsid w:val="00515374"/>
    <w:rsid w:val="00516A60"/>
    <w:rsid w:val="00516BA8"/>
    <w:rsid w:val="00516F58"/>
    <w:rsid w:val="00517F7F"/>
    <w:rsid w:val="005211A2"/>
    <w:rsid w:val="005213FC"/>
    <w:rsid w:val="00521551"/>
    <w:rsid w:val="00522571"/>
    <w:rsid w:val="0052610F"/>
    <w:rsid w:val="00526889"/>
    <w:rsid w:val="00527A42"/>
    <w:rsid w:val="00532602"/>
    <w:rsid w:val="005327B9"/>
    <w:rsid w:val="00532EF0"/>
    <w:rsid w:val="0053303A"/>
    <w:rsid w:val="0053340F"/>
    <w:rsid w:val="00533414"/>
    <w:rsid w:val="00534A3C"/>
    <w:rsid w:val="005357E6"/>
    <w:rsid w:val="00535D6E"/>
    <w:rsid w:val="00536234"/>
    <w:rsid w:val="00536ECF"/>
    <w:rsid w:val="00537CB2"/>
    <w:rsid w:val="005433C0"/>
    <w:rsid w:val="00544D79"/>
    <w:rsid w:val="005451CB"/>
    <w:rsid w:val="00545284"/>
    <w:rsid w:val="00545396"/>
    <w:rsid w:val="005456EA"/>
    <w:rsid w:val="0054581D"/>
    <w:rsid w:val="005467CB"/>
    <w:rsid w:val="005476A6"/>
    <w:rsid w:val="005476D7"/>
    <w:rsid w:val="00547DF1"/>
    <w:rsid w:val="005500A6"/>
    <w:rsid w:val="00553E0A"/>
    <w:rsid w:val="005555FB"/>
    <w:rsid w:val="0055750B"/>
    <w:rsid w:val="00557F0F"/>
    <w:rsid w:val="00561F1F"/>
    <w:rsid w:val="005623F4"/>
    <w:rsid w:val="0056292E"/>
    <w:rsid w:val="0056328C"/>
    <w:rsid w:val="0056338F"/>
    <w:rsid w:val="00563CFD"/>
    <w:rsid w:val="00563F2A"/>
    <w:rsid w:val="005655D2"/>
    <w:rsid w:val="00565621"/>
    <w:rsid w:val="00565F81"/>
    <w:rsid w:val="00570905"/>
    <w:rsid w:val="00570C5D"/>
    <w:rsid w:val="0057229D"/>
    <w:rsid w:val="00572E20"/>
    <w:rsid w:val="0057373A"/>
    <w:rsid w:val="00574FA2"/>
    <w:rsid w:val="00575D72"/>
    <w:rsid w:val="00575F74"/>
    <w:rsid w:val="00576479"/>
    <w:rsid w:val="005802DC"/>
    <w:rsid w:val="0058287D"/>
    <w:rsid w:val="00583116"/>
    <w:rsid w:val="005833BB"/>
    <w:rsid w:val="00583BF6"/>
    <w:rsid w:val="00583DDC"/>
    <w:rsid w:val="00583E38"/>
    <w:rsid w:val="00584490"/>
    <w:rsid w:val="005863C9"/>
    <w:rsid w:val="005869F4"/>
    <w:rsid w:val="00586C58"/>
    <w:rsid w:val="00587118"/>
    <w:rsid w:val="005876A6"/>
    <w:rsid w:val="00587815"/>
    <w:rsid w:val="005907CE"/>
    <w:rsid w:val="00591119"/>
    <w:rsid w:val="00592963"/>
    <w:rsid w:val="005935F6"/>
    <w:rsid w:val="00593A9B"/>
    <w:rsid w:val="00593B86"/>
    <w:rsid w:val="00594DF2"/>
    <w:rsid w:val="00594F0E"/>
    <w:rsid w:val="0059514F"/>
    <w:rsid w:val="00595995"/>
    <w:rsid w:val="0059622C"/>
    <w:rsid w:val="00597122"/>
    <w:rsid w:val="00597A5F"/>
    <w:rsid w:val="005A0910"/>
    <w:rsid w:val="005A0EDB"/>
    <w:rsid w:val="005A16CD"/>
    <w:rsid w:val="005A19D1"/>
    <w:rsid w:val="005A1F52"/>
    <w:rsid w:val="005A2D4C"/>
    <w:rsid w:val="005A3944"/>
    <w:rsid w:val="005A4BF2"/>
    <w:rsid w:val="005A4D62"/>
    <w:rsid w:val="005A581A"/>
    <w:rsid w:val="005A74AD"/>
    <w:rsid w:val="005A7FAB"/>
    <w:rsid w:val="005B0646"/>
    <w:rsid w:val="005B0930"/>
    <w:rsid w:val="005B0F0A"/>
    <w:rsid w:val="005B1051"/>
    <w:rsid w:val="005B1EEF"/>
    <w:rsid w:val="005B27CD"/>
    <w:rsid w:val="005B2A18"/>
    <w:rsid w:val="005B3D64"/>
    <w:rsid w:val="005B57F6"/>
    <w:rsid w:val="005B5B7E"/>
    <w:rsid w:val="005B5C11"/>
    <w:rsid w:val="005B7425"/>
    <w:rsid w:val="005B7C91"/>
    <w:rsid w:val="005C375E"/>
    <w:rsid w:val="005C4214"/>
    <w:rsid w:val="005C5F3C"/>
    <w:rsid w:val="005C6D43"/>
    <w:rsid w:val="005D3033"/>
    <w:rsid w:val="005D3B1E"/>
    <w:rsid w:val="005D5F81"/>
    <w:rsid w:val="005D6F7B"/>
    <w:rsid w:val="005D70B7"/>
    <w:rsid w:val="005E308E"/>
    <w:rsid w:val="005E3287"/>
    <w:rsid w:val="005E3BE6"/>
    <w:rsid w:val="005E46D6"/>
    <w:rsid w:val="005E4DAA"/>
    <w:rsid w:val="005E5817"/>
    <w:rsid w:val="005E5C5F"/>
    <w:rsid w:val="005E71FC"/>
    <w:rsid w:val="005E76B7"/>
    <w:rsid w:val="005F077A"/>
    <w:rsid w:val="005F1634"/>
    <w:rsid w:val="005F2CC6"/>
    <w:rsid w:val="005F2D9C"/>
    <w:rsid w:val="005F590F"/>
    <w:rsid w:val="005F6146"/>
    <w:rsid w:val="0060109A"/>
    <w:rsid w:val="00601FC9"/>
    <w:rsid w:val="00603955"/>
    <w:rsid w:val="00604174"/>
    <w:rsid w:val="00604303"/>
    <w:rsid w:val="00606241"/>
    <w:rsid w:val="00607132"/>
    <w:rsid w:val="0060743B"/>
    <w:rsid w:val="006078FA"/>
    <w:rsid w:val="006103C7"/>
    <w:rsid w:val="006107E4"/>
    <w:rsid w:val="0061125D"/>
    <w:rsid w:val="006114C0"/>
    <w:rsid w:val="006127A3"/>
    <w:rsid w:val="00612AB3"/>
    <w:rsid w:val="0061638B"/>
    <w:rsid w:val="006164EA"/>
    <w:rsid w:val="00616BFF"/>
    <w:rsid w:val="006218D5"/>
    <w:rsid w:val="0062224D"/>
    <w:rsid w:val="006226A2"/>
    <w:rsid w:val="006267C5"/>
    <w:rsid w:val="00626D65"/>
    <w:rsid w:val="00627865"/>
    <w:rsid w:val="00630CFC"/>
    <w:rsid w:val="006319A7"/>
    <w:rsid w:val="006320D4"/>
    <w:rsid w:val="0063276B"/>
    <w:rsid w:val="0063288F"/>
    <w:rsid w:val="006345DA"/>
    <w:rsid w:val="00635F5E"/>
    <w:rsid w:val="006366F0"/>
    <w:rsid w:val="00636879"/>
    <w:rsid w:val="00640282"/>
    <w:rsid w:val="00640CEF"/>
    <w:rsid w:val="00640D8A"/>
    <w:rsid w:val="006420A3"/>
    <w:rsid w:val="0064352E"/>
    <w:rsid w:val="006436E2"/>
    <w:rsid w:val="006443E0"/>
    <w:rsid w:val="006443E2"/>
    <w:rsid w:val="0064442F"/>
    <w:rsid w:val="00645652"/>
    <w:rsid w:val="006465F3"/>
    <w:rsid w:val="00646892"/>
    <w:rsid w:val="0064756F"/>
    <w:rsid w:val="00650890"/>
    <w:rsid w:val="00650AB8"/>
    <w:rsid w:val="0065204D"/>
    <w:rsid w:val="00652292"/>
    <w:rsid w:val="00652ECA"/>
    <w:rsid w:val="0065332D"/>
    <w:rsid w:val="00653351"/>
    <w:rsid w:val="00654D09"/>
    <w:rsid w:val="006554A7"/>
    <w:rsid w:val="00655EB5"/>
    <w:rsid w:val="00656EE3"/>
    <w:rsid w:val="006571FA"/>
    <w:rsid w:val="00657ED1"/>
    <w:rsid w:val="00657EF1"/>
    <w:rsid w:val="00660599"/>
    <w:rsid w:val="00660672"/>
    <w:rsid w:val="00660DED"/>
    <w:rsid w:val="00661117"/>
    <w:rsid w:val="00662807"/>
    <w:rsid w:val="00663569"/>
    <w:rsid w:val="00664222"/>
    <w:rsid w:val="006650CE"/>
    <w:rsid w:val="00665219"/>
    <w:rsid w:val="00665BA1"/>
    <w:rsid w:val="00665C0E"/>
    <w:rsid w:val="00667F7D"/>
    <w:rsid w:val="006719D3"/>
    <w:rsid w:val="006722BA"/>
    <w:rsid w:val="006735F7"/>
    <w:rsid w:val="006738EC"/>
    <w:rsid w:val="00674A60"/>
    <w:rsid w:val="006809C1"/>
    <w:rsid w:val="006819E3"/>
    <w:rsid w:val="00681CD1"/>
    <w:rsid w:val="00683082"/>
    <w:rsid w:val="00683C46"/>
    <w:rsid w:val="0068434A"/>
    <w:rsid w:val="006850C2"/>
    <w:rsid w:val="00685E8B"/>
    <w:rsid w:val="00687A59"/>
    <w:rsid w:val="00692D06"/>
    <w:rsid w:val="00693D47"/>
    <w:rsid w:val="00693DFA"/>
    <w:rsid w:val="00694B1C"/>
    <w:rsid w:val="0069502C"/>
    <w:rsid w:val="00697457"/>
    <w:rsid w:val="006A14EF"/>
    <w:rsid w:val="006A3339"/>
    <w:rsid w:val="006A4BC9"/>
    <w:rsid w:val="006A4F7C"/>
    <w:rsid w:val="006A5520"/>
    <w:rsid w:val="006A620B"/>
    <w:rsid w:val="006A76C7"/>
    <w:rsid w:val="006A7B25"/>
    <w:rsid w:val="006B3D67"/>
    <w:rsid w:val="006B4E36"/>
    <w:rsid w:val="006B61BD"/>
    <w:rsid w:val="006C05C5"/>
    <w:rsid w:val="006C32E3"/>
    <w:rsid w:val="006C332A"/>
    <w:rsid w:val="006C3AE0"/>
    <w:rsid w:val="006C7D3D"/>
    <w:rsid w:val="006D05C9"/>
    <w:rsid w:val="006D1CD0"/>
    <w:rsid w:val="006D1EBF"/>
    <w:rsid w:val="006D1F97"/>
    <w:rsid w:val="006D2991"/>
    <w:rsid w:val="006D3B11"/>
    <w:rsid w:val="006D3FC4"/>
    <w:rsid w:val="006D4348"/>
    <w:rsid w:val="006D4CFA"/>
    <w:rsid w:val="006D6084"/>
    <w:rsid w:val="006E07AF"/>
    <w:rsid w:val="006E12C2"/>
    <w:rsid w:val="006E14DE"/>
    <w:rsid w:val="006E2614"/>
    <w:rsid w:val="006E2B71"/>
    <w:rsid w:val="006E355E"/>
    <w:rsid w:val="006E3632"/>
    <w:rsid w:val="006E63F8"/>
    <w:rsid w:val="006E69E7"/>
    <w:rsid w:val="006E716C"/>
    <w:rsid w:val="006E7A64"/>
    <w:rsid w:val="006E7CD5"/>
    <w:rsid w:val="006F2F86"/>
    <w:rsid w:val="006F481B"/>
    <w:rsid w:val="006F4EF4"/>
    <w:rsid w:val="006F5F00"/>
    <w:rsid w:val="006F6B3B"/>
    <w:rsid w:val="00700BE3"/>
    <w:rsid w:val="00700DB4"/>
    <w:rsid w:val="00702D42"/>
    <w:rsid w:val="00702DFD"/>
    <w:rsid w:val="00703E74"/>
    <w:rsid w:val="00704109"/>
    <w:rsid w:val="007057CC"/>
    <w:rsid w:val="00705E63"/>
    <w:rsid w:val="00706930"/>
    <w:rsid w:val="00706DD5"/>
    <w:rsid w:val="007074E5"/>
    <w:rsid w:val="0070773E"/>
    <w:rsid w:val="00707828"/>
    <w:rsid w:val="007104FC"/>
    <w:rsid w:val="00710FE0"/>
    <w:rsid w:val="00711247"/>
    <w:rsid w:val="007120CD"/>
    <w:rsid w:val="00712E1B"/>
    <w:rsid w:val="0071335B"/>
    <w:rsid w:val="00713EA0"/>
    <w:rsid w:val="0071657E"/>
    <w:rsid w:val="00717B65"/>
    <w:rsid w:val="0072221F"/>
    <w:rsid w:val="007228FB"/>
    <w:rsid w:val="007231E8"/>
    <w:rsid w:val="007237C4"/>
    <w:rsid w:val="00724864"/>
    <w:rsid w:val="00727BD9"/>
    <w:rsid w:val="007319DD"/>
    <w:rsid w:val="00731A7B"/>
    <w:rsid w:val="00732379"/>
    <w:rsid w:val="00732993"/>
    <w:rsid w:val="007333DB"/>
    <w:rsid w:val="007335C7"/>
    <w:rsid w:val="00733A34"/>
    <w:rsid w:val="007354C3"/>
    <w:rsid w:val="00742B55"/>
    <w:rsid w:val="00743877"/>
    <w:rsid w:val="00743917"/>
    <w:rsid w:val="00743C37"/>
    <w:rsid w:val="00744DD7"/>
    <w:rsid w:val="00744FD0"/>
    <w:rsid w:val="0074522D"/>
    <w:rsid w:val="007458A4"/>
    <w:rsid w:val="00745AA3"/>
    <w:rsid w:val="00745BD3"/>
    <w:rsid w:val="00745E5F"/>
    <w:rsid w:val="00746766"/>
    <w:rsid w:val="00746938"/>
    <w:rsid w:val="00746E96"/>
    <w:rsid w:val="00747883"/>
    <w:rsid w:val="00747BA8"/>
    <w:rsid w:val="00750146"/>
    <w:rsid w:val="00750B55"/>
    <w:rsid w:val="00751634"/>
    <w:rsid w:val="0075222D"/>
    <w:rsid w:val="007525CB"/>
    <w:rsid w:val="00752FC7"/>
    <w:rsid w:val="0075315D"/>
    <w:rsid w:val="0075325D"/>
    <w:rsid w:val="00753603"/>
    <w:rsid w:val="00753E25"/>
    <w:rsid w:val="0075408A"/>
    <w:rsid w:val="0075463C"/>
    <w:rsid w:val="0075511A"/>
    <w:rsid w:val="00755B7A"/>
    <w:rsid w:val="00756AF8"/>
    <w:rsid w:val="007574FA"/>
    <w:rsid w:val="00760063"/>
    <w:rsid w:val="00761B0D"/>
    <w:rsid w:val="00763639"/>
    <w:rsid w:val="007652AE"/>
    <w:rsid w:val="00765874"/>
    <w:rsid w:val="00766751"/>
    <w:rsid w:val="00766BCF"/>
    <w:rsid w:val="0076710A"/>
    <w:rsid w:val="00767472"/>
    <w:rsid w:val="00770369"/>
    <w:rsid w:val="00772482"/>
    <w:rsid w:val="0077309D"/>
    <w:rsid w:val="00773FED"/>
    <w:rsid w:val="007746BB"/>
    <w:rsid w:val="0077759A"/>
    <w:rsid w:val="00780881"/>
    <w:rsid w:val="007821C0"/>
    <w:rsid w:val="007855DE"/>
    <w:rsid w:val="0079179D"/>
    <w:rsid w:val="007926CE"/>
    <w:rsid w:val="00792BF1"/>
    <w:rsid w:val="007933C0"/>
    <w:rsid w:val="00795764"/>
    <w:rsid w:val="00796136"/>
    <w:rsid w:val="007973F6"/>
    <w:rsid w:val="007977E6"/>
    <w:rsid w:val="007A053D"/>
    <w:rsid w:val="007A0B10"/>
    <w:rsid w:val="007A34A4"/>
    <w:rsid w:val="007A371C"/>
    <w:rsid w:val="007A3B87"/>
    <w:rsid w:val="007A55DA"/>
    <w:rsid w:val="007A6C57"/>
    <w:rsid w:val="007B117E"/>
    <w:rsid w:val="007B215A"/>
    <w:rsid w:val="007B28E1"/>
    <w:rsid w:val="007B4775"/>
    <w:rsid w:val="007B7339"/>
    <w:rsid w:val="007C0084"/>
    <w:rsid w:val="007C0D9C"/>
    <w:rsid w:val="007C1117"/>
    <w:rsid w:val="007C1363"/>
    <w:rsid w:val="007C16B8"/>
    <w:rsid w:val="007C3E83"/>
    <w:rsid w:val="007C5253"/>
    <w:rsid w:val="007C56C7"/>
    <w:rsid w:val="007C6850"/>
    <w:rsid w:val="007C6F6F"/>
    <w:rsid w:val="007C7D9E"/>
    <w:rsid w:val="007D0A0A"/>
    <w:rsid w:val="007D1B23"/>
    <w:rsid w:val="007D26EE"/>
    <w:rsid w:val="007D3BDB"/>
    <w:rsid w:val="007D64A6"/>
    <w:rsid w:val="007E0E7C"/>
    <w:rsid w:val="007E0F17"/>
    <w:rsid w:val="007E1592"/>
    <w:rsid w:val="007E191A"/>
    <w:rsid w:val="007E1E09"/>
    <w:rsid w:val="007E267D"/>
    <w:rsid w:val="007E4316"/>
    <w:rsid w:val="007E4EE1"/>
    <w:rsid w:val="007E7237"/>
    <w:rsid w:val="007F0F73"/>
    <w:rsid w:val="007F166C"/>
    <w:rsid w:val="007F1DEB"/>
    <w:rsid w:val="007F226F"/>
    <w:rsid w:val="007F2613"/>
    <w:rsid w:val="007F5171"/>
    <w:rsid w:val="007F5FD1"/>
    <w:rsid w:val="00803369"/>
    <w:rsid w:val="00803BEE"/>
    <w:rsid w:val="00805F1E"/>
    <w:rsid w:val="00805F9A"/>
    <w:rsid w:val="00806B5F"/>
    <w:rsid w:val="008103C8"/>
    <w:rsid w:val="00811840"/>
    <w:rsid w:val="00812344"/>
    <w:rsid w:val="0081450D"/>
    <w:rsid w:val="00814B3C"/>
    <w:rsid w:val="00815344"/>
    <w:rsid w:val="00815379"/>
    <w:rsid w:val="00816400"/>
    <w:rsid w:val="00820869"/>
    <w:rsid w:val="00820D46"/>
    <w:rsid w:val="008222BA"/>
    <w:rsid w:val="0082316B"/>
    <w:rsid w:val="00823B5D"/>
    <w:rsid w:val="008247D0"/>
    <w:rsid w:val="00824AFC"/>
    <w:rsid w:val="00824EAC"/>
    <w:rsid w:val="00825D37"/>
    <w:rsid w:val="00827355"/>
    <w:rsid w:val="00827424"/>
    <w:rsid w:val="0082765B"/>
    <w:rsid w:val="00827D57"/>
    <w:rsid w:val="00830D76"/>
    <w:rsid w:val="00831EE6"/>
    <w:rsid w:val="0083410F"/>
    <w:rsid w:val="00840BF6"/>
    <w:rsid w:val="00845042"/>
    <w:rsid w:val="00846C4D"/>
    <w:rsid w:val="00847C0F"/>
    <w:rsid w:val="00850406"/>
    <w:rsid w:val="00851484"/>
    <w:rsid w:val="00851927"/>
    <w:rsid w:val="0085225A"/>
    <w:rsid w:val="008524CF"/>
    <w:rsid w:val="00854067"/>
    <w:rsid w:val="00857019"/>
    <w:rsid w:val="00857197"/>
    <w:rsid w:val="008574A4"/>
    <w:rsid w:val="00860C0D"/>
    <w:rsid w:val="00861623"/>
    <w:rsid w:val="00862481"/>
    <w:rsid w:val="00863123"/>
    <w:rsid w:val="00863E49"/>
    <w:rsid w:val="0086511E"/>
    <w:rsid w:val="008656FE"/>
    <w:rsid w:val="00871695"/>
    <w:rsid w:val="008729F7"/>
    <w:rsid w:val="00872A7A"/>
    <w:rsid w:val="00872B01"/>
    <w:rsid w:val="00872EA2"/>
    <w:rsid w:val="00873EF3"/>
    <w:rsid w:val="00874CEE"/>
    <w:rsid w:val="00875AD8"/>
    <w:rsid w:val="00875F71"/>
    <w:rsid w:val="00876823"/>
    <w:rsid w:val="0087780D"/>
    <w:rsid w:val="008801CC"/>
    <w:rsid w:val="0088206E"/>
    <w:rsid w:val="00882533"/>
    <w:rsid w:val="00882545"/>
    <w:rsid w:val="00882B2E"/>
    <w:rsid w:val="00883EBC"/>
    <w:rsid w:val="008843B0"/>
    <w:rsid w:val="00885B74"/>
    <w:rsid w:val="008863E9"/>
    <w:rsid w:val="008866EF"/>
    <w:rsid w:val="0089019C"/>
    <w:rsid w:val="00891A6B"/>
    <w:rsid w:val="00891D83"/>
    <w:rsid w:val="00891DB3"/>
    <w:rsid w:val="008920D4"/>
    <w:rsid w:val="00892703"/>
    <w:rsid w:val="00893E76"/>
    <w:rsid w:val="00896774"/>
    <w:rsid w:val="0089722A"/>
    <w:rsid w:val="008A0B68"/>
    <w:rsid w:val="008A12BD"/>
    <w:rsid w:val="008A2154"/>
    <w:rsid w:val="008A2198"/>
    <w:rsid w:val="008A44F6"/>
    <w:rsid w:val="008A4D44"/>
    <w:rsid w:val="008A51C3"/>
    <w:rsid w:val="008A5B2B"/>
    <w:rsid w:val="008A6FAB"/>
    <w:rsid w:val="008B1421"/>
    <w:rsid w:val="008B1A13"/>
    <w:rsid w:val="008B22C4"/>
    <w:rsid w:val="008B48EB"/>
    <w:rsid w:val="008B5131"/>
    <w:rsid w:val="008B523C"/>
    <w:rsid w:val="008B7011"/>
    <w:rsid w:val="008B75E8"/>
    <w:rsid w:val="008B7754"/>
    <w:rsid w:val="008C281C"/>
    <w:rsid w:val="008C495B"/>
    <w:rsid w:val="008C5284"/>
    <w:rsid w:val="008C5F94"/>
    <w:rsid w:val="008C7023"/>
    <w:rsid w:val="008C7EF3"/>
    <w:rsid w:val="008D0744"/>
    <w:rsid w:val="008D11D3"/>
    <w:rsid w:val="008D149C"/>
    <w:rsid w:val="008D1691"/>
    <w:rsid w:val="008D3327"/>
    <w:rsid w:val="008D3697"/>
    <w:rsid w:val="008D3B92"/>
    <w:rsid w:val="008D3BD2"/>
    <w:rsid w:val="008D60E6"/>
    <w:rsid w:val="008D65CA"/>
    <w:rsid w:val="008D6A6D"/>
    <w:rsid w:val="008D6CE9"/>
    <w:rsid w:val="008D6E1B"/>
    <w:rsid w:val="008E0120"/>
    <w:rsid w:val="008E088C"/>
    <w:rsid w:val="008E2B5E"/>
    <w:rsid w:val="008E5135"/>
    <w:rsid w:val="008E54D9"/>
    <w:rsid w:val="008E7C21"/>
    <w:rsid w:val="008E7DC8"/>
    <w:rsid w:val="008F0503"/>
    <w:rsid w:val="008F2970"/>
    <w:rsid w:val="008F3AD2"/>
    <w:rsid w:val="008F5287"/>
    <w:rsid w:val="008F7844"/>
    <w:rsid w:val="009012A7"/>
    <w:rsid w:val="00901DC9"/>
    <w:rsid w:val="009037E6"/>
    <w:rsid w:val="009039B9"/>
    <w:rsid w:val="00903A2A"/>
    <w:rsid w:val="00904DA5"/>
    <w:rsid w:val="009059D3"/>
    <w:rsid w:val="00906155"/>
    <w:rsid w:val="00906314"/>
    <w:rsid w:val="009066E5"/>
    <w:rsid w:val="009077B0"/>
    <w:rsid w:val="00911194"/>
    <w:rsid w:val="00911A71"/>
    <w:rsid w:val="009128CD"/>
    <w:rsid w:val="00913DDE"/>
    <w:rsid w:val="009148FB"/>
    <w:rsid w:val="00915817"/>
    <w:rsid w:val="00915C3D"/>
    <w:rsid w:val="00915EE2"/>
    <w:rsid w:val="00916C93"/>
    <w:rsid w:val="00916EE5"/>
    <w:rsid w:val="00917A7C"/>
    <w:rsid w:val="00920FDD"/>
    <w:rsid w:val="00921765"/>
    <w:rsid w:val="00922000"/>
    <w:rsid w:val="00923AAC"/>
    <w:rsid w:val="00923B75"/>
    <w:rsid w:val="00923E71"/>
    <w:rsid w:val="00924641"/>
    <w:rsid w:val="00924693"/>
    <w:rsid w:val="00925133"/>
    <w:rsid w:val="00925750"/>
    <w:rsid w:val="00925B12"/>
    <w:rsid w:val="00926FCE"/>
    <w:rsid w:val="00927928"/>
    <w:rsid w:val="00927935"/>
    <w:rsid w:val="00930BE8"/>
    <w:rsid w:val="009318A4"/>
    <w:rsid w:val="00931C1F"/>
    <w:rsid w:val="00933A86"/>
    <w:rsid w:val="00933F20"/>
    <w:rsid w:val="009367D4"/>
    <w:rsid w:val="00937F9D"/>
    <w:rsid w:val="009406DF"/>
    <w:rsid w:val="00941068"/>
    <w:rsid w:val="009422AF"/>
    <w:rsid w:val="009425CF"/>
    <w:rsid w:val="00942833"/>
    <w:rsid w:val="00942DC9"/>
    <w:rsid w:val="00943279"/>
    <w:rsid w:val="00943938"/>
    <w:rsid w:val="009447AB"/>
    <w:rsid w:val="00944916"/>
    <w:rsid w:val="00944FC4"/>
    <w:rsid w:val="009461D4"/>
    <w:rsid w:val="00946F44"/>
    <w:rsid w:val="009520DF"/>
    <w:rsid w:val="00952695"/>
    <w:rsid w:val="009529F6"/>
    <w:rsid w:val="009537FD"/>
    <w:rsid w:val="0095561B"/>
    <w:rsid w:val="00956A66"/>
    <w:rsid w:val="00961787"/>
    <w:rsid w:val="00962C53"/>
    <w:rsid w:val="00964392"/>
    <w:rsid w:val="00965363"/>
    <w:rsid w:val="00965AFC"/>
    <w:rsid w:val="00965E94"/>
    <w:rsid w:val="00966CC1"/>
    <w:rsid w:val="00970B8E"/>
    <w:rsid w:val="009717C4"/>
    <w:rsid w:val="009720E8"/>
    <w:rsid w:val="0097256B"/>
    <w:rsid w:val="0097311B"/>
    <w:rsid w:val="0097407C"/>
    <w:rsid w:val="009746B4"/>
    <w:rsid w:val="00974AC3"/>
    <w:rsid w:val="00975516"/>
    <w:rsid w:val="009759B0"/>
    <w:rsid w:val="009772E4"/>
    <w:rsid w:val="00977D0C"/>
    <w:rsid w:val="00977E25"/>
    <w:rsid w:val="0098018D"/>
    <w:rsid w:val="0098085B"/>
    <w:rsid w:val="00980F0E"/>
    <w:rsid w:val="00981462"/>
    <w:rsid w:val="00982054"/>
    <w:rsid w:val="00983754"/>
    <w:rsid w:val="00984C6C"/>
    <w:rsid w:val="00985336"/>
    <w:rsid w:val="0098552D"/>
    <w:rsid w:val="009864C6"/>
    <w:rsid w:val="00987658"/>
    <w:rsid w:val="00987777"/>
    <w:rsid w:val="009877A6"/>
    <w:rsid w:val="009933AF"/>
    <w:rsid w:val="009942D9"/>
    <w:rsid w:val="00995602"/>
    <w:rsid w:val="00996B1F"/>
    <w:rsid w:val="00997F48"/>
    <w:rsid w:val="009A116F"/>
    <w:rsid w:val="009A2569"/>
    <w:rsid w:val="009A4169"/>
    <w:rsid w:val="009A5A6C"/>
    <w:rsid w:val="009A5ED8"/>
    <w:rsid w:val="009A608F"/>
    <w:rsid w:val="009A6DFF"/>
    <w:rsid w:val="009A71BA"/>
    <w:rsid w:val="009A7412"/>
    <w:rsid w:val="009B0118"/>
    <w:rsid w:val="009B0986"/>
    <w:rsid w:val="009B0B5C"/>
    <w:rsid w:val="009B112E"/>
    <w:rsid w:val="009B2F8A"/>
    <w:rsid w:val="009B33E7"/>
    <w:rsid w:val="009B3A51"/>
    <w:rsid w:val="009B4582"/>
    <w:rsid w:val="009B4592"/>
    <w:rsid w:val="009B4BB3"/>
    <w:rsid w:val="009B4E6A"/>
    <w:rsid w:val="009B6F5E"/>
    <w:rsid w:val="009B7020"/>
    <w:rsid w:val="009C0BE0"/>
    <w:rsid w:val="009C104A"/>
    <w:rsid w:val="009C2A97"/>
    <w:rsid w:val="009C33E4"/>
    <w:rsid w:val="009C439E"/>
    <w:rsid w:val="009C4871"/>
    <w:rsid w:val="009C4D2C"/>
    <w:rsid w:val="009C5DB6"/>
    <w:rsid w:val="009C6B45"/>
    <w:rsid w:val="009C7318"/>
    <w:rsid w:val="009D1FB0"/>
    <w:rsid w:val="009D224C"/>
    <w:rsid w:val="009D3E0F"/>
    <w:rsid w:val="009D584D"/>
    <w:rsid w:val="009D5C9F"/>
    <w:rsid w:val="009D6580"/>
    <w:rsid w:val="009D6631"/>
    <w:rsid w:val="009D7601"/>
    <w:rsid w:val="009D7794"/>
    <w:rsid w:val="009E0CB9"/>
    <w:rsid w:val="009E10D8"/>
    <w:rsid w:val="009E156F"/>
    <w:rsid w:val="009E1A1B"/>
    <w:rsid w:val="009E27DC"/>
    <w:rsid w:val="009E3BD0"/>
    <w:rsid w:val="009E45DF"/>
    <w:rsid w:val="009E625C"/>
    <w:rsid w:val="009E7DCB"/>
    <w:rsid w:val="009F007C"/>
    <w:rsid w:val="009F09C4"/>
    <w:rsid w:val="009F09D4"/>
    <w:rsid w:val="009F1A31"/>
    <w:rsid w:val="009F1DE4"/>
    <w:rsid w:val="009F274C"/>
    <w:rsid w:val="009F2A85"/>
    <w:rsid w:val="009F2DDC"/>
    <w:rsid w:val="009F38B3"/>
    <w:rsid w:val="009F3E0A"/>
    <w:rsid w:val="009F419C"/>
    <w:rsid w:val="00A0242F"/>
    <w:rsid w:val="00A054D6"/>
    <w:rsid w:val="00A073D6"/>
    <w:rsid w:val="00A07C53"/>
    <w:rsid w:val="00A10E21"/>
    <w:rsid w:val="00A12D4D"/>
    <w:rsid w:val="00A162A1"/>
    <w:rsid w:val="00A20750"/>
    <w:rsid w:val="00A20C3B"/>
    <w:rsid w:val="00A21D77"/>
    <w:rsid w:val="00A22E75"/>
    <w:rsid w:val="00A22F60"/>
    <w:rsid w:val="00A2402E"/>
    <w:rsid w:val="00A245F5"/>
    <w:rsid w:val="00A2512D"/>
    <w:rsid w:val="00A25897"/>
    <w:rsid w:val="00A258C9"/>
    <w:rsid w:val="00A25F8B"/>
    <w:rsid w:val="00A277EC"/>
    <w:rsid w:val="00A3056B"/>
    <w:rsid w:val="00A31A96"/>
    <w:rsid w:val="00A32A6B"/>
    <w:rsid w:val="00A344C4"/>
    <w:rsid w:val="00A36067"/>
    <w:rsid w:val="00A36B1D"/>
    <w:rsid w:val="00A40EB6"/>
    <w:rsid w:val="00A40EB7"/>
    <w:rsid w:val="00A40F4C"/>
    <w:rsid w:val="00A411D6"/>
    <w:rsid w:val="00A41B18"/>
    <w:rsid w:val="00A42BA2"/>
    <w:rsid w:val="00A42BB9"/>
    <w:rsid w:val="00A44145"/>
    <w:rsid w:val="00A44991"/>
    <w:rsid w:val="00A456C0"/>
    <w:rsid w:val="00A5053A"/>
    <w:rsid w:val="00A513A1"/>
    <w:rsid w:val="00A53498"/>
    <w:rsid w:val="00A542C2"/>
    <w:rsid w:val="00A54B1D"/>
    <w:rsid w:val="00A54ED9"/>
    <w:rsid w:val="00A555D1"/>
    <w:rsid w:val="00A55885"/>
    <w:rsid w:val="00A5652D"/>
    <w:rsid w:val="00A56CAE"/>
    <w:rsid w:val="00A56F43"/>
    <w:rsid w:val="00A57667"/>
    <w:rsid w:val="00A60F21"/>
    <w:rsid w:val="00A64E14"/>
    <w:rsid w:val="00A65357"/>
    <w:rsid w:val="00A65FEF"/>
    <w:rsid w:val="00A66FD8"/>
    <w:rsid w:val="00A678AF"/>
    <w:rsid w:val="00A67FA9"/>
    <w:rsid w:val="00A704BD"/>
    <w:rsid w:val="00A707B2"/>
    <w:rsid w:val="00A70E23"/>
    <w:rsid w:val="00A718DF"/>
    <w:rsid w:val="00A73877"/>
    <w:rsid w:val="00A7398C"/>
    <w:rsid w:val="00A73E19"/>
    <w:rsid w:val="00A7504B"/>
    <w:rsid w:val="00A7604C"/>
    <w:rsid w:val="00A766EE"/>
    <w:rsid w:val="00A77058"/>
    <w:rsid w:val="00A81F85"/>
    <w:rsid w:val="00A82561"/>
    <w:rsid w:val="00A83891"/>
    <w:rsid w:val="00A83AEA"/>
    <w:rsid w:val="00A846D1"/>
    <w:rsid w:val="00A85835"/>
    <w:rsid w:val="00A86587"/>
    <w:rsid w:val="00A873CF"/>
    <w:rsid w:val="00A87801"/>
    <w:rsid w:val="00A903C6"/>
    <w:rsid w:val="00A909D1"/>
    <w:rsid w:val="00A91DB9"/>
    <w:rsid w:val="00A92607"/>
    <w:rsid w:val="00A92F35"/>
    <w:rsid w:val="00A9301C"/>
    <w:rsid w:val="00A9308F"/>
    <w:rsid w:val="00A939E7"/>
    <w:rsid w:val="00A9438D"/>
    <w:rsid w:val="00A94527"/>
    <w:rsid w:val="00A961B4"/>
    <w:rsid w:val="00A97D8D"/>
    <w:rsid w:val="00AA0DCB"/>
    <w:rsid w:val="00AA1919"/>
    <w:rsid w:val="00AA2AC8"/>
    <w:rsid w:val="00AA32A7"/>
    <w:rsid w:val="00AA344B"/>
    <w:rsid w:val="00AA3745"/>
    <w:rsid w:val="00AA502A"/>
    <w:rsid w:val="00AA5297"/>
    <w:rsid w:val="00AA5424"/>
    <w:rsid w:val="00AA5769"/>
    <w:rsid w:val="00AA6FBA"/>
    <w:rsid w:val="00AB1D4A"/>
    <w:rsid w:val="00AB29E5"/>
    <w:rsid w:val="00AB4F73"/>
    <w:rsid w:val="00AB59E6"/>
    <w:rsid w:val="00AB5BF6"/>
    <w:rsid w:val="00AB68B6"/>
    <w:rsid w:val="00AC16CB"/>
    <w:rsid w:val="00AC18A6"/>
    <w:rsid w:val="00AC2081"/>
    <w:rsid w:val="00AC4D44"/>
    <w:rsid w:val="00AC50C7"/>
    <w:rsid w:val="00AC5C39"/>
    <w:rsid w:val="00AC6356"/>
    <w:rsid w:val="00AD11B5"/>
    <w:rsid w:val="00AD1CA9"/>
    <w:rsid w:val="00AD2B7E"/>
    <w:rsid w:val="00AD6214"/>
    <w:rsid w:val="00AD6617"/>
    <w:rsid w:val="00AD77B8"/>
    <w:rsid w:val="00AD7D30"/>
    <w:rsid w:val="00AE20F9"/>
    <w:rsid w:val="00AE2930"/>
    <w:rsid w:val="00AE2B01"/>
    <w:rsid w:val="00AE3D5C"/>
    <w:rsid w:val="00AE5201"/>
    <w:rsid w:val="00AE54D6"/>
    <w:rsid w:val="00AE5708"/>
    <w:rsid w:val="00AE70FD"/>
    <w:rsid w:val="00AE7D7F"/>
    <w:rsid w:val="00AF03A7"/>
    <w:rsid w:val="00AF1EC8"/>
    <w:rsid w:val="00AF2128"/>
    <w:rsid w:val="00AF3163"/>
    <w:rsid w:val="00AF3CE7"/>
    <w:rsid w:val="00AF41F8"/>
    <w:rsid w:val="00AF42B6"/>
    <w:rsid w:val="00AF4785"/>
    <w:rsid w:val="00AF4F0E"/>
    <w:rsid w:val="00AF585E"/>
    <w:rsid w:val="00AF6BA3"/>
    <w:rsid w:val="00B00B6F"/>
    <w:rsid w:val="00B016EC"/>
    <w:rsid w:val="00B02384"/>
    <w:rsid w:val="00B03F05"/>
    <w:rsid w:val="00B04C88"/>
    <w:rsid w:val="00B04E8A"/>
    <w:rsid w:val="00B04F52"/>
    <w:rsid w:val="00B065FA"/>
    <w:rsid w:val="00B07503"/>
    <w:rsid w:val="00B07D55"/>
    <w:rsid w:val="00B105A6"/>
    <w:rsid w:val="00B10B43"/>
    <w:rsid w:val="00B10B7F"/>
    <w:rsid w:val="00B10D81"/>
    <w:rsid w:val="00B11BFC"/>
    <w:rsid w:val="00B12011"/>
    <w:rsid w:val="00B15267"/>
    <w:rsid w:val="00B15F8C"/>
    <w:rsid w:val="00B16361"/>
    <w:rsid w:val="00B16DD8"/>
    <w:rsid w:val="00B173F6"/>
    <w:rsid w:val="00B200DF"/>
    <w:rsid w:val="00B203B8"/>
    <w:rsid w:val="00B20BC3"/>
    <w:rsid w:val="00B2376D"/>
    <w:rsid w:val="00B24559"/>
    <w:rsid w:val="00B24EEC"/>
    <w:rsid w:val="00B250B1"/>
    <w:rsid w:val="00B2559F"/>
    <w:rsid w:val="00B2685A"/>
    <w:rsid w:val="00B272D4"/>
    <w:rsid w:val="00B27679"/>
    <w:rsid w:val="00B303C5"/>
    <w:rsid w:val="00B31289"/>
    <w:rsid w:val="00B31E14"/>
    <w:rsid w:val="00B346FB"/>
    <w:rsid w:val="00B34A76"/>
    <w:rsid w:val="00B35453"/>
    <w:rsid w:val="00B35B86"/>
    <w:rsid w:val="00B35FAA"/>
    <w:rsid w:val="00B36AEA"/>
    <w:rsid w:val="00B379F3"/>
    <w:rsid w:val="00B37C03"/>
    <w:rsid w:val="00B40BDA"/>
    <w:rsid w:val="00B40DE8"/>
    <w:rsid w:val="00B43720"/>
    <w:rsid w:val="00B4398B"/>
    <w:rsid w:val="00B447CA"/>
    <w:rsid w:val="00B4560C"/>
    <w:rsid w:val="00B46B6B"/>
    <w:rsid w:val="00B502EC"/>
    <w:rsid w:val="00B50889"/>
    <w:rsid w:val="00B51295"/>
    <w:rsid w:val="00B531D0"/>
    <w:rsid w:val="00B538FF"/>
    <w:rsid w:val="00B5413E"/>
    <w:rsid w:val="00B5452A"/>
    <w:rsid w:val="00B54A11"/>
    <w:rsid w:val="00B54AA1"/>
    <w:rsid w:val="00B56250"/>
    <w:rsid w:val="00B56A45"/>
    <w:rsid w:val="00B578A3"/>
    <w:rsid w:val="00B6050B"/>
    <w:rsid w:val="00B6282C"/>
    <w:rsid w:val="00B62B84"/>
    <w:rsid w:val="00B63DAC"/>
    <w:rsid w:val="00B6489C"/>
    <w:rsid w:val="00B65CBA"/>
    <w:rsid w:val="00B65EE2"/>
    <w:rsid w:val="00B67C05"/>
    <w:rsid w:val="00B70B9D"/>
    <w:rsid w:val="00B70BE9"/>
    <w:rsid w:val="00B72639"/>
    <w:rsid w:val="00B748D9"/>
    <w:rsid w:val="00B7519A"/>
    <w:rsid w:val="00B75D4D"/>
    <w:rsid w:val="00B7621C"/>
    <w:rsid w:val="00B76A8A"/>
    <w:rsid w:val="00B770B6"/>
    <w:rsid w:val="00B7774D"/>
    <w:rsid w:val="00B809A2"/>
    <w:rsid w:val="00B809E4"/>
    <w:rsid w:val="00B80F68"/>
    <w:rsid w:val="00B832B0"/>
    <w:rsid w:val="00B83D54"/>
    <w:rsid w:val="00B8415C"/>
    <w:rsid w:val="00B8689B"/>
    <w:rsid w:val="00B87296"/>
    <w:rsid w:val="00B87C91"/>
    <w:rsid w:val="00B90831"/>
    <w:rsid w:val="00B93036"/>
    <w:rsid w:val="00B93E95"/>
    <w:rsid w:val="00B9567D"/>
    <w:rsid w:val="00B97454"/>
    <w:rsid w:val="00B97A70"/>
    <w:rsid w:val="00B97F1A"/>
    <w:rsid w:val="00BA056A"/>
    <w:rsid w:val="00BA207C"/>
    <w:rsid w:val="00BA23B4"/>
    <w:rsid w:val="00BA37AB"/>
    <w:rsid w:val="00BA3E45"/>
    <w:rsid w:val="00BA4D1D"/>
    <w:rsid w:val="00BA5BAA"/>
    <w:rsid w:val="00BA73A1"/>
    <w:rsid w:val="00BB3E67"/>
    <w:rsid w:val="00BB4695"/>
    <w:rsid w:val="00BB5C2D"/>
    <w:rsid w:val="00BB5DDD"/>
    <w:rsid w:val="00BB6864"/>
    <w:rsid w:val="00BB7C4D"/>
    <w:rsid w:val="00BC090E"/>
    <w:rsid w:val="00BC2A0D"/>
    <w:rsid w:val="00BC3E9F"/>
    <w:rsid w:val="00BC4912"/>
    <w:rsid w:val="00BC5EE6"/>
    <w:rsid w:val="00BC66E6"/>
    <w:rsid w:val="00BC683F"/>
    <w:rsid w:val="00BC6B36"/>
    <w:rsid w:val="00BC7A85"/>
    <w:rsid w:val="00BD00A8"/>
    <w:rsid w:val="00BD2579"/>
    <w:rsid w:val="00BD5CAF"/>
    <w:rsid w:val="00BD7FE4"/>
    <w:rsid w:val="00BE00DC"/>
    <w:rsid w:val="00BE0259"/>
    <w:rsid w:val="00BE0662"/>
    <w:rsid w:val="00BE1A82"/>
    <w:rsid w:val="00BE305C"/>
    <w:rsid w:val="00BE3E44"/>
    <w:rsid w:val="00BE40C6"/>
    <w:rsid w:val="00BE4758"/>
    <w:rsid w:val="00BE6212"/>
    <w:rsid w:val="00BE725A"/>
    <w:rsid w:val="00BF0909"/>
    <w:rsid w:val="00BF19B9"/>
    <w:rsid w:val="00BF216E"/>
    <w:rsid w:val="00BF2483"/>
    <w:rsid w:val="00BF45A5"/>
    <w:rsid w:val="00BF471F"/>
    <w:rsid w:val="00BF4B00"/>
    <w:rsid w:val="00BF52C7"/>
    <w:rsid w:val="00BF6678"/>
    <w:rsid w:val="00BF72E1"/>
    <w:rsid w:val="00BF7E07"/>
    <w:rsid w:val="00C04816"/>
    <w:rsid w:val="00C04968"/>
    <w:rsid w:val="00C05803"/>
    <w:rsid w:val="00C05A12"/>
    <w:rsid w:val="00C06530"/>
    <w:rsid w:val="00C07481"/>
    <w:rsid w:val="00C07B07"/>
    <w:rsid w:val="00C1013D"/>
    <w:rsid w:val="00C1072D"/>
    <w:rsid w:val="00C13927"/>
    <w:rsid w:val="00C14701"/>
    <w:rsid w:val="00C14745"/>
    <w:rsid w:val="00C155C2"/>
    <w:rsid w:val="00C16C5A"/>
    <w:rsid w:val="00C16D55"/>
    <w:rsid w:val="00C17364"/>
    <w:rsid w:val="00C17CFB"/>
    <w:rsid w:val="00C20FC1"/>
    <w:rsid w:val="00C215B9"/>
    <w:rsid w:val="00C21E7A"/>
    <w:rsid w:val="00C231C5"/>
    <w:rsid w:val="00C24180"/>
    <w:rsid w:val="00C24E60"/>
    <w:rsid w:val="00C25C22"/>
    <w:rsid w:val="00C2608D"/>
    <w:rsid w:val="00C267EC"/>
    <w:rsid w:val="00C26B11"/>
    <w:rsid w:val="00C270DD"/>
    <w:rsid w:val="00C2718E"/>
    <w:rsid w:val="00C27791"/>
    <w:rsid w:val="00C27A2F"/>
    <w:rsid w:val="00C303B5"/>
    <w:rsid w:val="00C3127B"/>
    <w:rsid w:val="00C31333"/>
    <w:rsid w:val="00C31929"/>
    <w:rsid w:val="00C31E1F"/>
    <w:rsid w:val="00C322A0"/>
    <w:rsid w:val="00C322C7"/>
    <w:rsid w:val="00C3403E"/>
    <w:rsid w:val="00C341FC"/>
    <w:rsid w:val="00C356DE"/>
    <w:rsid w:val="00C356F1"/>
    <w:rsid w:val="00C35CA2"/>
    <w:rsid w:val="00C3623C"/>
    <w:rsid w:val="00C401E9"/>
    <w:rsid w:val="00C40753"/>
    <w:rsid w:val="00C40B2D"/>
    <w:rsid w:val="00C41164"/>
    <w:rsid w:val="00C42EC7"/>
    <w:rsid w:val="00C44194"/>
    <w:rsid w:val="00C44BE0"/>
    <w:rsid w:val="00C4540D"/>
    <w:rsid w:val="00C45EA7"/>
    <w:rsid w:val="00C466D4"/>
    <w:rsid w:val="00C500FD"/>
    <w:rsid w:val="00C51745"/>
    <w:rsid w:val="00C521F4"/>
    <w:rsid w:val="00C53A75"/>
    <w:rsid w:val="00C544D8"/>
    <w:rsid w:val="00C552B8"/>
    <w:rsid w:val="00C55C70"/>
    <w:rsid w:val="00C56300"/>
    <w:rsid w:val="00C5669B"/>
    <w:rsid w:val="00C628D7"/>
    <w:rsid w:val="00C643D7"/>
    <w:rsid w:val="00C65B7E"/>
    <w:rsid w:val="00C66633"/>
    <w:rsid w:val="00C66972"/>
    <w:rsid w:val="00C66D30"/>
    <w:rsid w:val="00C6780D"/>
    <w:rsid w:val="00C713DF"/>
    <w:rsid w:val="00C718DA"/>
    <w:rsid w:val="00C71D1A"/>
    <w:rsid w:val="00C757B3"/>
    <w:rsid w:val="00C7632F"/>
    <w:rsid w:val="00C77103"/>
    <w:rsid w:val="00C772A3"/>
    <w:rsid w:val="00C77C98"/>
    <w:rsid w:val="00C77D13"/>
    <w:rsid w:val="00C77EEF"/>
    <w:rsid w:val="00C8079B"/>
    <w:rsid w:val="00C80D69"/>
    <w:rsid w:val="00C815D3"/>
    <w:rsid w:val="00C81FC1"/>
    <w:rsid w:val="00C82507"/>
    <w:rsid w:val="00C82692"/>
    <w:rsid w:val="00C82A74"/>
    <w:rsid w:val="00C840A2"/>
    <w:rsid w:val="00C84C96"/>
    <w:rsid w:val="00C84E74"/>
    <w:rsid w:val="00C85A98"/>
    <w:rsid w:val="00C87C5F"/>
    <w:rsid w:val="00C9046C"/>
    <w:rsid w:val="00C917B3"/>
    <w:rsid w:val="00C91EB5"/>
    <w:rsid w:val="00C9472E"/>
    <w:rsid w:val="00C950C7"/>
    <w:rsid w:val="00C97226"/>
    <w:rsid w:val="00C975BB"/>
    <w:rsid w:val="00CA3977"/>
    <w:rsid w:val="00CA3B66"/>
    <w:rsid w:val="00CA48D2"/>
    <w:rsid w:val="00CA5F45"/>
    <w:rsid w:val="00CA613F"/>
    <w:rsid w:val="00CA632D"/>
    <w:rsid w:val="00CA63BF"/>
    <w:rsid w:val="00CA6BD1"/>
    <w:rsid w:val="00CA7A6E"/>
    <w:rsid w:val="00CB1E9B"/>
    <w:rsid w:val="00CB2F36"/>
    <w:rsid w:val="00CB30C4"/>
    <w:rsid w:val="00CB3977"/>
    <w:rsid w:val="00CB541E"/>
    <w:rsid w:val="00CB63C5"/>
    <w:rsid w:val="00CB6E52"/>
    <w:rsid w:val="00CC0477"/>
    <w:rsid w:val="00CC1376"/>
    <w:rsid w:val="00CC1816"/>
    <w:rsid w:val="00CC23E9"/>
    <w:rsid w:val="00CC3D5F"/>
    <w:rsid w:val="00CC7A7F"/>
    <w:rsid w:val="00CC7C7E"/>
    <w:rsid w:val="00CC7EB8"/>
    <w:rsid w:val="00CD10F2"/>
    <w:rsid w:val="00CD11F9"/>
    <w:rsid w:val="00CD18B5"/>
    <w:rsid w:val="00CD1B1B"/>
    <w:rsid w:val="00CD2CB6"/>
    <w:rsid w:val="00CD31D6"/>
    <w:rsid w:val="00CD356B"/>
    <w:rsid w:val="00CD37B3"/>
    <w:rsid w:val="00CD43D4"/>
    <w:rsid w:val="00CD5732"/>
    <w:rsid w:val="00CD749B"/>
    <w:rsid w:val="00CE03FB"/>
    <w:rsid w:val="00CE063C"/>
    <w:rsid w:val="00CE10C6"/>
    <w:rsid w:val="00CE1289"/>
    <w:rsid w:val="00CE267F"/>
    <w:rsid w:val="00CE28A8"/>
    <w:rsid w:val="00CE2ACA"/>
    <w:rsid w:val="00CE302F"/>
    <w:rsid w:val="00CE3B90"/>
    <w:rsid w:val="00CE44D1"/>
    <w:rsid w:val="00CE5572"/>
    <w:rsid w:val="00CE5ABD"/>
    <w:rsid w:val="00CE79F3"/>
    <w:rsid w:val="00CF2648"/>
    <w:rsid w:val="00CF4E59"/>
    <w:rsid w:val="00CF5F9C"/>
    <w:rsid w:val="00CF791F"/>
    <w:rsid w:val="00D0065E"/>
    <w:rsid w:val="00D026EB"/>
    <w:rsid w:val="00D02F4D"/>
    <w:rsid w:val="00D03955"/>
    <w:rsid w:val="00D04500"/>
    <w:rsid w:val="00D065A7"/>
    <w:rsid w:val="00D11FA7"/>
    <w:rsid w:val="00D129A7"/>
    <w:rsid w:val="00D12D40"/>
    <w:rsid w:val="00D134DF"/>
    <w:rsid w:val="00D143DD"/>
    <w:rsid w:val="00D145CD"/>
    <w:rsid w:val="00D14C34"/>
    <w:rsid w:val="00D14CB3"/>
    <w:rsid w:val="00D15D8B"/>
    <w:rsid w:val="00D164BA"/>
    <w:rsid w:val="00D17645"/>
    <w:rsid w:val="00D22199"/>
    <w:rsid w:val="00D22260"/>
    <w:rsid w:val="00D222AA"/>
    <w:rsid w:val="00D2277A"/>
    <w:rsid w:val="00D23B7F"/>
    <w:rsid w:val="00D245C5"/>
    <w:rsid w:val="00D262F1"/>
    <w:rsid w:val="00D26710"/>
    <w:rsid w:val="00D270DA"/>
    <w:rsid w:val="00D27A54"/>
    <w:rsid w:val="00D27A95"/>
    <w:rsid w:val="00D27F92"/>
    <w:rsid w:val="00D30359"/>
    <w:rsid w:val="00D310C9"/>
    <w:rsid w:val="00D32256"/>
    <w:rsid w:val="00D33302"/>
    <w:rsid w:val="00D33C12"/>
    <w:rsid w:val="00D34E89"/>
    <w:rsid w:val="00D35848"/>
    <w:rsid w:val="00D378D6"/>
    <w:rsid w:val="00D37993"/>
    <w:rsid w:val="00D37F44"/>
    <w:rsid w:val="00D40C16"/>
    <w:rsid w:val="00D42A67"/>
    <w:rsid w:val="00D4360C"/>
    <w:rsid w:val="00D4470D"/>
    <w:rsid w:val="00D44713"/>
    <w:rsid w:val="00D45106"/>
    <w:rsid w:val="00D45493"/>
    <w:rsid w:val="00D47827"/>
    <w:rsid w:val="00D50E9E"/>
    <w:rsid w:val="00D5269A"/>
    <w:rsid w:val="00D52A7B"/>
    <w:rsid w:val="00D52C05"/>
    <w:rsid w:val="00D52F37"/>
    <w:rsid w:val="00D553E5"/>
    <w:rsid w:val="00D55685"/>
    <w:rsid w:val="00D55A57"/>
    <w:rsid w:val="00D562CE"/>
    <w:rsid w:val="00D56305"/>
    <w:rsid w:val="00D56A6D"/>
    <w:rsid w:val="00D605FF"/>
    <w:rsid w:val="00D60923"/>
    <w:rsid w:val="00D6139B"/>
    <w:rsid w:val="00D61B52"/>
    <w:rsid w:val="00D61ECF"/>
    <w:rsid w:val="00D62C76"/>
    <w:rsid w:val="00D62E39"/>
    <w:rsid w:val="00D62F71"/>
    <w:rsid w:val="00D631DA"/>
    <w:rsid w:val="00D63E82"/>
    <w:rsid w:val="00D64619"/>
    <w:rsid w:val="00D64F42"/>
    <w:rsid w:val="00D652A1"/>
    <w:rsid w:val="00D66841"/>
    <w:rsid w:val="00D6732B"/>
    <w:rsid w:val="00D676B1"/>
    <w:rsid w:val="00D67B8D"/>
    <w:rsid w:val="00D70280"/>
    <w:rsid w:val="00D72786"/>
    <w:rsid w:val="00D752B5"/>
    <w:rsid w:val="00D75543"/>
    <w:rsid w:val="00D75660"/>
    <w:rsid w:val="00D7567B"/>
    <w:rsid w:val="00D76A26"/>
    <w:rsid w:val="00D76CCA"/>
    <w:rsid w:val="00D773B5"/>
    <w:rsid w:val="00D77FC9"/>
    <w:rsid w:val="00D8164F"/>
    <w:rsid w:val="00D82963"/>
    <w:rsid w:val="00D83059"/>
    <w:rsid w:val="00D831ED"/>
    <w:rsid w:val="00D84081"/>
    <w:rsid w:val="00D8504D"/>
    <w:rsid w:val="00D85773"/>
    <w:rsid w:val="00D85A72"/>
    <w:rsid w:val="00D90644"/>
    <w:rsid w:val="00D912A8"/>
    <w:rsid w:val="00D928AA"/>
    <w:rsid w:val="00D92BB1"/>
    <w:rsid w:val="00D930AA"/>
    <w:rsid w:val="00D943D7"/>
    <w:rsid w:val="00D943FD"/>
    <w:rsid w:val="00D96380"/>
    <w:rsid w:val="00D96B7B"/>
    <w:rsid w:val="00D97656"/>
    <w:rsid w:val="00DA0806"/>
    <w:rsid w:val="00DA12A9"/>
    <w:rsid w:val="00DA12E5"/>
    <w:rsid w:val="00DA2DB6"/>
    <w:rsid w:val="00DA4E34"/>
    <w:rsid w:val="00DA6B03"/>
    <w:rsid w:val="00DA79EE"/>
    <w:rsid w:val="00DB1EC9"/>
    <w:rsid w:val="00DB20F0"/>
    <w:rsid w:val="00DB38A2"/>
    <w:rsid w:val="00DB5295"/>
    <w:rsid w:val="00DB5661"/>
    <w:rsid w:val="00DB5925"/>
    <w:rsid w:val="00DB6863"/>
    <w:rsid w:val="00DB69D9"/>
    <w:rsid w:val="00DB7539"/>
    <w:rsid w:val="00DC00F1"/>
    <w:rsid w:val="00DC0F19"/>
    <w:rsid w:val="00DC16F5"/>
    <w:rsid w:val="00DC3407"/>
    <w:rsid w:val="00DC5169"/>
    <w:rsid w:val="00DC6558"/>
    <w:rsid w:val="00DC7797"/>
    <w:rsid w:val="00DD0AC2"/>
    <w:rsid w:val="00DD17B1"/>
    <w:rsid w:val="00DD201C"/>
    <w:rsid w:val="00DD242A"/>
    <w:rsid w:val="00DD2D85"/>
    <w:rsid w:val="00DD2F80"/>
    <w:rsid w:val="00DD62CE"/>
    <w:rsid w:val="00DD666A"/>
    <w:rsid w:val="00DD6986"/>
    <w:rsid w:val="00DD6B36"/>
    <w:rsid w:val="00DE0D81"/>
    <w:rsid w:val="00DE1022"/>
    <w:rsid w:val="00DE12C9"/>
    <w:rsid w:val="00DE2E2B"/>
    <w:rsid w:val="00DE340C"/>
    <w:rsid w:val="00DE3704"/>
    <w:rsid w:val="00DE3F3F"/>
    <w:rsid w:val="00DE4AB3"/>
    <w:rsid w:val="00DE536F"/>
    <w:rsid w:val="00DE5754"/>
    <w:rsid w:val="00DE5F76"/>
    <w:rsid w:val="00DE6364"/>
    <w:rsid w:val="00DE6D43"/>
    <w:rsid w:val="00DE75DD"/>
    <w:rsid w:val="00DE7733"/>
    <w:rsid w:val="00DF220F"/>
    <w:rsid w:val="00DF2E22"/>
    <w:rsid w:val="00DF3940"/>
    <w:rsid w:val="00DF39B6"/>
    <w:rsid w:val="00DF44F6"/>
    <w:rsid w:val="00DF4F88"/>
    <w:rsid w:val="00DF56B2"/>
    <w:rsid w:val="00DF5AE9"/>
    <w:rsid w:val="00DF5B4E"/>
    <w:rsid w:val="00E005A5"/>
    <w:rsid w:val="00E0168F"/>
    <w:rsid w:val="00E01771"/>
    <w:rsid w:val="00E019D9"/>
    <w:rsid w:val="00E02966"/>
    <w:rsid w:val="00E0319E"/>
    <w:rsid w:val="00E0392C"/>
    <w:rsid w:val="00E04A9F"/>
    <w:rsid w:val="00E04D03"/>
    <w:rsid w:val="00E06910"/>
    <w:rsid w:val="00E073AC"/>
    <w:rsid w:val="00E11F39"/>
    <w:rsid w:val="00E12393"/>
    <w:rsid w:val="00E12469"/>
    <w:rsid w:val="00E13F42"/>
    <w:rsid w:val="00E14FB1"/>
    <w:rsid w:val="00E15F1B"/>
    <w:rsid w:val="00E1624C"/>
    <w:rsid w:val="00E16BED"/>
    <w:rsid w:val="00E16CB7"/>
    <w:rsid w:val="00E24988"/>
    <w:rsid w:val="00E2532B"/>
    <w:rsid w:val="00E25B57"/>
    <w:rsid w:val="00E25C6A"/>
    <w:rsid w:val="00E25CE1"/>
    <w:rsid w:val="00E3069D"/>
    <w:rsid w:val="00E3080B"/>
    <w:rsid w:val="00E31691"/>
    <w:rsid w:val="00E32AC6"/>
    <w:rsid w:val="00E33AB9"/>
    <w:rsid w:val="00E3420A"/>
    <w:rsid w:val="00E342C3"/>
    <w:rsid w:val="00E35614"/>
    <w:rsid w:val="00E35835"/>
    <w:rsid w:val="00E36361"/>
    <w:rsid w:val="00E36520"/>
    <w:rsid w:val="00E425B7"/>
    <w:rsid w:val="00E44220"/>
    <w:rsid w:val="00E44610"/>
    <w:rsid w:val="00E447F9"/>
    <w:rsid w:val="00E450A9"/>
    <w:rsid w:val="00E45AC0"/>
    <w:rsid w:val="00E45C7B"/>
    <w:rsid w:val="00E46FE1"/>
    <w:rsid w:val="00E502F7"/>
    <w:rsid w:val="00E52956"/>
    <w:rsid w:val="00E52AEC"/>
    <w:rsid w:val="00E52D05"/>
    <w:rsid w:val="00E5326E"/>
    <w:rsid w:val="00E53655"/>
    <w:rsid w:val="00E54279"/>
    <w:rsid w:val="00E5495D"/>
    <w:rsid w:val="00E56633"/>
    <w:rsid w:val="00E629D2"/>
    <w:rsid w:val="00E630B4"/>
    <w:rsid w:val="00E6330D"/>
    <w:rsid w:val="00E633A0"/>
    <w:rsid w:val="00E6352A"/>
    <w:rsid w:val="00E63D66"/>
    <w:rsid w:val="00E6427C"/>
    <w:rsid w:val="00E64C18"/>
    <w:rsid w:val="00E66D88"/>
    <w:rsid w:val="00E70836"/>
    <w:rsid w:val="00E71186"/>
    <w:rsid w:val="00E717CF"/>
    <w:rsid w:val="00E721D8"/>
    <w:rsid w:val="00E72F7A"/>
    <w:rsid w:val="00E735E6"/>
    <w:rsid w:val="00E7394E"/>
    <w:rsid w:val="00E74F0E"/>
    <w:rsid w:val="00E75994"/>
    <w:rsid w:val="00E77A29"/>
    <w:rsid w:val="00E812AC"/>
    <w:rsid w:val="00E813A2"/>
    <w:rsid w:val="00E81A09"/>
    <w:rsid w:val="00E81B85"/>
    <w:rsid w:val="00E86CC1"/>
    <w:rsid w:val="00E9167A"/>
    <w:rsid w:val="00E91B06"/>
    <w:rsid w:val="00E935E5"/>
    <w:rsid w:val="00E9417F"/>
    <w:rsid w:val="00E9479B"/>
    <w:rsid w:val="00E94B19"/>
    <w:rsid w:val="00E97EFE"/>
    <w:rsid w:val="00EA227F"/>
    <w:rsid w:val="00EA3381"/>
    <w:rsid w:val="00EA3761"/>
    <w:rsid w:val="00EA3E41"/>
    <w:rsid w:val="00EA45B4"/>
    <w:rsid w:val="00EA694C"/>
    <w:rsid w:val="00EA6D82"/>
    <w:rsid w:val="00EA7E73"/>
    <w:rsid w:val="00EB0169"/>
    <w:rsid w:val="00EB28CB"/>
    <w:rsid w:val="00EB3EE3"/>
    <w:rsid w:val="00EB4814"/>
    <w:rsid w:val="00EB5A56"/>
    <w:rsid w:val="00EB5A9E"/>
    <w:rsid w:val="00EB6366"/>
    <w:rsid w:val="00EB6449"/>
    <w:rsid w:val="00EB6479"/>
    <w:rsid w:val="00EB672D"/>
    <w:rsid w:val="00EB6F81"/>
    <w:rsid w:val="00EB7296"/>
    <w:rsid w:val="00EB7F87"/>
    <w:rsid w:val="00EC13C9"/>
    <w:rsid w:val="00EC27B3"/>
    <w:rsid w:val="00EC2F8B"/>
    <w:rsid w:val="00EC38F5"/>
    <w:rsid w:val="00EC5806"/>
    <w:rsid w:val="00EC6F06"/>
    <w:rsid w:val="00EC7A4C"/>
    <w:rsid w:val="00ED0D36"/>
    <w:rsid w:val="00ED0EA9"/>
    <w:rsid w:val="00ED1379"/>
    <w:rsid w:val="00ED14C4"/>
    <w:rsid w:val="00ED1885"/>
    <w:rsid w:val="00ED23F2"/>
    <w:rsid w:val="00ED524C"/>
    <w:rsid w:val="00ED5A53"/>
    <w:rsid w:val="00ED60AC"/>
    <w:rsid w:val="00ED688A"/>
    <w:rsid w:val="00ED7D70"/>
    <w:rsid w:val="00ED7E56"/>
    <w:rsid w:val="00EE08BB"/>
    <w:rsid w:val="00EE2AC3"/>
    <w:rsid w:val="00EE3181"/>
    <w:rsid w:val="00EE3790"/>
    <w:rsid w:val="00EE4499"/>
    <w:rsid w:val="00EE47B1"/>
    <w:rsid w:val="00EE4CBF"/>
    <w:rsid w:val="00EE5D48"/>
    <w:rsid w:val="00EE69CD"/>
    <w:rsid w:val="00EF0B75"/>
    <w:rsid w:val="00EF1684"/>
    <w:rsid w:val="00EF24CC"/>
    <w:rsid w:val="00EF2729"/>
    <w:rsid w:val="00EF37F4"/>
    <w:rsid w:val="00EF4690"/>
    <w:rsid w:val="00EF581F"/>
    <w:rsid w:val="00EF598F"/>
    <w:rsid w:val="00F000F0"/>
    <w:rsid w:val="00F012BE"/>
    <w:rsid w:val="00F03B5C"/>
    <w:rsid w:val="00F050A5"/>
    <w:rsid w:val="00F0585C"/>
    <w:rsid w:val="00F07447"/>
    <w:rsid w:val="00F07A6B"/>
    <w:rsid w:val="00F07C07"/>
    <w:rsid w:val="00F10127"/>
    <w:rsid w:val="00F106AA"/>
    <w:rsid w:val="00F1138D"/>
    <w:rsid w:val="00F11457"/>
    <w:rsid w:val="00F124AD"/>
    <w:rsid w:val="00F13626"/>
    <w:rsid w:val="00F13A50"/>
    <w:rsid w:val="00F14BCB"/>
    <w:rsid w:val="00F15FE3"/>
    <w:rsid w:val="00F16783"/>
    <w:rsid w:val="00F16E18"/>
    <w:rsid w:val="00F1703F"/>
    <w:rsid w:val="00F17BB8"/>
    <w:rsid w:val="00F201B2"/>
    <w:rsid w:val="00F204F6"/>
    <w:rsid w:val="00F2065B"/>
    <w:rsid w:val="00F2070F"/>
    <w:rsid w:val="00F23D3D"/>
    <w:rsid w:val="00F2488D"/>
    <w:rsid w:val="00F255C1"/>
    <w:rsid w:val="00F25B78"/>
    <w:rsid w:val="00F30B71"/>
    <w:rsid w:val="00F33222"/>
    <w:rsid w:val="00F334F1"/>
    <w:rsid w:val="00F35149"/>
    <w:rsid w:val="00F35AF2"/>
    <w:rsid w:val="00F36994"/>
    <w:rsid w:val="00F37949"/>
    <w:rsid w:val="00F40357"/>
    <w:rsid w:val="00F40A27"/>
    <w:rsid w:val="00F40F10"/>
    <w:rsid w:val="00F41C3F"/>
    <w:rsid w:val="00F4268A"/>
    <w:rsid w:val="00F4290A"/>
    <w:rsid w:val="00F43DEC"/>
    <w:rsid w:val="00F44487"/>
    <w:rsid w:val="00F44D8B"/>
    <w:rsid w:val="00F457B0"/>
    <w:rsid w:val="00F478C0"/>
    <w:rsid w:val="00F47F22"/>
    <w:rsid w:val="00F5185F"/>
    <w:rsid w:val="00F51D79"/>
    <w:rsid w:val="00F51DCF"/>
    <w:rsid w:val="00F5201A"/>
    <w:rsid w:val="00F52DD0"/>
    <w:rsid w:val="00F54783"/>
    <w:rsid w:val="00F54B61"/>
    <w:rsid w:val="00F54B7B"/>
    <w:rsid w:val="00F5537B"/>
    <w:rsid w:val="00F56FF4"/>
    <w:rsid w:val="00F5708A"/>
    <w:rsid w:val="00F57543"/>
    <w:rsid w:val="00F57B96"/>
    <w:rsid w:val="00F60492"/>
    <w:rsid w:val="00F60C3A"/>
    <w:rsid w:val="00F622A7"/>
    <w:rsid w:val="00F6276E"/>
    <w:rsid w:val="00F6373B"/>
    <w:rsid w:val="00F6375A"/>
    <w:rsid w:val="00F638E5"/>
    <w:rsid w:val="00F655E3"/>
    <w:rsid w:val="00F6612C"/>
    <w:rsid w:val="00F663B4"/>
    <w:rsid w:val="00F66D7B"/>
    <w:rsid w:val="00F67D25"/>
    <w:rsid w:val="00F7010B"/>
    <w:rsid w:val="00F70662"/>
    <w:rsid w:val="00F71A8C"/>
    <w:rsid w:val="00F71A92"/>
    <w:rsid w:val="00F71ACC"/>
    <w:rsid w:val="00F71B18"/>
    <w:rsid w:val="00F74E17"/>
    <w:rsid w:val="00F75DC5"/>
    <w:rsid w:val="00F761CD"/>
    <w:rsid w:val="00F83A08"/>
    <w:rsid w:val="00F85330"/>
    <w:rsid w:val="00F8561E"/>
    <w:rsid w:val="00F85B83"/>
    <w:rsid w:val="00F8675E"/>
    <w:rsid w:val="00F86924"/>
    <w:rsid w:val="00F86C7B"/>
    <w:rsid w:val="00F92DB8"/>
    <w:rsid w:val="00F957CA"/>
    <w:rsid w:val="00F96515"/>
    <w:rsid w:val="00F96604"/>
    <w:rsid w:val="00F96725"/>
    <w:rsid w:val="00F96C7B"/>
    <w:rsid w:val="00F979B9"/>
    <w:rsid w:val="00FA0072"/>
    <w:rsid w:val="00FA0187"/>
    <w:rsid w:val="00FA03AB"/>
    <w:rsid w:val="00FA3B27"/>
    <w:rsid w:val="00FA4D42"/>
    <w:rsid w:val="00FA4DF8"/>
    <w:rsid w:val="00FA53BB"/>
    <w:rsid w:val="00FA654E"/>
    <w:rsid w:val="00FB34C3"/>
    <w:rsid w:val="00FB688E"/>
    <w:rsid w:val="00FB68D1"/>
    <w:rsid w:val="00FC0099"/>
    <w:rsid w:val="00FC1EBD"/>
    <w:rsid w:val="00FC2492"/>
    <w:rsid w:val="00FC3B1E"/>
    <w:rsid w:val="00FC4441"/>
    <w:rsid w:val="00FC4E8A"/>
    <w:rsid w:val="00FC5008"/>
    <w:rsid w:val="00FC6972"/>
    <w:rsid w:val="00FC7350"/>
    <w:rsid w:val="00FD04A2"/>
    <w:rsid w:val="00FD0D1A"/>
    <w:rsid w:val="00FD0DD1"/>
    <w:rsid w:val="00FD122C"/>
    <w:rsid w:val="00FD1CF7"/>
    <w:rsid w:val="00FD42DA"/>
    <w:rsid w:val="00FD5C03"/>
    <w:rsid w:val="00FD739F"/>
    <w:rsid w:val="00FE0157"/>
    <w:rsid w:val="00FE0511"/>
    <w:rsid w:val="00FE21B1"/>
    <w:rsid w:val="00FE296F"/>
    <w:rsid w:val="00FE307E"/>
    <w:rsid w:val="00FE3F76"/>
    <w:rsid w:val="00FE44EE"/>
    <w:rsid w:val="00FE48A0"/>
    <w:rsid w:val="00FE5170"/>
    <w:rsid w:val="00FE6481"/>
    <w:rsid w:val="00FE7016"/>
    <w:rsid w:val="00FF0E9C"/>
    <w:rsid w:val="00FF153C"/>
    <w:rsid w:val="00FF355F"/>
    <w:rsid w:val="00FF3A0C"/>
    <w:rsid w:val="00FF4098"/>
    <w:rsid w:val="00FF4885"/>
    <w:rsid w:val="00FF53F1"/>
    <w:rsid w:val="00FF622D"/>
    <w:rsid w:val="01145D14"/>
    <w:rsid w:val="020561BC"/>
    <w:rsid w:val="02A105BC"/>
    <w:rsid w:val="02BE44F4"/>
    <w:rsid w:val="03BB5491"/>
    <w:rsid w:val="03BD3F35"/>
    <w:rsid w:val="03C1199C"/>
    <w:rsid w:val="040C46DD"/>
    <w:rsid w:val="045A058C"/>
    <w:rsid w:val="05187A96"/>
    <w:rsid w:val="05407E51"/>
    <w:rsid w:val="05B0194D"/>
    <w:rsid w:val="06407C27"/>
    <w:rsid w:val="088A7F09"/>
    <w:rsid w:val="094F7E96"/>
    <w:rsid w:val="09E53774"/>
    <w:rsid w:val="0A9E6742"/>
    <w:rsid w:val="0AB33322"/>
    <w:rsid w:val="0D8F3A93"/>
    <w:rsid w:val="0DEA56EC"/>
    <w:rsid w:val="0DEF482F"/>
    <w:rsid w:val="0F040744"/>
    <w:rsid w:val="0FAA6830"/>
    <w:rsid w:val="10441E1E"/>
    <w:rsid w:val="10DF23D8"/>
    <w:rsid w:val="1137697B"/>
    <w:rsid w:val="115864E0"/>
    <w:rsid w:val="11764CF7"/>
    <w:rsid w:val="13310627"/>
    <w:rsid w:val="14684504"/>
    <w:rsid w:val="17597645"/>
    <w:rsid w:val="177F2BE1"/>
    <w:rsid w:val="17E054BF"/>
    <w:rsid w:val="196A4B96"/>
    <w:rsid w:val="1AD836E0"/>
    <w:rsid w:val="1B3F0202"/>
    <w:rsid w:val="1BE200BC"/>
    <w:rsid w:val="1BEC24FC"/>
    <w:rsid w:val="1CD30C81"/>
    <w:rsid w:val="1CDA27EE"/>
    <w:rsid w:val="1E5C4CEB"/>
    <w:rsid w:val="20AC519F"/>
    <w:rsid w:val="24A87164"/>
    <w:rsid w:val="24DA175F"/>
    <w:rsid w:val="27690834"/>
    <w:rsid w:val="27E363F1"/>
    <w:rsid w:val="283839D5"/>
    <w:rsid w:val="28E33E1E"/>
    <w:rsid w:val="28FA3392"/>
    <w:rsid w:val="29936C7F"/>
    <w:rsid w:val="2C0328FC"/>
    <w:rsid w:val="2D68192E"/>
    <w:rsid w:val="2F0363C3"/>
    <w:rsid w:val="301F64CD"/>
    <w:rsid w:val="305A240A"/>
    <w:rsid w:val="3110062E"/>
    <w:rsid w:val="3112600F"/>
    <w:rsid w:val="3138431C"/>
    <w:rsid w:val="31592A40"/>
    <w:rsid w:val="31CF0475"/>
    <w:rsid w:val="3208413F"/>
    <w:rsid w:val="32616E69"/>
    <w:rsid w:val="33684D76"/>
    <w:rsid w:val="33DD12ED"/>
    <w:rsid w:val="34CE2DFE"/>
    <w:rsid w:val="34FB7BB7"/>
    <w:rsid w:val="35EE60E5"/>
    <w:rsid w:val="365B39AB"/>
    <w:rsid w:val="37285232"/>
    <w:rsid w:val="379575B2"/>
    <w:rsid w:val="38256067"/>
    <w:rsid w:val="39993B16"/>
    <w:rsid w:val="3A1B7A42"/>
    <w:rsid w:val="3A780247"/>
    <w:rsid w:val="3B963489"/>
    <w:rsid w:val="3E0F45DE"/>
    <w:rsid w:val="3FD10D62"/>
    <w:rsid w:val="411C7C7A"/>
    <w:rsid w:val="41A90F30"/>
    <w:rsid w:val="43872241"/>
    <w:rsid w:val="45821A0B"/>
    <w:rsid w:val="46E01557"/>
    <w:rsid w:val="4770006E"/>
    <w:rsid w:val="49A94ACE"/>
    <w:rsid w:val="4A2F2A34"/>
    <w:rsid w:val="4AF24A12"/>
    <w:rsid w:val="4F012FAC"/>
    <w:rsid w:val="4F27685C"/>
    <w:rsid w:val="4F934FCA"/>
    <w:rsid w:val="50531554"/>
    <w:rsid w:val="507074EF"/>
    <w:rsid w:val="50D82D83"/>
    <w:rsid w:val="519F4A2C"/>
    <w:rsid w:val="52597F73"/>
    <w:rsid w:val="528D4233"/>
    <w:rsid w:val="52D72187"/>
    <w:rsid w:val="535A0755"/>
    <w:rsid w:val="538E237B"/>
    <w:rsid w:val="54775685"/>
    <w:rsid w:val="557851D7"/>
    <w:rsid w:val="55D16368"/>
    <w:rsid w:val="56764C4B"/>
    <w:rsid w:val="57BC6A95"/>
    <w:rsid w:val="5A95107C"/>
    <w:rsid w:val="5EF657D0"/>
    <w:rsid w:val="5F887726"/>
    <w:rsid w:val="5FCB14F3"/>
    <w:rsid w:val="5FDC30B6"/>
    <w:rsid w:val="5FE6392B"/>
    <w:rsid w:val="60FA7048"/>
    <w:rsid w:val="613F5C31"/>
    <w:rsid w:val="61E15D12"/>
    <w:rsid w:val="61FF2650"/>
    <w:rsid w:val="63923CA6"/>
    <w:rsid w:val="64712DD0"/>
    <w:rsid w:val="64D217B9"/>
    <w:rsid w:val="6536534C"/>
    <w:rsid w:val="66537340"/>
    <w:rsid w:val="66763171"/>
    <w:rsid w:val="678D74F8"/>
    <w:rsid w:val="689A117C"/>
    <w:rsid w:val="68CF4423"/>
    <w:rsid w:val="697E5CAC"/>
    <w:rsid w:val="69865533"/>
    <w:rsid w:val="6BC05EB8"/>
    <w:rsid w:val="6C82512F"/>
    <w:rsid w:val="6DBF37DC"/>
    <w:rsid w:val="6E951AE8"/>
    <w:rsid w:val="6F623740"/>
    <w:rsid w:val="6F8E75CB"/>
    <w:rsid w:val="6F9414FF"/>
    <w:rsid w:val="719B2348"/>
    <w:rsid w:val="71D75A03"/>
    <w:rsid w:val="732B5A01"/>
    <w:rsid w:val="74A31D69"/>
    <w:rsid w:val="74CB65C8"/>
    <w:rsid w:val="756B0498"/>
    <w:rsid w:val="79065ED6"/>
    <w:rsid w:val="792243F5"/>
    <w:rsid w:val="7A0C73BB"/>
    <w:rsid w:val="7ADC3AAE"/>
    <w:rsid w:val="7C2F6369"/>
    <w:rsid w:val="7C3A3883"/>
    <w:rsid w:val="7D4B0667"/>
    <w:rsid w:val="7DA538C8"/>
    <w:rsid w:val="7E5F2E2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iPriority="99" w:semiHidden="0" w:name="line number"/>
    <w:lsdException w:qFormat="1"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iPriority="99" w:semiHidden="0" w:name="Body Text First Indent"/>
    <w:lsdException w:qFormat="1" w:uiPriority="99" w:semiHidden="0" w:name="Body Text First Indent 2"/>
    <w:lsdException w:uiPriority="99"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qFormat="1" w:uiPriority="99"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240" w:lineRule="auto"/>
      <w:ind w:firstLine="0" w:firstLineChars="0"/>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spacing w:line="360" w:lineRule="auto"/>
      <w:jc w:val="center"/>
      <w:outlineLvl w:val="0"/>
    </w:pPr>
    <w:rPr>
      <w:rFonts w:ascii="Times New Roman" w:hAnsi="Times New Roman" w:eastAsia="宋体"/>
      <w:b/>
      <w:sz w:val="32"/>
    </w:rPr>
  </w:style>
  <w:style w:type="paragraph" w:styleId="4">
    <w:name w:val="heading 2"/>
    <w:basedOn w:val="1"/>
    <w:next w:val="1"/>
    <w:link w:val="52"/>
    <w:qFormat/>
    <w:uiPriority w:val="0"/>
    <w:pPr>
      <w:spacing w:line="360" w:lineRule="auto"/>
      <w:outlineLvl w:val="1"/>
    </w:pPr>
    <w:rPr>
      <w:rFonts w:ascii="Times New Roman" w:hAnsi="Times New Roman" w:eastAsia="宋体"/>
      <w:b/>
      <w:sz w:val="28"/>
    </w:rPr>
  </w:style>
  <w:style w:type="paragraph" w:styleId="5">
    <w:name w:val="heading 3"/>
    <w:basedOn w:val="1"/>
    <w:next w:val="1"/>
    <w:link w:val="51"/>
    <w:qFormat/>
    <w:uiPriority w:val="0"/>
    <w:pPr>
      <w:widowControl w:val="0"/>
      <w:spacing w:line="360" w:lineRule="auto"/>
      <w:outlineLvl w:val="2"/>
    </w:pPr>
    <w:rPr>
      <w:rFonts w:ascii="Times New Roman" w:hAnsi="Times New Roman" w:eastAsia="宋体"/>
      <w:b/>
      <w:kern w:val="0"/>
      <w:sz w:val="28"/>
    </w:rPr>
  </w:style>
  <w:style w:type="paragraph" w:styleId="6">
    <w:name w:val="heading 4"/>
    <w:basedOn w:val="1"/>
    <w:next w:val="1"/>
    <w:qFormat/>
    <w:uiPriority w:val="0"/>
    <w:pPr>
      <w:keepNext/>
      <w:spacing w:line="320" w:lineRule="exact"/>
      <w:ind w:firstLine="560" w:firstLineChars="200"/>
      <w:outlineLvl w:val="3"/>
    </w:pPr>
    <w:rPr>
      <w:rFonts w:ascii="宋体" w:hAnsi="宋体"/>
      <w:sz w:val="28"/>
    </w:rPr>
  </w:style>
  <w:style w:type="paragraph" w:styleId="7">
    <w:name w:val="heading 5"/>
    <w:basedOn w:val="1"/>
    <w:next w:val="1"/>
    <w:qFormat/>
    <w:uiPriority w:val="0"/>
    <w:pPr>
      <w:keepNext/>
      <w:spacing w:line="320" w:lineRule="exact"/>
      <w:ind w:firstLine="560" w:firstLineChars="200"/>
      <w:jc w:val="center"/>
      <w:outlineLvl w:val="4"/>
    </w:pPr>
    <w:rPr>
      <w:sz w:val="28"/>
    </w:rPr>
  </w:style>
  <w:style w:type="paragraph" w:styleId="8">
    <w:name w:val="heading 6"/>
    <w:basedOn w:val="1"/>
    <w:next w:val="1"/>
    <w:qFormat/>
    <w:uiPriority w:val="0"/>
    <w:pPr>
      <w:keepNext/>
      <w:outlineLvl w:val="5"/>
    </w:pPr>
    <w:rPr>
      <w:rFonts w:ascii="Arial" w:hAnsi="Arial" w:cs="Arial"/>
      <w:b/>
      <w:bCs/>
      <w:sz w:val="28"/>
    </w:rPr>
  </w:style>
  <w:style w:type="character" w:default="1" w:styleId="36">
    <w:name w:val="Default Paragraph Font"/>
    <w:semiHidden/>
    <w:qFormat/>
    <w:uiPriority w:val="0"/>
  </w:style>
  <w:style w:type="table" w:default="1" w:styleId="33">
    <w:name w:val="Normal Table"/>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Calibri" w:eastAsia="宋体" w:cs="宋体"/>
      <w:color w:val="000000"/>
      <w:kern w:val="2"/>
      <w:sz w:val="24"/>
      <w:szCs w:val="24"/>
      <w:lang w:val="en-US" w:eastAsia="zh-CN" w:bidi="ar-SA"/>
    </w:rPr>
  </w:style>
  <w:style w:type="paragraph" w:styleId="9">
    <w:name w:val="Normal Indent"/>
    <w:basedOn w:val="1"/>
    <w:next w:val="1"/>
    <w:link w:val="53"/>
    <w:qFormat/>
    <w:uiPriority w:val="0"/>
    <w:pPr>
      <w:ind w:firstLine="420"/>
    </w:pPr>
  </w:style>
  <w:style w:type="paragraph" w:styleId="10">
    <w:name w:val="Document Map"/>
    <w:basedOn w:val="1"/>
    <w:link w:val="54"/>
    <w:unhideWhenUsed/>
    <w:qFormat/>
    <w:uiPriority w:val="99"/>
    <w:rPr>
      <w:rFonts w:ascii="宋体"/>
      <w:sz w:val="18"/>
      <w:szCs w:val="18"/>
    </w:rPr>
  </w:style>
  <w:style w:type="paragraph" w:styleId="11">
    <w:name w:val="annotation text"/>
    <w:basedOn w:val="1"/>
    <w:link w:val="55"/>
    <w:unhideWhenUsed/>
    <w:qFormat/>
    <w:uiPriority w:val="99"/>
    <w:pPr>
      <w:jc w:val="left"/>
    </w:pPr>
    <w:rPr>
      <w:szCs w:val="24"/>
    </w:rPr>
  </w:style>
  <w:style w:type="paragraph" w:styleId="12">
    <w:name w:val="Body Text 3"/>
    <w:basedOn w:val="1"/>
    <w:semiHidden/>
    <w:qFormat/>
    <w:uiPriority w:val="0"/>
    <w:pPr>
      <w:jc w:val="center"/>
    </w:pPr>
    <w:rPr>
      <w:sz w:val="18"/>
    </w:rPr>
  </w:style>
  <w:style w:type="paragraph" w:styleId="13">
    <w:name w:val="Body Text"/>
    <w:basedOn w:val="1"/>
    <w:semiHidden/>
    <w:qFormat/>
    <w:uiPriority w:val="0"/>
    <w:pPr>
      <w:widowControl/>
      <w:jc w:val="left"/>
    </w:pPr>
  </w:style>
  <w:style w:type="paragraph" w:styleId="14">
    <w:name w:val="Body Text Indent"/>
    <w:basedOn w:val="1"/>
    <w:link w:val="56"/>
    <w:semiHidden/>
    <w:qFormat/>
    <w:uiPriority w:val="0"/>
    <w:pPr>
      <w:ind w:firstLine="420"/>
    </w:pPr>
    <w:rPr>
      <w:rFonts w:ascii="楷体_GB2312" w:eastAsia="楷体_GB2312"/>
      <w:sz w:val="24"/>
    </w:rPr>
  </w:style>
  <w:style w:type="paragraph" w:styleId="15">
    <w:name w:val="Block Text"/>
    <w:basedOn w:val="1"/>
    <w:qFormat/>
    <w:uiPriority w:val="0"/>
    <w:pPr>
      <w:adjustRightInd w:val="0"/>
      <w:textAlignment w:val="baseline"/>
    </w:pPr>
    <w:rPr>
      <w:spacing w:val="-2"/>
      <w:kern w:val="0"/>
      <w:sz w:val="28"/>
    </w:rPr>
  </w:style>
  <w:style w:type="paragraph" w:styleId="16">
    <w:name w:val="toc 3"/>
    <w:basedOn w:val="1"/>
    <w:next w:val="1"/>
    <w:unhideWhenUsed/>
    <w:qFormat/>
    <w:uiPriority w:val="39"/>
    <w:pPr>
      <w:widowControl/>
      <w:spacing w:line="240" w:lineRule="auto"/>
      <w:ind w:left="0" w:firstLine="960" w:firstLineChars="400"/>
      <w:jc w:val="left"/>
    </w:pPr>
    <w:rPr>
      <w:rFonts w:ascii="Calibri" w:hAnsi="Calibri"/>
      <w:kern w:val="0"/>
      <w:sz w:val="24"/>
      <w:szCs w:val="22"/>
    </w:rPr>
  </w:style>
  <w:style w:type="paragraph" w:styleId="17">
    <w:name w:val="Plain Text"/>
    <w:basedOn w:val="1"/>
    <w:link w:val="57"/>
    <w:qFormat/>
    <w:uiPriority w:val="0"/>
    <w:rPr>
      <w:rFonts w:ascii="宋体" w:hAnsi="Courier New"/>
    </w:rPr>
  </w:style>
  <w:style w:type="paragraph" w:styleId="18">
    <w:name w:val="Date"/>
    <w:basedOn w:val="1"/>
    <w:next w:val="1"/>
    <w:link w:val="58"/>
    <w:semiHidden/>
    <w:qFormat/>
    <w:uiPriority w:val="0"/>
    <w:rPr>
      <w:b/>
      <w:sz w:val="28"/>
    </w:rPr>
  </w:style>
  <w:style w:type="paragraph" w:styleId="19">
    <w:name w:val="Body Text Indent 2"/>
    <w:basedOn w:val="1"/>
    <w:link w:val="59"/>
    <w:semiHidden/>
    <w:qFormat/>
    <w:uiPriority w:val="0"/>
    <w:pPr>
      <w:ind w:firstLine="465"/>
    </w:pPr>
    <w:rPr>
      <w:rFonts w:ascii="宋体"/>
      <w:sz w:val="28"/>
    </w:rPr>
  </w:style>
  <w:style w:type="paragraph" w:styleId="20">
    <w:name w:val="endnote text"/>
    <w:basedOn w:val="1"/>
    <w:link w:val="60"/>
    <w:unhideWhenUsed/>
    <w:qFormat/>
    <w:uiPriority w:val="99"/>
    <w:pPr>
      <w:snapToGrid w:val="0"/>
      <w:jc w:val="left"/>
    </w:pPr>
  </w:style>
  <w:style w:type="paragraph" w:styleId="21">
    <w:name w:val="Balloon Text"/>
    <w:basedOn w:val="1"/>
    <w:link w:val="61"/>
    <w:unhideWhenUsed/>
    <w:qFormat/>
    <w:uiPriority w:val="99"/>
    <w:rPr>
      <w:sz w:val="18"/>
      <w:szCs w:val="18"/>
    </w:rPr>
  </w:style>
  <w:style w:type="paragraph" w:styleId="22">
    <w:name w:val="footer"/>
    <w:basedOn w:val="1"/>
    <w:link w:val="62"/>
    <w:qFormat/>
    <w:uiPriority w:val="99"/>
    <w:pPr>
      <w:tabs>
        <w:tab w:val="center" w:pos="4153"/>
        <w:tab w:val="right" w:pos="8306"/>
      </w:tabs>
      <w:snapToGrid w:val="0"/>
      <w:jc w:val="left"/>
    </w:pPr>
    <w:rPr>
      <w:sz w:val="18"/>
    </w:rPr>
  </w:style>
  <w:style w:type="paragraph" w:styleId="23">
    <w:name w:val="header"/>
    <w:basedOn w:val="1"/>
    <w:link w:val="63"/>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widowControl/>
      <w:spacing w:line="360" w:lineRule="auto"/>
      <w:jc w:val="left"/>
    </w:pPr>
    <w:rPr>
      <w:rFonts w:ascii="Calibri" w:hAnsi="Calibri"/>
      <w:b/>
      <w:kern w:val="0"/>
      <w:sz w:val="24"/>
      <w:szCs w:val="22"/>
    </w:rPr>
  </w:style>
  <w:style w:type="paragraph" w:styleId="25">
    <w:name w:val="Body Text Indent 3"/>
    <w:basedOn w:val="1"/>
    <w:semiHidden/>
    <w:qFormat/>
    <w:uiPriority w:val="0"/>
    <w:pPr>
      <w:ind w:firstLine="573"/>
    </w:pPr>
    <w:rPr>
      <w:sz w:val="28"/>
    </w:rPr>
  </w:style>
  <w:style w:type="paragraph" w:styleId="26">
    <w:name w:val="toc 2"/>
    <w:basedOn w:val="1"/>
    <w:next w:val="1"/>
    <w:unhideWhenUsed/>
    <w:qFormat/>
    <w:uiPriority w:val="39"/>
    <w:pPr>
      <w:widowControl/>
      <w:spacing w:line="360" w:lineRule="auto"/>
      <w:ind w:left="0" w:firstLine="480" w:firstLineChars="200"/>
      <w:jc w:val="left"/>
    </w:pPr>
    <w:rPr>
      <w:rFonts w:ascii="Calibri" w:hAnsi="Calibri"/>
      <w:kern w:val="0"/>
      <w:sz w:val="24"/>
      <w:szCs w:val="22"/>
    </w:rPr>
  </w:style>
  <w:style w:type="paragraph" w:styleId="27">
    <w:name w:val="Body Text 2"/>
    <w:basedOn w:val="1"/>
    <w:semiHidden/>
    <w:qFormat/>
    <w:uiPriority w:val="0"/>
    <w:rPr>
      <w:rFonts w:ascii="宋体"/>
      <w:w w:val="95"/>
      <w:sz w:val="28"/>
    </w:rPr>
  </w:style>
  <w:style w:type="paragraph" w:styleId="2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SA"/>
    </w:rPr>
  </w:style>
  <w:style w:type="paragraph" w:styleId="29">
    <w:name w:val="Normal (Web)"/>
    <w:basedOn w:val="1"/>
    <w:unhideWhenUsed/>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styleId="30">
    <w:name w:val="annotation subject"/>
    <w:basedOn w:val="11"/>
    <w:next w:val="11"/>
    <w:link w:val="64"/>
    <w:unhideWhenUsed/>
    <w:qFormat/>
    <w:uiPriority w:val="99"/>
    <w:rPr>
      <w:b/>
      <w:bCs/>
    </w:rPr>
  </w:style>
  <w:style w:type="paragraph" w:styleId="31">
    <w:name w:val="Body Text First Indent"/>
    <w:basedOn w:val="13"/>
    <w:unhideWhenUsed/>
    <w:qFormat/>
    <w:uiPriority w:val="99"/>
    <w:pPr>
      <w:spacing w:after="120" w:afterLines="0"/>
      <w:ind w:firstLine="420" w:firstLineChars="100"/>
      <w:jc w:val="both"/>
    </w:pPr>
    <w:rPr>
      <w:rFonts w:ascii="Times New Roman"/>
      <w:sz w:val="21"/>
      <w:szCs w:val="24"/>
    </w:rPr>
  </w:style>
  <w:style w:type="paragraph" w:styleId="32">
    <w:name w:val="Body Text First Indent 2"/>
    <w:basedOn w:val="14"/>
    <w:link w:val="65"/>
    <w:unhideWhenUsed/>
    <w:qFormat/>
    <w:uiPriority w:val="99"/>
    <w:pPr>
      <w:spacing w:after="120"/>
      <w:ind w:left="420" w:leftChars="200" w:firstLineChars="200"/>
    </w:pPr>
    <w:rPr>
      <w:rFonts w:ascii="Times New Roman" w:eastAsia="宋体"/>
      <w:sz w:val="21"/>
    </w:rPr>
  </w:style>
  <w:style w:type="table" w:styleId="34">
    <w:name w:val="Table Grid"/>
    <w:basedOn w:val="33"/>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Theme"/>
    <w:basedOn w:val="33"/>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22"/>
    <w:rPr>
      <w:b/>
      <w:bCs/>
    </w:rPr>
  </w:style>
  <w:style w:type="character" w:styleId="38">
    <w:name w:val="endnote reference"/>
    <w:unhideWhenUsed/>
    <w:qFormat/>
    <w:uiPriority w:val="99"/>
    <w:rPr>
      <w:vertAlign w:val="superscript"/>
    </w:rPr>
  </w:style>
  <w:style w:type="character" w:styleId="39">
    <w:name w:val="page number"/>
    <w:basedOn w:val="36"/>
    <w:unhideWhenUsed/>
    <w:qFormat/>
    <w:uiPriority w:val="0"/>
  </w:style>
  <w:style w:type="character" w:styleId="40">
    <w:name w:val="FollowedHyperlink"/>
    <w:basedOn w:val="36"/>
    <w:unhideWhenUsed/>
    <w:qFormat/>
    <w:uiPriority w:val="99"/>
    <w:rPr>
      <w:color w:val="338DE6"/>
      <w:u w:val="none"/>
    </w:rPr>
  </w:style>
  <w:style w:type="character" w:styleId="41">
    <w:name w:val="Emphasis"/>
    <w:qFormat/>
    <w:uiPriority w:val="20"/>
    <w:rPr>
      <w:color w:val="CC0000"/>
    </w:rPr>
  </w:style>
  <w:style w:type="character" w:styleId="42">
    <w:name w:val="line number"/>
    <w:unhideWhenUsed/>
    <w:qFormat/>
    <w:uiPriority w:val="99"/>
  </w:style>
  <w:style w:type="character" w:styleId="43">
    <w:name w:val="HTML Definition"/>
    <w:basedOn w:val="36"/>
    <w:unhideWhenUsed/>
    <w:qFormat/>
    <w:uiPriority w:val="99"/>
  </w:style>
  <w:style w:type="character" w:styleId="44">
    <w:name w:val="HTML Variable"/>
    <w:basedOn w:val="36"/>
    <w:unhideWhenUsed/>
    <w:qFormat/>
    <w:uiPriority w:val="99"/>
  </w:style>
  <w:style w:type="character" w:styleId="45">
    <w:name w:val="Hyperlink"/>
    <w:basedOn w:val="36"/>
    <w:unhideWhenUsed/>
    <w:qFormat/>
    <w:uiPriority w:val="99"/>
    <w:rPr>
      <w:color w:val="338DE6"/>
      <w:u w:val="none"/>
    </w:rPr>
  </w:style>
  <w:style w:type="character" w:styleId="46">
    <w:name w:val="HTML Code"/>
    <w:basedOn w:val="36"/>
    <w:unhideWhenUsed/>
    <w:qFormat/>
    <w:uiPriority w:val="99"/>
    <w:rPr>
      <w:rFonts w:hint="default" w:ascii="serif" w:hAnsi="serif" w:eastAsia="serif" w:cs="serif"/>
      <w:sz w:val="21"/>
      <w:szCs w:val="21"/>
    </w:rPr>
  </w:style>
  <w:style w:type="character" w:styleId="47">
    <w:name w:val="annotation reference"/>
    <w:unhideWhenUsed/>
    <w:qFormat/>
    <w:uiPriority w:val="99"/>
    <w:rPr>
      <w:rFonts w:ascii="宋体" w:hAnsi="宋体" w:cs="宋体"/>
      <w:sz w:val="21"/>
      <w:szCs w:val="21"/>
    </w:rPr>
  </w:style>
  <w:style w:type="character" w:styleId="48">
    <w:name w:val="HTML Cite"/>
    <w:basedOn w:val="36"/>
    <w:unhideWhenUsed/>
    <w:qFormat/>
    <w:uiPriority w:val="99"/>
  </w:style>
  <w:style w:type="character" w:styleId="49">
    <w:name w:val="HTML Keyboard"/>
    <w:basedOn w:val="36"/>
    <w:unhideWhenUsed/>
    <w:qFormat/>
    <w:uiPriority w:val="99"/>
    <w:rPr>
      <w:rFonts w:hint="default" w:ascii="serif" w:hAnsi="serif" w:eastAsia="serif" w:cs="serif"/>
      <w:sz w:val="21"/>
      <w:szCs w:val="21"/>
    </w:rPr>
  </w:style>
  <w:style w:type="character" w:styleId="50">
    <w:name w:val="HTML Sample"/>
    <w:basedOn w:val="36"/>
    <w:unhideWhenUsed/>
    <w:qFormat/>
    <w:uiPriority w:val="99"/>
    <w:rPr>
      <w:rFonts w:ascii="serif" w:hAnsi="serif" w:eastAsia="serif" w:cs="serif"/>
      <w:sz w:val="21"/>
      <w:szCs w:val="21"/>
    </w:rPr>
  </w:style>
  <w:style w:type="character" w:customStyle="1" w:styleId="51">
    <w:name w:val="标题 3 字符"/>
    <w:link w:val="5"/>
    <w:qFormat/>
    <w:uiPriority w:val="0"/>
    <w:rPr>
      <w:rFonts w:ascii="Times New Roman" w:hAnsi="Times New Roman" w:eastAsia="宋体"/>
      <w:b/>
      <w:kern w:val="0"/>
      <w:sz w:val="28"/>
    </w:rPr>
  </w:style>
  <w:style w:type="character" w:customStyle="1" w:styleId="52">
    <w:name w:val="标题 2 字符"/>
    <w:link w:val="4"/>
    <w:qFormat/>
    <w:uiPriority w:val="0"/>
    <w:rPr>
      <w:rFonts w:ascii="Times New Roman" w:hAnsi="Times New Roman" w:eastAsia="宋体"/>
      <w:b/>
      <w:kern w:val="2"/>
      <w:sz w:val="28"/>
    </w:rPr>
  </w:style>
  <w:style w:type="character" w:customStyle="1" w:styleId="53">
    <w:name w:val="正文缩进 字符"/>
    <w:link w:val="9"/>
    <w:qFormat/>
    <w:uiPriority w:val="0"/>
    <w:rPr>
      <w:kern w:val="2"/>
      <w:sz w:val="21"/>
    </w:rPr>
  </w:style>
  <w:style w:type="character" w:customStyle="1" w:styleId="54">
    <w:name w:val="文档结构图 字符"/>
    <w:link w:val="10"/>
    <w:semiHidden/>
    <w:qFormat/>
    <w:uiPriority w:val="99"/>
    <w:rPr>
      <w:rFonts w:ascii="宋体"/>
      <w:kern w:val="2"/>
      <w:sz w:val="18"/>
      <w:szCs w:val="18"/>
    </w:rPr>
  </w:style>
  <w:style w:type="character" w:customStyle="1" w:styleId="55">
    <w:name w:val="批注文字 字符"/>
    <w:link w:val="11"/>
    <w:qFormat/>
    <w:uiPriority w:val="99"/>
    <w:rPr>
      <w:kern w:val="2"/>
      <w:sz w:val="21"/>
      <w:szCs w:val="24"/>
    </w:rPr>
  </w:style>
  <w:style w:type="character" w:customStyle="1" w:styleId="56">
    <w:name w:val="正文文本缩进 字符"/>
    <w:link w:val="14"/>
    <w:semiHidden/>
    <w:qFormat/>
    <w:uiPriority w:val="0"/>
    <w:rPr>
      <w:rFonts w:ascii="楷体_GB2312" w:eastAsia="楷体_GB2312"/>
      <w:kern w:val="2"/>
      <w:sz w:val="24"/>
    </w:rPr>
  </w:style>
  <w:style w:type="character" w:customStyle="1" w:styleId="57">
    <w:name w:val="纯文本 字符"/>
    <w:link w:val="17"/>
    <w:qFormat/>
    <w:locked/>
    <w:uiPriority w:val="0"/>
    <w:rPr>
      <w:rFonts w:ascii="宋体" w:hAnsi="Courier New"/>
      <w:kern w:val="2"/>
      <w:sz w:val="21"/>
    </w:rPr>
  </w:style>
  <w:style w:type="character" w:customStyle="1" w:styleId="58">
    <w:name w:val="日期 字符"/>
    <w:link w:val="18"/>
    <w:semiHidden/>
    <w:qFormat/>
    <w:uiPriority w:val="0"/>
    <w:rPr>
      <w:b/>
      <w:kern w:val="2"/>
      <w:sz w:val="28"/>
    </w:rPr>
  </w:style>
  <w:style w:type="character" w:customStyle="1" w:styleId="59">
    <w:name w:val="正文文本缩进 2 字符"/>
    <w:link w:val="19"/>
    <w:qFormat/>
    <w:uiPriority w:val="0"/>
    <w:rPr>
      <w:rFonts w:ascii="宋体"/>
      <w:kern w:val="2"/>
      <w:sz w:val="28"/>
    </w:rPr>
  </w:style>
  <w:style w:type="character" w:customStyle="1" w:styleId="60">
    <w:name w:val="尾注文本 字符"/>
    <w:link w:val="20"/>
    <w:semiHidden/>
    <w:qFormat/>
    <w:uiPriority w:val="99"/>
    <w:rPr>
      <w:kern w:val="2"/>
      <w:sz w:val="21"/>
    </w:rPr>
  </w:style>
  <w:style w:type="character" w:customStyle="1" w:styleId="61">
    <w:name w:val="批注框文本 字符"/>
    <w:link w:val="21"/>
    <w:semiHidden/>
    <w:qFormat/>
    <w:uiPriority w:val="99"/>
    <w:rPr>
      <w:kern w:val="2"/>
      <w:sz w:val="18"/>
      <w:szCs w:val="18"/>
    </w:rPr>
  </w:style>
  <w:style w:type="character" w:customStyle="1" w:styleId="62">
    <w:name w:val="页脚 字符"/>
    <w:link w:val="22"/>
    <w:qFormat/>
    <w:uiPriority w:val="99"/>
    <w:rPr>
      <w:kern w:val="2"/>
      <w:sz w:val="18"/>
    </w:rPr>
  </w:style>
  <w:style w:type="character" w:customStyle="1" w:styleId="63">
    <w:name w:val="页眉 字符"/>
    <w:link w:val="23"/>
    <w:qFormat/>
    <w:uiPriority w:val="99"/>
    <w:rPr>
      <w:kern w:val="2"/>
      <w:sz w:val="18"/>
      <w:szCs w:val="18"/>
    </w:rPr>
  </w:style>
  <w:style w:type="character" w:customStyle="1" w:styleId="64">
    <w:name w:val="批注主题 字符"/>
    <w:link w:val="30"/>
    <w:semiHidden/>
    <w:qFormat/>
    <w:uiPriority w:val="99"/>
    <w:rPr>
      <w:b/>
      <w:bCs/>
      <w:kern w:val="2"/>
      <w:sz w:val="21"/>
      <w:szCs w:val="24"/>
    </w:rPr>
  </w:style>
  <w:style w:type="character" w:customStyle="1" w:styleId="65">
    <w:name w:val="正文文本首行缩进 2 字符"/>
    <w:link w:val="32"/>
    <w:semiHidden/>
    <w:qFormat/>
    <w:uiPriority w:val="99"/>
    <w:rPr>
      <w:rFonts w:ascii="楷体_GB2312" w:eastAsia="楷体_GB2312"/>
      <w:kern w:val="2"/>
      <w:sz w:val="21"/>
    </w:rPr>
  </w:style>
  <w:style w:type="character" w:customStyle="1" w:styleId="66">
    <w:name w:val="样式8 Char"/>
    <w:link w:val="67"/>
    <w:qFormat/>
    <w:uiPriority w:val="0"/>
    <w:rPr>
      <w:rFonts w:hAnsi="宋体"/>
      <w:sz w:val="22"/>
      <w:szCs w:val="22"/>
    </w:rPr>
  </w:style>
  <w:style w:type="paragraph" w:customStyle="1" w:styleId="67">
    <w:name w:val="样式8"/>
    <w:basedOn w:val="1"/>
    <w:link w:val="66"/>
    <w:qFormat/>
    <w:uiPriority w:val="0"/>
    <w:pPr>
      <w:widowControl w:val="0"/>
      <w:adjustRightInd w:val="0"/>
      <w:snapToGrid w:val="0"/>
      <w:spacing w:line="320" w:lineRule="exact"/>
      <w:jc w:val="center"/>
    </w:pPr>
    <w:rPr>
      <w:rFonts w:hAnsi="宋体"/>
      <w:kern w:val="0"/>
      <w:sz w:val="22"/>
      <w:szCs w:val="22"/>
    </w:rPr>
  </w:style>
  <w:style w:type="character" w:customStyle="1" w:styleId="68">
    <w:name w:val="纯文本 Char"/>
    <w:qFormat/>
    <w:uiPriority w:val="0"/>
    <w:rPr>
      <w:rFonts w:ascii="宋体" w:hAnsi="Courier New" w:eastAsia="宋体" w:cs="Dutch801 Rm BT"/>
      <w:szCs w:val="20"/>
    </w:rPr>
  </w:style>
  <w:style w:type="character" w:customStyle="1" w:styleId="69">
    <w:name w:val="表格文字 Char"/>
    <w:qFormat/>
    <w:uiPriority w:val="0"/>
    <w:rPr>
      <w:rFonts w:eastAsia="宋体"/>
      <w:sz w:val="21"/>
      <w:lang w:val="en-US" w:eastAsia="zh-CN" w:bidi="ar-SA"/>
    </w:rPr>
  </w:style>
  <w:style w:type="character" w:customStyle="1" w:styleId="70">
    <w:name w:val="表格 Char"/>
    <w:link w:val="71"/>
    <w:qFormat/>
    <w:uiPriority w:val="0"/>
    <w:rPr>
      <w:b/>
      <w:snapToGrid/>
      <w:sz w:val="21"/>
      <w:szCs w:val="21"/>
    </w:rPr>
  </w:style>
  <w:style w:type="paragraph" w:customStyle="1" w:styleId="71">
    <w:name w:val="表格"/>
    <w:basedOn w:val="1"/>
    <w:link w:val="70"/>
    <w:qFormat/>
    <w:uiPriority w:val="0"/>
    <w:pPr>
      <w:tabs>
        <w:tab w:val="left" w:pos="0"/>
      </w:tabs>
      <w:adjustRightInd w:val="0"/>
      <w:spacing w:line="360" w:lineRule="exact"/>
      <w:jc w:val="center"/>
      <w:textAlignment w:val="center"/>
    </w:pPr>
    <w:rPr>
      <w:b/>
      <w:snapToGrid w:val="0"/>
      <w:kern w:val="0"/>
      <w:szCs w:val="21"/>
    </w:rPr>
  </w:style>
  <w:style w:type="character" w:customStyle="1" w:styleId="72">
    <w:name w:val="正文文本缩进 Char"/>
    <w:link w:val="73"/>
    <w:qFormat/>
    <w:uiPriority w:val="0"/>
    <w:rPr>
      <w:rFonts w:ascii="仿宋_GB2312" w:eastAsia="仿宋_GB2312"/>
      <w:sz w:val="28"/>
    </w:rPr>
  </w:style>
  <w:style w:type="paragraph" w:customStyle="1" w:styleId="73">
    <w:name w:val="Body Text Indent"/>
    <w:basedOn w:val="1"/>
    <w:link w:val="72"/>
    <w:qFormat/>
    <w:uiPriority w:val="0"/>
    <w:pPr>
      <w:widowControl w:val="0"/>
      <w:adjustRightInd w:val="0"/>
      <w:spacing w:line="233" w:lineRule="auto"/>
      <w:ind w:firstLine="570"/>
      <w:jc w:val="both"/>
      <w:textAlignment w:val="baseline"/>
    </w:pPr>
    <w:rPr>
      <w:rFonts w:ascii="仿宋_GB2312" w:eastAsia="仿宋_GB2312"/>
      <w:kern w:val="0"/>
      <w:sz w:val="28"/>
    </w:rPr>
  </w:style>
  <w:style w:type="character" w:customStyle="1" w:styleId="74">
    <w:name w:val="font11"/>
    <w:basedOn w:val="36"/>
    <w:qFormat/>
    <w:uiPriority w:val="0"/>
    <w:rPr>
      <w:rFonts w:hint="eastAsia" w:ascii="宋体" w:hAnsi="宋体" w:eastAsia="宋体" w:cs="宋体"/>
      <w:b/>
      <w:color w:val="000000"/>
      <w:sz w:val="24"/>
      <w:szCs w:val="24"/>
      <w:u w:val="none"/>
    </w:rPr>
  </w:style>
  <w:style w:type="character" w:customStyle="1" w:styleId="75">
    <w:name w:val="表头 Char Char"/>
    <w:link w:val="76"/>
    <w:qFormat/>
    <w:uiPriority w:val="0"/>
    <w:rPr>
      <w:rFonts w:ascii="Times New Roman" w:hAnsi="Times New Roman" w:eastAsia="宋体"/>
      <w:b/>
      <w:kern w:val="0"/>
      <w:sz w:val="24"/>
      <w:szCs w:val="24"/>
    </w:rPr>
  </w:style>
  <w:style w:type="paragraph" w:customStyle="1" w:styleId="76">
    <w:name w:val="表头"/>
    <w:basedOn w:val="13"/>
    <w:next w:val="1"/>
    <w:link w:val="75"/>
    <w:qFormat/>
    <w:uiPriority w:val="0"/>
    <w:pPr>
      <w:adjustRightInd w:val="0"/>
      <w:snapToGrid w:val="0"/>
      <w:spacing w:line="360" w:lineRule="auto"/>
      <w:jc w:val="center"/>
    </w:pPr>
    <w:rPr>
      <w:rFonts w:ascii="Times New Roman" w:hAnsi="Times New Roman"/>
      <w:b/>
      <w:kern w:val="0"/>
      <w:sz w:val="24"/>
      <w:szCs w:val="24"/>
    </w:rPr>
  </w:style>
  <w:style w:type="character" w:customStyle="1" w:styleId="77">
    <w:name w:val="明显参考1"/>
    <w:qFormat/>
    <w:uiPriority w:val="99"/>
    <w:rPr>
      <w:rFonts w:cs="Times New Roman"/>
      <w:b/>
      <w:bCs/>
      <w:smallCaps/>
      <w:color w:val="5B9BD5"/>
      <w:spacing w:val="5"/>
    </w:rPr>
  </w:style>
  <w:style w:type="character" w:customStyle="1" w:styleId="78">
    <w:name w:val="表标题 Char Char Char"/>
    <w:link w:val="79"/>
    <w:qFormat/>
    <w:uiPriority w:val="0"/>
    <w:rPr>
      <w:b/>
      <w:kern w:val="2"/>
      <w:sz w:val="24"/>
    </w:rPr>
  </w:style>
  <w:style w:type="paragraph" w:customStyle="1" w:styleId="79">
    <w:name w:val="表标题 Char Char"/>
    <w:basedOn w:val="1"/>
    <w:link w:val="78"/>
    <w:qFormat/>
    <w:uiPriority w:val="0"/>
    <w:pPr>
      <w:widowControl w:val="0"/>
      <w:adjustRightInd w:val="0"/>
      <w:snapToGrid w:val="0"/>
      <w:spacing w:before="40" w:after="156" w:afterLines="50" w:line="400" w:lineRule="atLeast"/>
      <w:jc w:val="center"/>
    </w:pPr>
    <w:rPr>
      <w:b/>
      <w:sz w:val="24"/>
    </w:rPr>
  </w:style>
  <w:style w:type="character" w:customStyle="1" w:styleId="80">
    <w:name w:val="fontstrikethrough"/>
    <w:basedOn w:val="36"/>
    <w:qFormat/>
    <w:uiPriority w:val="0"/>
    <w:rPr>
      <w:strike/>
    </w:rPr>
  </w:style>
  <w:style w:type="character" w:customStyle="1" w:styleId="81">
    <w:name w:val="page number"/>
    <w:basedOn w:val="36"/>
    <w:qFormat/>
    <w:uiPriority w:val="0"/>
  </w:style>
  <w:style w:type="character" w:customStyle="1" w:styleId="82">
    <w:name w:val="正文1 Char"/>
    <w:link w:val="83"/>
    <w:qFormat/>
    <w:locked/>
    <w:uiPriority w:val="0"/>
    <w:rPr>
      <w:kern w:val="2"/>
      <w:sz w:val="24"/>
      <w:szCs w:val="24"/>
    </w:rPr>
  </w:style>
  <w:style w:type="paragraph" w:customStyle="1" w:styleId="83">
    <w:name w:val="正文1"/>
    <w:basedOn w:val="1"/>
    <w:link w:val="82"/>
    <w:qFormat/>
    <w:uiPriority w:val="0"/>
    <w:pPr>
      <w:spacing w:line="520" w:lineRule="exact"/>
      <w:ind w:firstLine="200" w:firstLineChars="200"/>
    </w:pPr>
    <w:rPr>
      <w:sz w:val="24"/>
      <w:szCs w:val="24"/>
    </w:rPr>
  </w:style>
  <w:style w:type="character" w:customStyle="1" w:styleId="84">
    <w:name w:val="样式1 Char"/>
    <w:link w:val="85"/>
    <w:qFormat/>
    <w:uiPriority w:val="0"/>
    <w:rPr>
      <w:bCs/>
      <w:kern w:val="2"/>
      <w:sz w:val="21"/>
      <w:szCs w:val="21"/>
    </w:rPr>
  </w:style>
  <w:style w:type="paragraph" w:customStyle="1" w:styleId="85">
    <w:name w:val="样式1"/>
    <w:basedOn w:val="1"/>
    <w:link w:val="84"/>
    <w:qFormat/>
    <w:uiPriority w:val="0"/>
    <w:pPr>
      <w:spacing w:line="360" w:lineRule="auto"/>
      <w:jc w:val="center"/>
    </w:pPr>
    <w:rPr>
      <w:bCs/>
      <w:szCs w:val="21"/>
    </w:rPr>
  </w:style>
  <w:style w:type="character" w:customStyle="1" w:styleId="86">
    <w:name w:val="报告书正文 Char"/>
    <w:link w:val="87"/>
    <w:qFormat/>
    <w:uiPriority w:val="0"/>
    <w:rPr>
      <w:rFonts w:ascii="Times New Roman" w:hAnsi="Times New Roman" w:eastAsia="宋体"/>
      <w:kern w:val="0"/>
      <w:sz w:val="24"/>
    </w:rPr>
  </w:style>
  <w:style w:type="paragraph" w:customStyle="1" w:styleId="87">
    <w:name w:val="报告书正文"/>
    <w:basedOn w:val="19"/>
    <w:link w:val="86"/>
    <w:qFormat/>
    <w:uiPriority w:val="0"/>
    <w:pPr>
      <w:spacing w:line="360" w:lineRule="auto"/>
      <w:ind w:firstLine="200" w:firstLineChars="200"/>
      <w:jc w:val="both"/>
    </w:pPr>
    <w:rPr>
      <w:rFonts w:ascii="Times New Roman" w:hAnsi="Times New Roman"/>
      <w:kern w:val="0"/>
      <w:sz w:val="24"/>
    </w:rPr>
  </w:style>
  <w:style w:type="character" w:customStyle="1" w:styleId="88">
    <w:name w:val="font01"/>
    <w:qFormat/>
    <w:uiPriority w:val="0"/>
    <w:rPr>
      <w:rFonts w:hint="eastAsia" w:ascii="宋体" w:hAnsi="宋体" w:eastAsia="宋体" w:cs="宋体"/>
      <w:b/>
      <w:color w:val="000000"/>
      <w:sz w:val="24"/>
      <w:szCs w:val="24"/>
      <w:u w:val="none"/>
      <w:vertAlign w:val="subscript"/>
    </w:rPr>
  </w:style>
  <w:style w:type="character" w:customStyle="1" w:styleId="89">
    <w:name w:val="表格1 Char"/>
    <w:link w:val="90"/>
    <w:qFormat/>
    <w:locked/>
    <w:uiPriority w:val="99"/>
    <w:rPr>
      <w:rFonts w:ascii="Calibri" w:hAnsi="Calibri"/>
      <w:b/>
      <w:kern w:val="2"/>
      <w:sz w:val="22"/>
      <w:szCs w:val="22"/>
    </w:rPr>
  </w:style>
  <w:style w:type="paragraph" w:customStyle="1" w:styleId="90">
    <w:name w:val="表格1"/>
    <w:basedOn w:val="91"/>
    <w:link w:val="89"/>
    <w:qFormat/>
    <w:uiPriority w:val="99"/>
    <w:rPr>
      <w:b/>
    </w:rPr>
  </w:style>
  <w:style w:type="paragraph" w:customStyle="1" w:styleId="91">
    <w:name w:val="表格格式"/>
    <w:basedOn w:val="1"/>
    <w:link w:val="92"/>
    <w:qFormat/>
    <w:uiPriority w:val="99"/>
    <w:pPr>
      <w:widowControl w:val="0"/>
      <w:kinsoku w:val="0"/>
      <w:overflowPunct w:val="0"/>
      <w:autoSpaceDE w:val="0"/>
      <w:autoSpaceDN w:val="0"/>
      <w:adjustRightInd w:val="0"/>
      <w:jc w:val="center"/>
    </w:pPr>
    <w:rPr>
      <w:rFonts w:ascii="Calibri" w:hAnsi="Calibri"/>
      <w:sz w:val="22"/>
      <w:szCs w:val="22"/>
    </w:rPr>
  </w:style>
  <w:style w:type="character" w:customStyle="1" w:styleId="92">
    <w:name w:val="表格格式 Char"/>
    <w:link w:val="91"/>
    <w:qFormat/>
    <w:locked/>
    <w:uiPriority w:val="99"/>
    <w:rPr>
      <w:rFonts w:ascii="Calibri" w:hAnsi="Calibri"/>
      <w:kern w:val="2"/>
      <w:sz w:val="22"/>
      <w:szCs w:val="22"/>
    </w:rPr>
  </w:style>
  <w:style w:type="character" w:customStyle="1" w:styleId="93">
    <w:name w:val="样式 报告书正文 + 首行缩进:  2 字符 Char1"/>
    <w:semiHidden/>
    <w:qFormat/>
    <w:uiPriority w:val="0"/>
    <w:rPr>
      <w:rFonts w:eastAsia="宋体" w:cs="宋体"/>
      <w:b/>
      <w:bCs/>
      <w:color w:val="000000"/>
      <w:kern w:val="2"/>
      <w:sz w:val="24"/>
      <w:szCs w:val="21"/>
      <w:lang w:val="en-US" w:eastAsia="zh-CN" w:bidi="ar-SA"/>
    </w:rPr>
  </w:style>
  <w:style w:type="character" w:customStyle="1" w:styleId="94">
    <w:name w:val="标题 3 Char"/>
    <w:basedOn w:val="36"/>
    <w:qFormat/>
    <w:uiPriority w:val="0"/>
    <w:rPr>
      <w:rFonts w:ascii="Times New Roman" w:hAnsi="Times New Roman" w:eastAsia="宋体"/>
      <w:b/>
      <w:sz w:val="28"/>
      <w:szCs w:val="26"/>
    </w:rPr>
  </w:style>
  <w:style w:type="character" w:customStyle="1" w:styleId="95">
    <w:name w:val="正文（首行缩进2字） Char1"/>
    <w:link w:val="96"/>
    <w:qFormat/>
    <w:uiPriority w:val="0"/>
    <w:rPr>
      <w:b/>
      <w:bCs/>
      <w:kern w:val="2"/>
      <w:sz w:val="24"/>
      <w:szCs w:val="24"/>
    </w:rPr>
  </w:style>
  <w:style w:type="paragraph" w:customStyle="1" w:styleId="96">
    <w:name w:val="正文（首行缩进2字）"/>
    <w:basedOn w:val="1"/>
    <w:link w:val="95"/>
    <w:qFormat/>
    <w:uiPriority w:val="0"/>
    <w:pPr>
      <w:widowControl w:val="0"/>
      <w:spacing w:line="440" w:lineRule="exact"/>
      <w:ind w:firstLine="480" w:firstLineChars="200"/>
      <w:jc w:val="both"/>
    </w:pPr>
    <w:rPr>
      <w:b/>
      <w:bCs/>
      <w:sz w:val="24"/>
      <w:szCs w:val="24"/>
    </w:rPr>
  </w:style>
  <w:style w:type="character" w:customStyle="1" w:styleId="97">
    <w:name w:val="fontborder"/>
    <w:basedOn w:val="36"/>
    <w:qFormat/>
    <w:uiPriority w:val="0"/>
    <w:rPr>
      <w:bdr w:val="single" w:color="000000" w:sz="6" w:space="0"/>
    </w:rPr>
  </w:style>
  <w:style w:type="character" w:customStyle="1" w:styleId="98">
    <w:name w:val="表格文字 Char1"/>
    <w:link w:val="99"/>
    <w:qFormat/>
    <w:locked/>
    <w:uiPriority w:val="0"/>
    <w:rPr>
      <w:kern w:val="2"/>
      <w:sz w:val="21"/>
      <w:szCs w:val="21"/>
    </w:rPr>
  </w:style>
  <w:style w:type="paragraph" w:customStyle="1" w:styleId="99">
    <w:name w:val="表格文字"/>
    <w:basedOn w:val="1"/>
    <w:next w:val="1"/>
    <w:link w:val="98"/>
    <w:qFormat/>
    <w:uiPriority w:val="0"/>
    <w:pPr>
      <w:widowControl/>
      <w:spacing w:line="300" w:lineRule="atLeast"/>
      <w:jc w:val="center"/>
    </w:pPr>
    <w:rPr>
      <w:szCs w:val="21"/>
    </w:rPr>
  </w:style>
  <w:style w:type="paragraph" w:customStyle="1" w:styleId="100">
    <w:name w:val="11表头"/>
    <w:basedOn w:val="1"/>
    <w:qFormat/>
    <w:uiPriority w:val="0"/>
    <w:pPr>
      <w:spacing w:before="156" w:beforeLines="0" w:line="360" w:lineRule="auto"/>
      <w:jc w:val="center"/>
    </w:pPr>
    <w:rPr>
      <w:rFonts w:cs="宋体"/>
      <w:sz w:val="24"/>
    </w:rPr>
  </w:style>
  <w:style w:type="paragraph" w:customStyle="1" w:styleId="101">
    <w:name w:val="样式 样式 样式 样式 样式 样式 样式 样式 样式 标题 3标题 3 Char Char Char Char标题 3 Char..."/>
    <w:basedOn w:val="1"/>
    <w:qFormat/>
    <w:uiPriority w:val="0"/>
    <w:pPr>
      <w:keepNext/>
      <w:keepLines/>
      <w:numPr>
        <w:ilvl w:val="2"/>
        <w:numId w:val="1"/>
      </w:numPr>
      <w:spacing w:beforeLines="50" w:line="360" w:lineRule="auto"/>
      <w:jc w:val="left"/>
      <w:outlineLvl w:val="2"/>
    </w:pPr>
    <w:rPr>
      <w:rFonts w:eastAsia="仿宋_GB2312" w:cs="宋体"/>
      <w:sz w:val="28"/>
    </w:rPr>
  </w:style>
  <w:style w:type="paragraph" w:customStyle="1" w:styleId="102">
    <w:name w:val="5文章(治)"/>
    <w:basedOn w:val="1"/>
    <w:qFormat/>
    <w:uiPriority w:val="0"/>
    <w:pPr>
      <w:spacing w:line="520" w:lineRule="exact"/>
      <w:ind w:firstLine="480" w:firstLineChars="200"/>
    </w:pPr>
    <w:rPr>
      <w:rFonts w:ascii="宋体" w:hAnsi="宋体"/>
      <w:snapToGrid w:val="0"/>
      <w:sz w:val="24"/>
    </w:rPr>
  </w:style>
  <w:style w:type="paragraph" w:customStyle="1" w:styleId="103">
    <w:name w:val="图像"/>
    <w:basedOn w:val="1"/>
    <w:qFormat/>
    <w:uiPriority w:val="0"/>
    <w:pPr>
      <w:spacing w:line="440" w:lineRule="atLeast"/>
      <w:jc w:val="center"/>
    </w:pPr>
    <w:rPr>
      <w:rFonts w:cs="宋体"/>
      <w:b/>
      <w:sz w:val="24"/>
    </w:rPr>
  </w:style>
  <w:style w:type="paragraph" w:customStyle="1" w:styleId="104">
    <w:name w:val="bw1"/>
    <w:basedOn w:val="1"/>
    <w:qFormat/>
    <w:uiPriority w:val="0"/>
    <w:pPr>
      <w:widowControl w:val="0"/>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styleId="105">
    <w:name w:val="No Spacing"/>
    <w:qFormat/>
    <w:uiPriority w:val="99"/>
    <w:rPr>
      <w:rFonts w:ascii="Times New Roman" w:hAnsi="Times New Roman" w:eastAsia="宋体" w:cs="Times New Roman"/>
      <w:kern w:val="2"/>
      <w:sz w:val="21"/>
      <w:lang w:val="en-US" w:eastAsia="zh-CN" w:bidi="ar-SA"/>
    </w:rPr>
  </w:style>
  <w:style w:type="paragraph" w:customStyle="1" w:styleId="106">
    <w:name w:val="图头"/>
    <w:basedOn w:val="1"/>
    <w:qFormat/>
    <w:uiPriority w:val="0"/>
    <w:pPr>
      <w:widowControl w:val="0"/>
      <w:spacing w:line="360" w:lineRule="auto"/>
      <w:jc w:val="center"/>
    </w:pPr>
    <w:rPr>
      <w:rFonts w:ascii="宋体" w:hAnsi="宋体" w:cs="宋体"/>
      <w:b/>
      <w:sz w:val="24"/>
    </w:rPr>
  </w:style>
  <w:style w:type="paragraph" w:customStyle="1" w:styleId="107">
    <w:name w:val="xl52"/>
    <w:basedOn w:val="1"/>
    <w:qFormat/>
    <w:uiPriority w:val="0"/>
    <w:pPr>
      <w:widowControl/>
      <w:pBdr>
        <w:left w:val="single" w:color="auto" w:sz="8" w:space="0"/>
      </w:pBdr>
      <w:spacing w:before="100" w:beforeLines="0" w:beforeAutospacing="1" w:after="100" w:afterLines="0" w:afterAutospacing="1"/>
      <w:jc w:val="center"/>
      <w:textAlignment w:val="center"/>
    </w:pPr>
    <w:rPr>
      <w:rFonts w:ascii="Arial Unicode MS" w:hAnsi="Arial Unicode MS" w:eastAsia="Arial Unicode MS" w:cs="Arial Unicode MS"/>
      <w:kern w:val="0"/>
      <w:sz w:val="24"/>
      <w:szCs w:val="24"/>
    </w:rPr>
  </w:style>
  <w:style w:type="paragraph" w:customStyle="1" w:styleId="108">
    <w:name w:val="表文字"/>
    <w:basedOn w:val="109"/>
    <w:next w:val="109"/>
    <w:qFormat/>
    <w:uiPriority w:val="0"/>
    <w:rPr>
      <w:rFonts w:cs="Times New Roman"/>
      <w:color w:val="auto"/>
    </w:rPr>
  </w:style>
  <w:style w:type="paragraph" w:customStyle="1" w:styleId="10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Char Char Char Char Char Char Char Char Char Char Char Char Char Char Char Char Char Char Char Char Char Char"/>
    <w:basedOn w:val="1"/>
    <w:qFormat/>
    <w:uiPriority w:val="0"/>
    <w:rPr>
      <w:rFonts w:ascii="宋体" w:hAnsi="宋体" w:eastAsia="仿宋_GB2312" w:cs="Courier New"/>
      <w:sz w:val="32"/>
      <w:szCs w:val="32"/>
    </w:rPr>
  </w:style>
  <w:style w:type="paragraph" w:customStyle="1" w:styleId="111">
    <w:name w:val="标题2"/>
    <w:basedOn w:val="1"/>
    <w:next w:val="9"/>
    <w:qFormat/>
    <w:uiPriority w:val="0"/>
    <w:pPr>
      <w:numPr>
        <w:ilvl w:val="1"/>
        <w:numId w:val="1"/>
      </w:numPr>
      <w:spacing w:line="360" w:lineRule="auto"/>
    </w:pPr>
    <w:rPr>
      <w:rFonts w:eastAsia="黑体"/>
      <w:sz w:val="30"/>
      <w:szCs w:val="24"/>
    </w:rPr>
  </w:style>
  <w:style w:type="paragraph" w:customStyle="1" w:styleId="112">
    <w:name w:val="0正文"/>
    <w:basedOn w:val="1"/>
    <w:qFormat/>
    <w:uiPriority w:val="0"/>
    <w:pPr>
      <w:spacing w:line="460" w:lineRule="exact"/>
      <w:ind w:firstLine="200"/>
    </w:pPr>
    <w:rPr>
      <w:rFonts w:cs="Times New Roman"/>
      <w:color w:val="000000"/>
      <w:sz w:val="26"/>
      <w:szCs w:val="26"/>
    </w:rPr>
  </w:style>
  <w:style w:type="paragraph" w:customStyle="1" w:styleId="113">
    <w:name w:val="行文"/>
    <w:basedOn w:val="1"/>
    <w:qFormat/>
    <w:uiPriority w:val="0"/>
    <w:pPr>
      <w:spacing w:line="460" w:lineRule="exact"/>
      <w:ind w:firstLine="640" w:firstLineChars="200"/>
    </w:pPr>
    <w:rPr>
      <w:kern w:val="0"/>
      <w:sz w:val="26"/>
    </w:rPr>
  </w:style>
  <w:style w:type="paragraph" w:customStyle="1" w:styleId="114">
    <w:name w:val="+正文 Char Char2 Char Char"/>
    <w:basedOn w:val="1"/>
    <w:qFormat/>
    <w:uiPriority w:val="0"/>
    <w:pPr>
      <w:jc w:val="both"/>
    </w:pPr>
    <w:rPr>
      <w:rFonts w:ascii="Calibri" w:hAnsi="Calibri"/>
      <w:kern w:val="0"/>
      <w:sz w:val="24"/>
      <w:szCs w:val="28"/>
    </w:rPr>
  </w:style>
  <w:style w:type="paragraph" w:customStyle="1" w:styleId="115">
    <w:name w:val="01"/>
    <w:basedOn w:val="1"/>
    <w:qFormat/>
    <w:uiPriority w:val="0"/>
    <w:pPr>
      <w:spacing w:line="520" w:lineRule="exact"/>
    </w:pPr>
    <w:rPr>
      <w:rFonts w:ascii="黑体" w:hAnsi="Dutch801 Rm BT" w:eastAsia="黑体" w:cs="Dutch801 Rm BT"/>
      <w:b/>
      <w:color w:val="000000"/>
      <w:sz w:val="24"/>
      <w:szCs w:val="24"/>
    </w:rPr>
  </w:style>
  <w:style w:type="paragraph" w:customStyle="1" w:styleId="116">
    <w:name w:val="xl31"/>
    <w:basedOn w:val="1"/>
    <w:qFormat/>
    <w:uiPriority w:val="0"/>
    <w:pPr>
      <w:widowControl/>
      <w:spacing w:before="100" w:beforeLines="0" w:beforeAutospacing="1" w:after="100" w:afterLines="0" w:afterAutospacing="1"/>
      <w:jc w:val="center"/>
    </w:pPr>
    <w:rPr>
      <w:rFonts w:cs="Dutch801 Rm BT"/>
      <w:kern w:val="0"/>
      <w:sz w:val="24"/>
      <w:szCs w:val="24"/>
    </w:rPr>
  </w:style>
  <w:style w:type="paragraph" w:customStyle="1" w:styleId="117">
    <w:name w:val="表格内文字"/>
    <w:basedOn w:val="1"/>
    <w:qFormat/>
    <w:uiPriority w:val="0"/>
    <w:pPr>
      <w:spacing w:line="240" w:lineRule="auto"/>
      <w:jc w:val="center"/>
    </w:pPr>
    <w:rPr>
      <w:rFonts w:ascii="Times New Roman" w:hAnsi="Times New Roman" w:cs="Times New Roman"/>
      <w:kern w:val="0"/>
      <w:szCs w:val="21"/>
    </w:rPr>
  </w:style>
  <w:style w:type="paragraph" w:customStyle="1" w:styleId="118">
    <w:name w:val="样式 首行缩进:  2 字符"/>
    <w:basedOn w:val="1"/>
    <w:qFormat/>
    <w:uiPriority w:val="0"/>
    <w:pPr>
      <w:spacing w:line="360" w:lineRule="auto"/>
      <w:ind w:firstLine="200" w:firstLineChars="200"/>
    </w:pPr>
    <w:rPr>
      <w:rFonts w:cs="宋体"/>
      <w:b/>
      <w:bCs/>
      <w:sz w:val="24"/>
    </w:rPr>
  </w:style>
  <w:style w:type="paragraph" w:customStyle="1" w:styleId="119">
    <w:name w:val="表字"/>
    <w:basedOn w:val="1"/>
    <w:qFormat/>
    <w:uiPriority w:val="0"/>
    <w:pPr>
      <w:widowControl w:val="0"/>
      <w:spacing w:line="360" w:lineRule="auto"/>
      <w:jc w:val="center"/>
    </w:pPr>
    <w:rPr>
      <w:rFonts w:cs="宋体"/>
      <w:szCs w:val="21"/>
    </w:rPr>
  </w:style>
  <w:style w:type="paragraph" w:customStyle="1" w:styleId="120">
    <w:name w:val="Normal (Web)"/>
    <w:basedOn w:val="1"/>
    <w:qFormat/>
    <w:uiPriority w:val="0"/>
    <w:pPr>
      <w:spacing w:before="100" w:beforeAutospacing="1" w:after="100" w:afterAutospacing="1"/>
    </w:pPr>
    <w:rPr>
      <w:rFonts w:ascii="宋体" w:hAnsi="宋体" w:cs="宋体"/>
      <w:kern w:val="0"/>
      <w:sz w:val="24"/>
      <w:szCs w:val="24"/>
    </w:rPr>
  </w:style>
  <w:style w:type="paragraph" w:customStyle="1" w:styleId="121">
    <w:name w:val="报表内容"/>
    <w:qFormat/>
    <w:uiPriority w:val="1"/>
    <w:pPr>
      <w:widowControl w:val="0"/>
      <w:spacing w:line="260" w:lineRule="exact"/>
      <w:jc w:val="center"/>
    </w:pPr>
    <w:rPr>
      <w:rFonts w:ascii="Times New Roman" w:hAnsi="Times New Roman" w:eastAsia="宋体" w:cs="Times New Roman"/>
      <w:kern w:val="2"/>
      <w:sz w:val="18"/>
      <w:szCs w:val="22"/>
      <w:lang w:val="en-US" w:eastAsia="zh-CN" w:bidi="ar-SA"/>
    </w:rPr>
  </w:style>
  <w:style w:type="paragraph" w:customStyle="1" w:styleId="122">
    <w:name w:val="样式34"/>
    <w:basedOn w:val="1"/>
    <w:qFormat/>
    <w:uiPriority w:val="0"/>
    <w:pPr>
      <w:adjustRightInd w:val="0"/>
      <w:snapToGrid w:val="0"/>
      <w:spacing w:line="352" w:lineRule="auto"/>
      <w:ind w:firstLine="200" w:firstLineChars="200"/>
    </w:pPr>
    <w:rPr>
      <w:rFonts w:ascii="宋体" w:hAnsi="宋体" w:eastAsia="仿宋_GB2312"/>
      <w:sz w:val="28"/>
      <w:szCs w:val="28"/>
    </w:rPr>
  </w:style>
  <w:style w:type="paragraph" w:customStyle="1" w:styleId="123">
    <w:name w:val="样式 正文首行缩进 2 + 首行缩进:  2 字符"/>
    <w:basedOn w:val="32"/>
    <w:qFormat/>
    <w:uiPriority w:val="0"/>
    <w:pPr>
      <w:widowControl w:val="0"/>
      <w:spacing w:after="0" w:line="360" w:lineRule="auto"/>
      <w:ind w:left="0" w:leftChars="0" w:firstLine="480"/>
      <w:jc w:val="both"/>
    </w:pPr>
    <w:rPr>
      <w:rFonts w:cs="宋体"/>
      <w:sz w:val="24"/>
    </w:rPr>
  </w:style>
  <w:style w:type="paragraph" w:customStyle="1" w:styleId="124">
    <w:name w:val="文本，表头"/>
    <w:basedOn w:val="1"/>
    <w:qFormat/>
    <w:uiPriority w:val="0"/>
    <w:pPr>
      <w:spacing w:before="120" w:line="240" w:lineRule="auto"/>
      <w:jc w:val="center"/>
    </w:pPr>
    <w:rPr>
      <w:rFonts w:cs="宋体"/>
      <w:sz w:val="26"/>
      <w:szCs w:val="20"/>
    </w:rPr>
  </w:style>
  <w:style w:type="paragraph" w:customStyle="1" w:styleId="125">
    <w:name w:val="公正文"/>
    <w:basedOn w:val="9"/>
    <w:qFormat/>
    <w:uiPriority w:val="0"/>
    <w:pPr>
      <w:adjustRightInd w:val="0"/>
      <w:snapToGrid w:val="0"/>
      <w:spacing w:line="355" w:lineRule="auto"/>
      <w:ind w:firstLine="200"/>
    </w:pPr>
    <w:rPr>
      <w:rFonts w:ascii="宋体" w:hAnsi="宋体" w:eastAsia="仿宋_GB2312"/>
      <w:sz w:val="28"/>
    </w:rPr>
  </w:style>
  <w:style w:type="paragraph" w:customStyle="1" w:styleId="126">
    <w:name w:val=" Char4 Char Char Char"/>
    <w:basedOn w:val="1"/>
    <w:qFormat/>
    <w:uiPriority w:val="0"/>
    <w:pPr>
      <w:adjustRightInd w:val="0"/>
      <w:snapToGrid w:val="0"/>
      <w:spacing w:line="360" w:lineRule="auto"/>
      <w:ind w:firstLine="200" w:firstLineChars="200"/>
    </w:pPr>
  </w:style>
  <w:style w:type="paragraph" w:customStyle="1" w:styleId="127">
    <w:name w:val="样式6"/>
    <w:basedOn w:val="1"/>
    <w:qFormat/>
    <w:uiPriority w:val="0"/>
    <w:pPr>
      <w:widowControl w:val="0"/>
      <w:adjustRightInd w:val="0"/>
      <w:snapToGrid w:val="0"/>
      <w:spacing w:beforeLines="50" w:line="480" w:lineRule="exact"/>
      <w:jc w:val="center"/>
      <w:outlineLvl w:val="4"/>
    </w:pPr>
    <w:rPr>
      <w:rFonts w:hAnsi="宋体"/>
      <w:sz w:val="26"/>
      <w:szCs w:val="26"/>
    </w:rPr>
  </w:style>
  <w:style w:type="paragraph" w:customStyle="1" w:styleId="128">
    <w:name w:val="表内字"/>
    <w:qFormat/>
    <w:uiPriority w:val="0"/>
    <w:pPr>
      <w:widowControl w:val="0"/>
      <w:autoSpaceDE w:val="0"/>
      <w:autoSpaceDN w:val="0"/>
      <w:adjustRightInd w:val="0"/>
      <w:snapToGrid w:val="0"/>
      <w:spacing w:line="288" w:lineRule="auto"/>
      <w:jc w:val="center"/>
    </w:pPr>
    <w:rPr>
      <w:rFonts w:ascii="Times New Roman" w:hAnsi="Times New Roman" w:eastAsia="宋体" w:cs="Times New Roman"/>
      <w:sz w:val="21"/>
      <w:szCs w:val="21"/>
      <w:lang w:val="en-US" w:eastAsia="zh-CN" w:bidi="ar-SA"/>
    </w:rPr>
  </w:style>
  <w:style w:type="paragraph" w:customStyle="1" w:styleId="129">
    <w:name w:val="_Style 128"/>
    <w:unhideWhenUsed/>
    <w:qFormat/>
    <w:uiPriority w:val="99"/>
    <w:rPr>
      <w:rFonts w:ascii="Times New Roman" w:hAnsi="Times New Roman" w:eastAsia="宋体" w:cs="Times New Roman"/>
      <w:kern w:val="2"/>
      <w:sz w:val="21"/>
      <w:lang w:val="en-US" w:eastAsia="zh-CN" w:bidi="ar-SA"/>
    </w:rPr>
  </w:style>
  <w:style w:type="paragraph" w:customStyle="1" w:styleId="130">
    <w:name w:val="3级标题定"/>
    <w:basedOn w:val="1"/>
    <w:qFormat/>
    <w:uiPriority w:val="0"/>
    <w:pPr>
      <w:widowControl w:val="0"/>
      <w:tabs>
        <w:tab w:val="left" w:pos="720"/>
      </w:tabs>
      <w:spacing w:before="165" w:beforeLines="50" w:after="165" w:afterLines="50" w:line="360" w:lineRule="auto"/>
      <w:outlineLvl w:val="2"/>
    </w:pPr>
    <w:rPr>
      <w:rFonts w:ascii="仿宋_GB2312" w:hAnsi="仿宋_GB2312" w:eastAsia="仿宋_GB2312" w:cs="宋体"/>
      <w:b/>
      <w:bCs/>
      <w:sz w:val="28"/>
    </w:rPr>
  </w:style>
  <w:style w:type="paragraph" w:customStyle="1" w:styleId="131">
    <w:name w:val="_Style 130"/>
    <w:basedOn w:val="3"/>
    <w:next w:val="1"/>
    <w:qFormat/>
    <w:uiPriority w:val="39"/>
    <w:pPr>
      <w:keepLines/>
      <w:widowControl/>
      <w:spacing w:before="240" w:line="259" w:lineRule="auto"/>
      <w:jc w:val="left"/>
      <w:outlineLvl w:val="9"/>
    </w:pPr>
    <w:rPr>
      <w:rFonts w:ascii="Calibri Light" w:hAnsi="Calibri Light" w:eastAsia="宋体" w:cs="Times New Roman"/>
      <w:b w:val="0"/>
      <w:color w:val="2E74B5"/>
      <w:kern w:val="0"/>
      <w:szCs w:val="32"/>
    </w:rPr>
  </w:style>
  <w:style w:type="paragraph" w:customStyle="1" w:styleId="132">
    <w:name w:val="xyb自建正文"/>
    <w:basedOn w:val="1"/>
    <w:qFormat/>
    <w:uiPriority w:val="0"/>
    <w:pPr>
      <w:spacing w:line="360" w:lineRule="auto"/>
      <w:ind w:firstLine="200" w:firstLineChars="200"/>
      <w:textAlignment w:val="baseline"/>
    </w:pPr>
    <w:rPr>
      <w:snapToGrid w:val="0"/>
      <w:kern w:val="0"/>
      <w:sz w:val="24"/>
    </w:rPr>
  </w:style>
  <w:style w:type="paragraph" w:customStyle="1" w:styleId="133">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134">
    <w:name w:val="样式2"/>
    <w:basedOn w:val="1"/>
    <w:qFormat/>
    <w:uiPriority w:val="0"/>
    <w:pPr>
      <w:autoSpaceDE w:val="0"/>
      <w:autoSpaceDN w:val="0"/>
      <w:adjustRightInd w:val="0"/>
      <w:spacing w:line="480" w:lineRule="exact"/>
      <w:jc w:val="center"/>
    </w:pPr>
    <w:rPr>
      <w:kern w:val="0"/>
      <w:sz w:val="24"/>
    </w:rPr>
  </w:style>
  <w:style w:type="paragraph" w:customStyle="1" w:styleId="135">
    <w:name w:val="样式 表格表格 + 段前: 0.5 行 段后: 0.5 行"/>
    <w:basedOn w:val="1"/>
    <w:semiHidden/>
    <w:qFormat/>
    <w:uiPriority w:val="0"/>
    <w:pPr>
      <w:spacing w:before="145" w:beforeLines="50" w:after="145" w:afterLines="50"/>
      <w:jc w:val="center"/>
    </w:pPr>
    <w:rPr>
      <w:rFonts w:ascii="仿宋_GB2312" w:hAnsi="仿宋_GB2312" w:eastAsia="仿宋_GB2312" w:cs="宋体"/>
      <w:sz w:val="28"/>
    </w:rPr>
  </w:style>
  <w:style w:type="paragraph" w:customStyle="1" w:styleId="136">
    <w:name w:val="Table Paragraph"/>
    <w:basedOn w:val="1"/>
    <w:qFormat/>
    <w:uiPriority w:val="0"/>
    <w:pPr>
      <w:widowControl w:val="0"/>
      <w:autoSpaceDE w:val="0"/>
      <w:autoSpaceDN w:val="0"/>
    </w:pPr>
    <w:rPr>
      <w:rFonts w:ascii="宋体" w:hAnsi="宋体" w:cs="宋体"/>
      <w:kern w:val="0"/>
      <w:sz w:val="22"/>
      <w:szCs w:val="22"/>
    </w:rPr>
  </w:style>
  <w:style w:type="paragraph" w:customStyle="1" w:styleId="137">
    <w:name w:val="Plain Text"/>
    <w:basedOn w:val="1"/>
    <w:qFormat/>
    <w:uiPriority w:val="0"/>
    <w:pPr>
      <w:widowControl w:val="0"/>
      <w:jc w:val="both"/>
    </w:pPr>
    <w:rPr>
      <w:rFonts w:ascii="宋体" w:hAnsi="Courier New"/>
    </w:rPr>
  </w:style>
  <w:style w:type="paragraph" w:customStyle="1" w:styleId="138">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139">
    <w:name w:val="Body Text Indent 2"/>
    <w:basedOn w:val="1"/>
    <w:qFormat/>
    <w:uiPriority w:val="0"/>
    <w:pPr>
      <w:widowControl w:val="0"/>
      <w:adjustRightInd w:val="0"/>
      <w:spacing w:line="312" w:lineRule="atLeast"/>
      <w:ind w:firstLine="570"/>
      <w:jc w:val="distribute"/>
      <w:textAlignment w:val="baseline"/>
    </w:pPr>
    <w:rPr>
      <w:rFonts w:eastAsia="仿宋_GB2312"/>
      <w:kern w:val="0"/>
      <w:sz w:val="28"/>
    </w:rPr>
  </w:style>
  <w:style w:type="table" w:customStyle="1" w:styleId="140">
    <w:name w:val="111"/>
    <w:basedOn w:val="33"/>
    <w:qFormat/>
    <w:uiPriority w:val="99"/>
    <w:pPr>
      <w:jc w:val="both"/>
    </w:pPr>
    <w:tblPr>
      <w:jc w:val="center"/>
      <w:tblBorders>
        <w:top w:val="single" w:color="auto" w:sz="12" w:space="0"/>
        <w:bottom w:val="single" w:color="auto" w:sz="12" w:space="0"/>
        <w:insideH w:val="single" w:color="auto" w:sz="2" w:space="0"/>
        <w:insideV w:val="single" w:color="auto" w:sz="2" w:space="0"/>
      </w:tblBorders>
    </w:tblPr>
    <w:trPr>
      <w:jc w:val="center"/>
    </w:trPr>
    <w:tcPr>
      <w:vAlign w:val="center"/>
    </w:tcPr>
  </w:style>
  <w:style w:type="table" w:customStyle="1" w:styleId="141">
    <w:name w:val="常规1"/>
    <w:basedOn w:val="33"/>
    <w:qFormat/>
    <w:uiPriority w:val="0"/>
    <w:pPr>
      <w:textAlignment w:val="center"/>
    </w:pPr>
    <w:rPr>
      <w:rFonts w:ascii="宋体" w:hAnsi="宋体" w:eastAsia="宋体" w:cs="宋体"/>
      <w:color w:val="auto"/>
      <w:sz w:val="24"/>
      <w:szCs w:val="24"/>
      <w:u w:val="none"/>
    </w:rPr>
    <w:tcPr>
      <w:vAlign w:val="center"/>
    </w:tcPr>
  </w:style>
  <w:style w:type="table" w:customStyle="1" w:styleId="142">
    <w:name w:val="样式3"/>
    <w:basedOn w:val="33"/>
    <w:qFormat/>
    <w:uiPriority w:val="99"/>
    <w:tblPr>
      <w:tblBorders>
        <w:top w:val="single" w:color="auto" w:sz="12" w:space="0"/>
        <w:left w:val="single" w:color="auto" w:sz="12" w:space="0"/>
        <w:bottom w:val="single" w:color="auto" w:sz="12" w:space="0"/>
        <w:right w:val="single" w:color="auto" w:sz="12" w:space="0"/>
      </w:tblBorders>
    </w:tblPr>
  </w:style>
  <w:style w:type="table" w:customStyle="1" w:styleId="143">
    <w:name w:val="_Style 142"/>
    <w:basedOn w:val="33"/>
    <w:qFormat/>
    <w:uiPriority w:val="45"/>
    <w:tblStylePr w:type="firstRow">
      <w:rPr>
        <w:rFonts w:eastAsia="Tahoma" w:cs="Times New Roman"/>
        <w:i/>
        <w:iCs/>
        <w:sz w:val="26"/>
      </w:rPr>
      <w:tcPr>
        <w:tcBorders>
          <w:top w:val="nil"/>
          <w:left w:val="single" w:color="7F7F7F" w:sz="4" w:space="0"/>
          <w:bottom w:val="nil"/>
          <w:right w:val="nil"/>
          <w:insideH w:val="nil"/>
          <w:insideV w:val="nil"/>
          <w:tl2br w:val="nil"/>
          <w:tr2bl w:val="nil"/>
        </w:tcBorders>
        <w:shd w:val="clear" w:color="auto" w:fill="FFFFFF"/>
      </w:tcPr>
    </w:tblStylePr>
    <w:tblStylePr w:type="lastRow">
      <w:rPr>
        <w:rFonts w:eastAsia="Tahoma" w:cs="Times New Roman"/>
        <w:i/>
        <w:iCs/>
        <w:sz w:val="26"/>
      </w:rPr>
      <w:tcPr>
        <w:tcBorders>
          <w:top w:val="single" w:color="7F7F7F" w:sz="4" w:space="0"/>
          <w:left w:val="nil"/>
          <w:bottom w:val="nil"/>
          <w:right w:val="nil"/>
          <w:insideH w:val="nil"/>
          <w:insideV w:val="nil"/>
          <w:tl2br w:val="nil"/>
          <w:tr2bl w:val="nil"/>
        </w:tcBorders>
        <w:shd w:val="clear" w:color="auto" w:fill="FFFFFF"/>
      </w:tcPr>
    </w:tblStylePr>
    <w:tblStylePr w:type="firstCol">
      <w:pPr>
        <w:jc w:val="right"/>
      </w:pPr>
      <w:rPr>
        <w:rFonts w:eastAsia="Tahoma" w:cs="Times New Roman"/>
        <w:i/>
        <w:iCs/>
        <w:sz w:val="26"/>
      </w:rPr>
      <w:tcPr>
        <w:tcBorders>
          <w:top w:val="nil"/>
          <w:left w:val="nil"/>
          <w:bottom w:val="nil"/>
          <w:right w:val="single" w:color="7F7F7F" w:sz="4" w:space="0"/>
          <w:insideH w:val="nil"/>
          <w:insideV w:val="nil"/>
          <w:tl2br w:val="nil"/>
          <w:tr2bl w:val="nil"/>
        </w:tcBorders>
        <w:shd w:val="clear" w:color="auto" w:fill="FFFFFF"/>
      </w:tcPr>
    </w:tblStylePr>
    <w:tblStylePr w:type="lastCol">
      <w:rPr>
        <w:rFonts w:eastAsia="Tahoma" w:cs="Times New Roman"/>
        <w:i/>
        <w:iCs/>
        <w:sz w:val="26"/>
      </w:rPr>
      <w:tcPr>
        <w:tcBorders>
          <w:top w:val="nil"/>
          <w:left w:val="nil"/>
          <w:bottom w:val="single" w:color="7F7F7F" w:sz="4" w:space="0"/>
          <w:right w:val="nil"/>
          <w:insideH w:val="nil"/>
          <w:insideV w:val="nil"/>
          <w:tl2br w:val="nil"/>
          <w:tr2bl w:val="nil"/>
        </w:tcBorders>
        <w:shd w:val="clear" w:color="auto" w:fill="FFFFFF"/>
      </w:tcPr>
    </w:tblStylePr>
    <w:tblStylePr w:type="band1Vert">
      <w:tcPr>
        <w:shd w:val="clear" w:color="auto" w:fill="F2F2F2"/>
      </w:tcPr>
    </w:tblStylePr>
    <w:tblStylePr w:type="band1Horz">
      <w:tcPr>
        <w:shd w:val="clear" w:color="auto" w:fill="F2F2F2"/>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tcPr>
        <w:tcBorders>
          <w:top w:val="nil"/>
          <w:left w:val="nil"/>
          <w:bottom w:val="nil"/>
          <w:right w:val="nil"/>
          <w:insideH w:val="nil"/>
          <w:insideV w:val="nil"/>
          <w:tl2br w:val="nil"/>
          <w:tr2bl w:val="nil"/>
        </w:tcBorders>
      </w:tcPr>
    </w:tblStylePr>
  </w:style>
  <w:style w:type="paragraph" w:customStyle="1" w:styleId="144">
    <w:name w:val="_Style 1"/>
    <w:basedOn w:val="1"/>
    <w:qFormat/>
    <w:uiPriority w:val="1"/>
    <w:rPr>
      <w:szCs w:val="32"/>
    </w:rPr>
  </w:style>
  <w:style w:type="paragraph" w:customStyle="1" w:styleId="145">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6">
    <w:name w:val="正文 首行缩进:  2 字符"/>
    <w:basedOn w:val="1"/>
    <w:qFormat/>
    <w:uiPriority w:val="0"/>
    <w:rPr>
      <w:rFonts w:ascii="Calibri" w:hAnsi="Calibri" w:cs="宋体"/>
      <w:szCs w:val="20"/>
    </w:rPr>
  </w:style>
  <w:style w:type="character" w:customStyle="1" w:styleId="147">
    <w:name w:val="fontstyle01"/>
    <w:basedOn w:val="36"/>
    <w:qFormat/>
    <w:uiPriority w:val="0"/>
    <w:rPr>
      <w:rFonts w:hint="default" w:ascii="仿宋" w:hAnsi="仿宋"/>
      <w:color w:val="000000"/>
      <w:sz w:val="28"/>
      <w:szCs w:val="28"/>
    </w:rPr>
  </w:style>
  <w:style w:type="paragraph" w:customStyle="1" w:styleId="148">
    <w:name w:val="正文   1"/>
    <w:basedOn w:val="1"/>
    <w:qFormat/>
    <w:uiPriority w:val="0"/>
    <w:pPr>
      <w:snapToGrid w:val="0"/>
      <w:spacing w:line="460" w:lineRule="atLeast"/>
      <w:ind w:firstLine="520" w:firstLineChars="200"/>
    </w:pPr>
    <w:rPr>
      <w:bCs/>
      <w:sz w:val="26"/>
    </w:rPr>
  </w:style>
  <w:style w:type="paragraph" w:customStyle="1" w:styleId="149">
    <w:name w:val="表内字1"/>
    <w:basedOn w:val="1"/>
    <w:qFormat/>
    <w:uiPriority w:val="0"/>
    <w:pPr>
      <w:adjustRightInd w:val="0"/>
      <w:snapToGrid w:val="0"/>
      <w:spacing w:line="300" w:lineRule="exact"/>
      <w:jc w:val="center"/>
    </w:pPr>
    <w:rPr>
      <w:color w:val="000000"/>
      <w:sz w:val="22"/>
      <w:szCs w:val="21"/>
    </w:rPr>
  </w:style>
  <w:style w:type="character" w:customStyle="1" w:styleId="150">
    <w:name w:val="font21"/>
    <w:basedOn w:val="36"/>
    <w:qFormat/>
    <w:uiPriority w:val="0"/>
    <w:rPr>
      <w:rFonts w:hint="default" w:ascii="tggj" w:hAnsi="tggj" w:eastAsia="tggj" w:cs="tggj"/>
      <w:color w:val="000000"/>
      <w:sz w:val="22"/>
      <w:szCs w:val="22"/>
      <w:u w:val="none"/>
    </w:rPr>
  </w:style>
  <w:style w:type="character" w:customStyle="1" w:styleId="151">
    <w:name w:val="样式 宋体 小三"/>
    <w:qFormat/>
    <w:uiPriority w:val="0"/>
    <w:rPr>
      <w:rFonts w:ascii="宋体" w:hAnsi="宋体"/>
      <w:sz w:val="28"/>
    </w:rPr>
  </w:style>
  <w:style w:type="paragraph" w:customStyle="1" w:styleId="152">
    <w:name w:val="表格222"/>
    <w:basedOn w:val="1"/>
    <w:qFormat/>
    <w:uiPriority w:val="0"/>
    <w:pPr>
      <w:adjustRightInd w:val="0"/>
      <w:snapToGrid w:val="0"/>
      <w:spacing w:line="320" w:lineRule="exact"/>
      <w:jc w:val="center"/>
    </w:pPr>
    <w:rPr>
      <w:rFonts w:asciiTheme="minorHAnsi" w:hAnsiTheme="minorHAnsi" w:eastAsiaTheme="minorEastAsia" w:cstheme="minorBidi"/>
      <w:kern w:val="10"/>
      <w:sz w:val="22"/>
      <w:szCs w:val="24"/>
    </w:rPr>
  </w:style>
  <w:style w:type="paragraph" w:customStyle="1" w:styleId="153">
    <w:name w:val="标题   22"/>
    <w:basedOn w:val="1"/>
    <w:next w:val="148"/>
    <w:qFormat/>
    <w:uiPriority w:val="0"/>
    <w:pPr>
      <w:spacing w:line="500" w:lineRule="exact"/>
      <w:outlineLvl w:val="1"/>
    </w:pPr>
    <w:rPr>
      <w:b/>
      <w:bCs/>
      <w:color w:val="000000"/>
      <w:sz w:val="26"/>
    </w:rPr>
  </w:style>
  <w:style w:type="paragraph" w:customStyle="1" w:styleId="154">
    <w:name w:val="标题  33"/>
    <w:basedOn w:val="148"/>
    <w:next w:val="148"/>
    <w:qFormat/>
    <w:uiPriority w:val="0"/>
    <w:pPr>
      <w:ind w:firstLine="0" w:firstLineChars="0"/>
    </w:pPr>
    <w:rPr>
      <w:b/>
    </w:rPr>
  </w:style>
  <w:style w:type="paragraph" w:customStyle="1" w:styleId="155">
    <w:name w:val="纯文本1"/>
    <w:basedOn w:val="1"/>
    <w:qFormat/>
    <w:uiPriority w:val="0"/>
    <w:pPr>
      <w:autoSpaceDE w:val="0"/>
      <w:autoSpaceDN w:val="0"/>
      <w:adjustRightInd w:val="0"/>
      <w:textAlignment w:val="baseline"/>
    </w:pPr>
    <w:rPr>
      <w:rFonts w:ascii="宋体" w:eastAsia="仿宋_GB2312"/>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23866</Words>
  <Characters>31039</Characters>
  <Lines>217</Lines>
  <Paragraphs>61</Paragraphs>
  <TotalTime>0</TotalTime>
  <ScaleCrop>false</ScaleCrop>
  <LinksUpToDate>false</LinksUpToDate>
  <CharactersWithSpaces>31293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2021-08-17T08:13:00Z</dcterms:created>
  <dc:creator>Administrator</dc:creator>
  <cp:lastModifiedBy>syzx</cp:lastModifiedBy>
  <cp:lastPrinted>2021-04-19T01:57:00Z</cp:lastPrinted>
  <dcterms:modified xsi:type="dcterms:W3CDTF">2022-11-02T08:34:34Z</dcterms:modified>
  <dc:title>混凝土搅拌站</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8897525D55B74F998AD11DEAE5C67C1B</vt:lpwstr>
  </property>
</Properties>
</file>