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1A7E36">
      <w:pPr>
        <w:spacing w:line="360" w:lineRule="auto"/>
        <w:jc w:val="center"/>
        <w:rPr>
          <w:b/>
          <w:sz w:val="36"/>
          <w:szCs w:val="36"/>
        </w:rPr>
      </w:pPr>
      <w:bookmarkStart w:id="0" w:name="_Toc513474938"/>
      <w:bookmarkStart w:id="1" w:name="_Hlk512197429"/>
    </w:p>
    <w:p w14:paraId="7868B415">
      <w:pPr>
        <w:spacing w:line="360" w:lineRule="auto"/>
        <w:jc w:val="center"/>
        <w:rPr>
          <w:b/>
          <w:sz w:val="36"/>
          <w:szCs w:val="36"/>
        </w:rPr>
      </w:pPr>
    </w:p>
    <w:p w14:paraId="74C2B680">
      <w:pPr>
        <w:spacing w:before="468" w:beforeLines="150" w:after="468" w:afterLines="150" w:line="360" w:lineRule="auto"/>
        <w:jc w:val="center"/>
        <w:rPr>
          <w:b/>
          <w:sz w:val="48"/>
          <w:szCs w:val="48"/>
        </w:rPr>
      </w:pPr>
      <w:r>
        <w:rPr>
          <w:rFonts w:hint="eastAsia"/>
          <w:b/>
          <w:sz w:val="48"/>
          <w:szCs w:val="48"/>
          <w:lang w:eastAsia="zh-CN"/>
        </w:rPr>
        <w:t>年产新型平板显示器件关键部件和材料（玻璃盖板）3840万片项目（二期工程）</w:t>
      </w:r>
      <w:r>
        <w:rPr>
          <w:b/>
          <w:sz w:val="48"/>
          <w:szCs w:val="48"/>
        </w:rPr>
        <w:t>竣工环境保护验收监测报告</w:t>
      </w:r>
    </w:p>
    <w:p w14:paraId="6CE045BB">
      <w:pPr>
        <w:spacing w:before="468" w:beforeLines="150" w:after="468" w:afterLines="150" w:line="360" w:lineRule="auto"/>
        <w:jc w:val="center"/>
        <w:rPr>
          <w:b/>
          <w:sz w:val="48"/>
          <w:szCs w:val="48"/>
        </w:rPr>
      </w:pPr>
    </w:p>
    <w:p w14:paraId="72E0133D"/>
    <w:p w14:paraId="194EF230"/>
    <w:p w14:paraId="04ADEBFD"/>
    <w:p w14:paraId="1F430681"/>
    <w:p w14:paraId="695D422D"/>
    <w:p w14:paraId="39C0A4D8"/>
    <w:p w14:paraId="2E80CCE9"/>
    <w:p w14:paraId="1E41C357"/>
    <w:p w14:paraId="5BEF9906"/>
    <w:p w14:paraId="11CE72C5"/>
    <w:p w14:paraId="38159F26"/>
    <w:p w14:paraId="30873565"/>
    <w:p w14:paraId="108AB846">
      <w:pPr>
        <w:jc w:val="center"/>
        <w:rPr>
          <w:rFonts w:hint="eastAsia" w:eastAsia="宋体"/>
          <w:b/>
          <w:sz w:val="36"/>
          <w:szCs w:val="36"/>
          <w:lang w:eastAsia="zh-CN"/>
        </w:rPr>
      </w:pPr>
      <w:r>
        <w:rPr>
          <w:b/>
          <w:sz w:val="36"/>
          <w:szCs w:val="36"/>
        </w:rPr>
        <w:t>建设单位:</w:t>
      </w:r>
      <w:r>
        <w:rPr>
          <w:rFonts w:hint="eastAsia"/>
          <w:b/>
          <w:sz w:val="36"/>
          <w:szCs w:val="36"/>
          <w:lang w:eastAsia="zh-CN"/>
        </w:rPr>
        <w:t>重庆京东方晶远科技有限公司</w:t>
      </w:r>
    </w:p>
    <w:p w14:paraId="34CC187E">
      <w:pPr>
        <w:jc w:val="center"/>
        <w:rPr>
          <w:b/>
          <w:sz w:val="36"/>
          <w:szCs w:val="36"/>
        </w:rPr>
      </w:pPr>
      <w:r>
        <w:rPr>
          <w:b/>
          <w:sz w:val="36"/>
          <w:szCs w:val="36"/>
        </w:rPr>
        <w:t>编制单位:</w:t>
      </w:r>
      <w:r>
        <w:rPr>
          <w:rFonts w:hint="eastAsia"/>
          <w:b/>
          <w:sz w:val="36"/>
          <w:szCs w:val="36"/>
        </w:rPr>
        <w:t>重庆惠能标普科技有限公司</w:t>
      </w:r>
    </w:p>
    <w:p w14:paraId="33221197">
      <w:pPr>
        <w:jc w:val="center"/>
        <w:rPr>
          <w:b/>
          <w:sz w:val="36"/>
          <w:szCs w:val="36"/>
        </w:rPr>
      </w:pPr>
    </w:p>
    <w:p w14:paraId="1762FA1B">
      <w:pPr>
        <w:jc w:val="center"/>
        <w:rPr>
          <w:b/>
          <w:sz w:val="36"/>
          <w:szCs w:val="36"/>
        </w:rPr>
      </w:pPr>
      <w:r>
        <w:rPr>
          <w:b/>
          <w:sz w:val="36"/>
          <w:szCs w:val="36"/>
        </w:rPr>
        <w:t>二〇二</w:t>
      </w:r>
      <w:r>
        <w:rPr>
          <w:rFonts w:hint="eastAsia"/>
          <w:b/>
          <w:sz w:val="36"/>
          <w:szCs w:val="36"/>
          <w:lang w:val="en-US" w:eastAsia="zh-CN"/>
        </w:rPr>
        <w:t>五</w:t>
      </w:r>
      <w:r>
        <w:rPr>
          <w:b/>
          <w:sz w:val="36"/>
          <w:szCs w:val="36"/>
        </w:rPr>
        <w:t>年</w:t>
      </w:r>
      <w:r>
        <w:rPr>
          <w:rFonts w:hint="eastAsia"/>
          <w:b/>
          <w:sz w:val="36"/>
          <w:szCs w:val="36"/>
          <w:lang w:val="en-US" w:eastAsia="zh-CN"/>
        </w:rPr>
        <w:t>五</w:t>
      </w:r>
      <w:r>
        <w:rPr>
          <w:b/>
          <w:sz w:val="36"/>
          <w:szCs w:val="36"/>
        </w:rPr>
        <w:t>月</w:t>
      </w:r>
    </w:p>
    <w:p w14:paraId="4A381DC2">
      <w:pPr>
        <w:ind w:left="-1680" w:leftChars="-800"/>
        <w:jc w:val="center"/>
        <w:rPr>
          <w:b/>
          <w:sz w:val="36"/>
          <w:szCs w:val="36"/>
        </w:rPr>
      </w:pPr>
    </w:p>
    <w:p w14:paraId="08BF5702">
      <w:pPr>
        <w:ind w:left="-1680" w:leftChars="-800"/>
        <w:jc w:val="center"/>
        <w:rPr>
          <w:b/>
          <w:sz w:val="36"/>
          <w:szCs w:val="36"/>
        </w:rPr>
      </w:pPr>
    </w:p>
    <w:p w14:paraId="65C59CC3">
      <w:pPr>
        <w:ind w:left="-1680" w:leftChars="-800"/>
        <w:jc w:val="center"/>
        <w:rPr>
          <w:b/>
          <w:sz w:val="36"/>
          <w:szCs w:val="36"/>
        </w:rPr>
      </w:pPr>
    </w:p>
    <w:p w14:paraId="6A0438A5">
      <w:pPr>
        <w:jc w:val="center"/>
        <w:rPr>
          <w:b/>
          <w:sz w:val="36"/>
          <w:szCs w:val="36"/>
        </w:rPr>
      </w:pPr>
    </w:p>
    <w:p w14:paraId="14D4630E">
      <w:pPr>
        <w:jc w:val="center"/>
        <w:rPr>
          <w:b/>
          <w:sz w:val="36"/>
          <w:szCs w:val="36"/>
        </w:rPr>
        <w:sectPr>
          <w:headerReference r:id="rId4" w:type="first"/>
          <w:footerReference r:id="rId7" w:type="first"/>
          <w:headerReference r:id="rId3" w:type="default"/>
          <w:footerReference r:id="rId5" w:type="default"/>
          <w:footerReference r:id="rId6" w:type="even"/>
          <w:pgSz w:w="11906" w:h="16838"/>
          <w:pgMar w:top="1425" w:right="1800" w:bottom="1440" w:left="1800" w:header="851" w:footer="992" w:gutter="0"/>
          <w:pgNumType w:fmt="upperRoman" w:start="1"/>
          <w:cols w:space="720" w:num="1"/>
          <w:titlePg/>
          <w:docGrid w:type="lines" w:linePitch="312" w:charSpace="0"/>
        </w:sectPr>
      </w:pPr>
    </w:p>
    <w:p w14:paraId="32E8DC4A">
      <w:pPr>
        <w:spacing w:before="312" w:beforeLines="100" w:line="360" w:lineRule="auto"/>
        <w:jc w:val="left"/>
        <w:rPr>
          <w:rFonts w:hint="eastAsia"/>
          <w:bCs/>
          <w:sz w:val="32"/>
          <w:szCs w:val="32"/>
          <w:lang w:eastAsia="zh-CN"/>
        </w:rPr>
      </w:pPr>
      <w:r>
        <w:rPr>
          <w:bCs/>
          <w:sz w:val="32"/>
          <w:szCs w:val="32"/>
        </w:rPr>
        <w:t>建设单位法人代表</w:t>
      </w:r>
      <w:r>
        <w:rPr>
          <w:rFonts w:hint="eastAsia"/>
          <w:bCs/>
          <w:sz w:val="32"/>
          <w:szCs w:val="32"/>
        </w:rPr>
        <w:t>：</w:t>
      </w:r>
      <w:r>
        <w:rPr>
          <w:rFonts w:hint="eastAsia"/>
          <w:bCs/>
          <w:sz w:val="32"/>
          <w:szCs w:val="32"/>
          <w:lang w:val="en-US" w:eastAsia="zh-CN"/>
        </w:rPr>
        <w:t>刘文瑞</w:t>
      </w:r>
    </w:p>
    <w:p w14:paraId="2BC98CF3">
      <w:pPr>
        <w:spacing w:before="312" w:beforeLines="100" w:line="360" w:lineRule="auto"/>
        <w:jc w:val="left"/>
        <w:rPr>
          <w:bCs/>
          <w:sz w:val="32"/>
          <w:szCs w:val="32"/>
        </w:rPr>
      </w:pPr>
      <w:r>
        <w:rPr>
          <w:rFonts w:hint="eastAsia"/>
          <w:bCs/>
          <w:sz w:val="32"/>
          <w:szCs w:val="32"/>
        </w:rPr>
        <w:t>编制单位</w:t>
      </w:r>
      <w:r>
        <w:rPr>
          <w:bCs/>
          <w:sz w:val="32"/>
          <w:szCs w:val="32"/>
        </w:rPr>
        <w:t>法人代表</w:t>
      </w:r>
      <w:r>
        <w:rPr>
          <w:rFonts w:hint="eastAsia"/>
          <w:bCs/>
          <w:sz w:val="32"/>
          <w:szCs w:val="32"/>
        </w:rPr>
        <w:t>：赵川</w:t>
      </w:r>
    </w:p>
    <w:p w14:paraId="2A57D24F">
      <w:pPr>
        <w:spacing w:before="312" w:beforeLines="100" w:line="360" w:lineRule="auto"/>
        <w:jc w:val="left"/>
        <w:rPr>
          <w:bCs/>
          <w:sz w:val="32"/>
          <w:szCs w:val="32"/>
        </w:rPr>
      </w:pPr>
      <w:r>
        <w:rPr>
          <w:rFonts w:hint="eastAsia"/>
          <w:bCs/>
          <w:sz w:val="32"/>
          <w:szCs w:val="32"/>
        </w:rPr>
        <w:t>项目负责人：肖玉菡</w:t>
      </w:r>
    </w:p>
    <w:p w14:paraId="062BE8DC">
      <w:pPr>
        <w:spacing w:before="312" w:beforeLines="100" w:line="360" w:lineRule="auto"/>
        <w:jc w:val="left"/>
        <w:rPr>
          <w:b/>
          <w:sz w:val="32"/>
          <w:szCs w:val="32"/>
        </w:rPr>
      </w:pPr>
    </w:p>
    <w:p w14:paraId="5D90F053">
      <w:pPr>
        <w:spacing w:before="312" w:beforeLines="100" w:line="360" w:lineRule="auto"/>
        <w:jc w:val="left"/>
        <w:rPr>
          <w:b/>
          <w:sz w:val="32"/>
          <w:szCs w:val="32"/>
        </w:rPr>
      </w:pPr>
    </w:p>
    <w:p w14:paraId="1C608708">
      <w:pPr>
        <w:spacing w:before="312" w:beforeLines="100" w:line="360" w:lineRule="auto"/>
        <w:jc w:val="left"/>
        <w:rPr>
          <w:b/>
          <w:sz w:val="32"/>
          <w:szCs w:val="32"/>
        </w:rPr>
      </w:pPr>
    </w:p>
    <w:p w14:paraId="27C3A012">
      <w:pPr>
        <w:spacing w:before="312" w:beforeLines="100" w:line="360" w:lineRule="auto"/>
        <w:jc w:val="left"/>
        <w:rPr>
          <w:b/>
          <w:sz w:val="32"/>
          <w:szCs w:val="32"/>
        </w:rPr>
      </w:pPr>
    </w:p>
    <w:p w14:paraId="403145BA">
      <w:pPr>
        <w:spacing w:before="312" w:beforeLines="100" w:line="360" w:lineRule="auto"/>
        <w:jc w:val="left"/>
        <w:rPr>
          <w:b/>
          <w:sz w:val="32"/>
          <w:szCs w:val="32"/>
        </w:rPr>
      </w:pPr>
    </w:p>
    <w:tbl>
      <w:tblPr>
        <w:tblStyle w:val="35"/>
        <w:tblpPr w:leftFromText="180" w:rightFromText="180" w:vertAnchor="text" w:horzAnchor="margin" w:tblpY="1420"/>
        <w:tblW w:w="8787" w:type="dxa"/>
        <w:tblInd w:w="0" w:type="dxa"/>
        <w:tblLayout w:type="fixed"/>
        <w:tblCellMar>
          <w:top w:w="0" w:type="dxa"/>
          <w:left w:w="108" w:type="dxa"/>
          <w:bottom w:w="0" w:type="dxa"/>
          <w:right w:w="108" w:type="dxa"/>
        </w:tblCellMar>
      </w:tblPr>
      <w:tblGrid>
        <w:gridCol w:w="4393"/>
        <w:gridCol w:w="4394"/>
      </w:tblGrid>
      <w:tr w14:paraId="71F66F43">
        <w:tblPrEx>
          <w:tblCellMar>
            <w:top w:w="0" w:type="dxa"/>
            <w:left w:w="108" w:type="dxa"/>
            <w:bottom w:w="0" w:type="dxa"/>
            <w:right w:w="108" w:type="dxa"/>
          </w:tblCellMar>
        </w:tblPrEx>
        <w:trPr>
          <w:trHeight w:val="850" w:hRule="atLeast"/>
        </w:trPr>
        <w:tc>
          <w:tcPr>
            <w:tcW w:w="4393" w:type="dxa"/>
            <w:vAlign w:val="center"/>
          </w:tcPr>
          <w:p w14:paraId="2A276E68">
            <w:pPr>
              <w:widowControl/>
              <w:adjustRightInd w:val="0"/>
              <w:snapToGrid w:val="0"/>
              <w:spacing w:before="100" w:after="100"/>
              <w:ind w:left="1400" w:hanging="1400" w:hangingChars="500"/>
              <w:rPr>
                <w:sz w:val="28"/>
                <w:szCs w:val="28"/>
              </w:rPr>
            </w:pPr>
            <w:r>
              <w:rPr>
                <w:sz w:val="28"/>
                <w:szCs w:val="28"/>
              </w:rPr>
              <w:t>建设单位：</w:t>
            </w:r>
            <w:r>
              <w:rPr>
                <w:rFonts w:hint="eastAsia"/>
                <w:sz w:val="28"/>
                <w:szCs w:val="28"/>
                <w:lang w:eastAsia="zh-CN"/>
              </w:rPr>
              <w:t>重庆京东方晶远科技有限公司</w:t>
            </w:r>
            <w:r>
              <w:rPr>
                <w:sz w:val="28"/>
                <w:szCs w:val="28"/>
              </w:rPr>
              <w:t xml:space="preserve"> （盖章）</w:t>
            </w:r>
          </w:p>
        </w:tc>
        <w:tc>
          <w:tcPr>
            <w:tcW w:w="4394" w:type="dxa"/>
            <w:vAlign w:val="center"/>
          </w:tcPr>
          <w:p w14:paraId="45C3573C">
            <w:pPr>
              <w:widowControl/>
              <w:adjustRightInd w:val="0"/>
              <w:snapToGrid w:val="0"/>
              <w:spacing w:before="100" w:after="100"/>
              <w:ind w:left="1400" w:hanging="1400" w:hangingChars="500"/>
              <w:rPr>
                <w:sz w:val="28"/>
                <w:szCs w:val="28"/>
              </w:rPr>
            </w:pPr>
            <w:r>
              <w:rPr>
                <w:sz w:val="28"/>
                <w:szCs w:val="28"/>
              </w:rPr>
              <w:t>编制单位：重庆惠能标普科技有限公司（盖章）</w:t>
            </w:r>
          </w:p>
        </w:tc>
      </w:tr>
      <w:tr w14:paraId="257E9788">
        <w:tblPrEx>
          <w:tblCellMar>
            <w:top w:w="0" w:type="dxa"/>
            <w:left w:w="108" w:type="dxa"/>
            <w:bottom w:w="0" w:type="dxa"/>
            <w:right w:w="108" w:type="dxa"/>
          </w:tblCellMar>
        </w:tblPrEx>
        <w:trPr>
          <w:trHeight w:val="850" w:hRule="atLeast"/>
        </w:trPr>
        <w:tc>
          <w:tcPr>
            <w:tcW w:w="4393" w:type="dxa"/>
            <w:vAlign w:val="center"/>
          </w:tcPr>
          <w:p w14:paraId="16174EB6">
            <w:pPr>
              <w:widowControl/>
              <w:adjustRightInd w:val="0"/>
              <w:snapToGrid w:val="0"/>
              <w:spacing w:before="100" w:after="100"/>
              <w:rPr>
                <w:sz w:val="28"/>
                <w:szCs w:val="28"/>
              </w:rPr>
            </w:pPr>
            <w:r>
              <w:rPr>
                <w:sz w:val="28"/>
                <w:szCs w:val="28"/>
              </w:rPr>
              <w:t>电话：</w:t>
            </w:r>
            <w:r>
              <w:rPr>
                <w:rFonts w:hint="eastAsia" w:ascii="Times New Roman" w:hAnsi="Times New Roman" w:eastAsia="宋体" w:cs="Times New Roman"/>
                <w:color w:val="auto"/>
                <w:sz w:val="28"/>
                <w:szCs w:val="28"/>
              </w:rPr>
              <w:t>13272911199</w:t>
            </w:r>
          </w:p>
        </w:tc>
        <w:tc>
          <w:tcPr>
            <w:tcW w:w="4394" w:type="dxa"/>
            <w:vAlign w:val="center"/>
          </w:tcPr>
          <w:p w14:paraId="173348DA">
            <w:pPr>
              <w:widowControl/>
              <w:adjustRightInd w:val="0"/>
              <w:snapToGrid w:val="0"/>
              <w:spacing w:before="100" w:after="100"/>
              <w:rPr>
                <w:sz w:val="28"/>
                <w:szCs w:val="28"/>
              </w:rPr>
            </w:pPr>
            <w:r>
              <w:rPr>
                <w:sz w:val="28"/>
                <w:szCs w:val="28"/>
              </w:rPr>
              <w:t>电话：023-67524060</w:t>
            </w:r>
          </w:p>
        </w:tc>
      </w:tr>
      <w:tr w14:paraId="60B2BA95">
        <w:tblPrEx>
          <w:tblCellMar>
            <w:top w:w="0" w:type="dxa"/>
            <w:left w:w="108" w:type="dxa"/>
            <w:bottom w:w="0" w:type="dxa"/>
            <w:right w:w="108" w:type="dxa"/>
          </w:tblCellMar>
        </w:tblPrEx>
        <w:trPr>
          <w:trHeight w:val="850" w:hRule="atLeast"/>
        </w:trPr>
        <w:tc>
          <w:tcPr>
            <w:tcW w:w="4393" w:type="dxa"/>
            <w:vAlign w:val="center"/>
          </w:tcPr>
          <w:p w14:paraId="04880910">
            <w:pPr>
              <w:widowControl/>
              <w:adjustRightInd w:val="0"/>
              <w:snapToGrid w:val="0"/>
              <w:spacing w:before="100" w:after="100"/>
              <w:ind w:left="840" w:hanging="840" w:hangingChars="300"/>
              <w:rPr>
                <w:rFonts w:hint="eastAsia" w:eastAsia="宋体"/>
                <w:sz w:val="28"/>
                <w:szCs w:val="28"/>
                <w:lang w:eastAsia="zh-CN"/>
              </w:rPr>
            </w:pPr>
            <w:r>
              <w:rPr>
                <w:sz w:val="28"/>
                <w:szCs w:val="28"/>
              </w:rPr>
              <w:t>地址：</w:t>
            </w:r>
            <w:r>
              <w:rPr>
                <w:rFonts w:hint="eastAsia"/>
                <w:sz w:val="28"/>
                <w:szCs w:val="28"/>
                <w:highlight w:val="none"/>
                <w:lang w:eastAsia="zh-CN"/>
              </w:rPr>
              <w:t>重庆高新区西永街道西景大道1号</w:t>
            </w:r>
          </w:p>
        </w:tc>
        <w:tc>
          <w:tcPr>
            <w:tcW w:w="4394" w:type="dxa"/>
            <w:vAlign w:val="center"/>
          </w:tcPr>
          <w:p w14:paraId="71D05751">
            <w:pPr>
              <w:widowControl/>
              <w:adjustRightInd w:val="0"/>
              <w:snapToGrid w:val="0"/>
              <w:spacing w:before="100" w:after="100"/>
              <w:rPr>
                <w:sz w:val="28"/>
                <w:szCs w:val="28"/>
              </w:rPr>
            </w:pPr>
            <w:r>
              <w:rPr>
                <w:sz w:val="28"/>
                <w:szCs w:val="28"/>
              </w:rPr>
              <w:t>地址：重庆两江新区黄山大道中段木星科技大厦2-1区5楼</w:t>
            </w:r>
          </w:p>
        </w:tc>
      </w:tr>
    </w:tbl>
    <w:p w14:paraId="4545F818">
      <w:pPr>
        <w:spacing w:before="312" w:beforeLines="100" w:line="360" w:lineRule="auto"/>
        <w:jc w:val="left"/>
        <w:rPr>
          <w:b/>
          <w:sz w:val="32"/>
          <w:szCs w:val="32"/>
        </w:rPr>
      </w:pPr>
    </w:p>
    <w:p w14:paraId="3E290071">
      <w:pPr>
        <w:spacing w:before="312" w:beforeLines="100" w:line="360" w:lineRule="auto"/>
        <w:jc w:val="left"/>
        <w:rPr>
          <w:b/>
          <w:sz w:val="32"/>
          <w:szCs w:val="32"/>
        </w:rPr>
      </w:pPr>
    </w:p>
    <w:p w14:paraId="0B7D6461">
      <w:pPr>
        <w:spacing w:line="360" w:lineRule="auto"/>
        <w:jc w:val="left"/>
        <w:rPr>
          <w:bCs/>
          <w:sz w:val="28"/>
          <w:szCs w:val="28"/>
        </w:rPr>
      </w:pPr>
    </w:p>
    <w:p w14:paraId="7207528A">
      <w:pPr>
        <w:spacing w:line="360" w:lineRule="auto"/>
        <w:jc w:val="left"/>
        <w:rPr>
          <w:bCs/>
          <w:sz w:val="28"/>
          <w:szCs w:val="28"/>
        </w:rPr>
        <w:sectPr>
          <w:footerReference r:id="rId8" w:type="default"/>
          <w:pgSz w:w="11906" w:h="16838"/>
          <w:pgMar w:top="1440" w:right="1440" w:bottom="1440" w:left="1440" w:header="851" w:footer="992" w:gutter="0"/>
          <w:pgNumType w:start="1"/>
          <w:cols w:space="720" w:num="1"/>
          <w:docGrid w:type="linesAndChars" w:linePitch="312" w:charSpace="0"/>
        </w:sectPr>
      </w:pPr>
    </w:p>
    <w:p w14:paraId="021887CB">
      <w:pPr>
        <w:pStyle w:val="80"/>
      </w:pPr>
      <w:bookmarkStart w:id="2" w:name="_Toc29627"/>
      <w:bookmarkStart w:id="3" w:name="_Toc25117"/>
      <w:bookmarkStart w:id="4" w:name="_Toc170"/>
      <w:bookmarkStart w:id="5" w:name="_Toc520988546"/>
      <w:r>
        <w:rPr>
          <w:lang w:val="zh-CN"/>
        </w:rPr>
        <w:t>目 录</w:t>
      </w:r>
      <w:bookmarkEnd w:id="2"/>
      <w:bookmarkEnd w:id="3"/>
      <w:bookmarkEnd w:id="4"/>
    </w:p>
    <w:p w14:paraId="57482733">
      <w:pPr>
        <w:pStyle w:val="24"/>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TOC \o "1-2" \h \z \u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_Toc8569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1验收项目概况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_Toc8569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01BECFE">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_Toc27510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1.1建设项目基本情况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_Toc27510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206211A">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_Toc9105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1.2验收工作由来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_Toc9105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BC91DC0">
      <w:pPr>
        <w:pStyle w:val="24"/>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_Toc2296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2验收依据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_Toc2296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6855BFF">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_Toc32720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2.1建设项目环境保护相关法律、法规、规章和规范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_Toc32720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1721A50">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_Toc30095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2.2建设项目竣工环境保护验收技术规范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_Toc30095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7883830">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_Toc22314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2.3建设项目环境影响报告表及其审批部门审批决定</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_Toc22314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F16766C">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_Toc13511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2.4其他相关文件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_Toc13511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6CB924E">
      <w:pPr>
        <w:pStyle w:val="24"/>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_Toc29652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3项目建设情况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_Toc29652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932F798">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_Toc20844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3.1地理位置及平面布置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_Toc20844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7698D43">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_Toc16665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3.2建设内容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_Toc16665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3DCFEE1">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_Toc3747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3.3项目主要原辅材料</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_Toc3747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DA785F2">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_Toc28290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3.4水源及水平衡</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_Toc28290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73E1CD5">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_Toc23269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3.5</w:t>
      </w:r>
      <w:r>
        <w:rPr>
          <w:rFonts w:hint="default" w:ascii="Times New Roman" w:hAnsi="Times New Roman" w:eastAsia="宋体" w:cs="Times New Roman"/>
          <w:kern w:val="2"/>
          <w:sz w:val="24"/>
          <w:szCs w:val="24"/>
        </w:rPr>
        <w:t>工艺流程和产排污环节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_Toc23269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3CF7B46">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_Toc28746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3.6项目变动情况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_Toc28746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1468514">
      <w:pPr>
        <w:pStyle w:val="24"/>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_Toc24694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4环境保护设施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_Toc24694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86784D9">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_Toc32057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rPr>
        <w:t>4.1污染物治理/处置设施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_Toc32057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5048292">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_Toc15117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4.2其他环境保护设施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_Toc15117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0132477">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_Toc29032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4.3环保设施投资及“三同时”落实情况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_Toc29032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AB68DBE">
      <w:pPr>
        <w:pStyle w:val="24"/>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_Toc14912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5环境影响报告表主要结论与建议及审批部门审批决定</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_Toc14912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317909B">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_Toc10673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5.1环境影响报告表的主要结论与建议（摘录）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_Toc10673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29A3291">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_Toc5218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5.2审批部门审批决定</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_Toc5218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804841B">
      <w:pPr>
        <w:pStyle w:val="24"/>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_Toc9329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6验收执行标准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_Toc9329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CBB0A36">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_Toc21072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6.1污染物排放标准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_Toc21072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129CC71">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_Toc827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6.2总量控制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551164A">
      <w:pPr>
        <w:pStyle w:val="24"/>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_Toc725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7验收监测内容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_Toc725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2126D3C">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_Toc18220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7.1监测点位的布设、监测因子及频率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_Toc18220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65F2B8C">
      <w:pPr>
        <w:pStyle w:val="24"/>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_Toc548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8质量保证及质量控制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_Toc548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CEBE8BE">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_Toc1263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8.1监测分析方法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_Toc1263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6E9E2DB">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_Toc15976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8.2监测仪器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_Toc15976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89EC0F9">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_Toc30116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8.3人员能力</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_Toc30116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A501314">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_Toc26987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8.4监测分析过程中的质量保证和质量控制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_Toc26987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B206656">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_Toc13390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8.5数据审核</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_Toc13390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6AF1033">
      <w:pPr>
        <w:pStyle w:val="24"/>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_Toc18666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9验收监测结果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_Toc18666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7458693B">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_Toc13179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9.1生产工况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_Toc13179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2C84A64">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_Toc8717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9.2环保设施调试运行效果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_Toc8717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A9E39A4">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_Toc5428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9.3工程建设对环境的影响</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_Toc5428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52510CED">
      <w:pPr>
        <w:pStyle w:val="24"/>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_Toc25115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10验收监测结论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_Toc25115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47D9F245">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_Toc8065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10.1结论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_Toc8065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CB2B342">
      <w:pPr>
        <w:pStyle w:val="2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_Toc1810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10.2建议及要求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_Toc1810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DABFBC2">
      <w:pPr>
        <w:pStyle w:val="24"/>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_Toc1413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附图及附件</w:t>
      </w:r>
      <w:r>
        <w:rPr>
          <w:rFonts w:hint="default" w:ascii="Times New Roman" w:hAnsi="Times New Roman" w:eastAsia="宋体" w:cs="Times New Roman"/>
          <w:sz w:val="24"/>
          <w:szCs w:val="24"/>
        </w:rPr>
        <w:fldChar w:fldCharType="end"/>
      </w:r>
    </w:p>
    <w:p w14:paraId="64D7EF62">
      <w:pPr>
        <w:keepNext w:val="0"/>
        <w:keepLines w:val="0"/>
        <w:pageBreakBefore w:val="0"/>
        <w:widowControl w:val="0"/>
        <w:kinsoku/>
        <w:wordWrap/>
        <w:overflowPunct/>
        <w:topLinePunct w:val="0"/>
        <w:autoSpaceDE/>
        <w:autoSpaceDN/>
        <w:bidi w:val="0"/>
        <w:adjustRightInd/>
        <w:snapToGrid/>
        <w:spacing w:line="360" w:lineRule="auto"/>
        <w:textAlignment w:val="auto"/>
        <w:sectPr>
          <w:pgSz w:w="11906" w:h="16838"/>
          <w:pgMar w:top="1440" w:right="1440" w:bottom="1440" w:left="1440" w:header="851" w:footer="992" w:gutter="0"/>
          <w:pgNumType w:start="1"/>
          <w:cols w:space="720" w:num="1"/>
          <w:docGrid w:type="linesAndChars" w:linePitch="312" w:charSpace="0"/>
        </w:sectPr>
      </w:pPr>
      <w:r>
        <w:rPr>
          <w:rFonts w:hint="default" w:ascii="Times New Roman" w:hAnsi="Times New Roman" w:eastAsia="宋体" w:cs="Times New Roman"/>
          <w:sz w:val="24"/>
          <w:szCs w:val="24"/>
        </w:rPr>
        <w:fldChar w:fldCharType="end"/>
      </w:r>
    </w:p>
    <w:p w14:paraId="4B07632F">
      <w:pPr>
        <w:pStyle w:val="2"/>
      </w:pPr>
      <w:bookmarkStart w:id="6" w:name="_Toc8569"/>
      <w:r>
        <w:t>1验收项目概况</w:t>
      </w:r>
      <w:bookmarkEnd w:id="0"/>
      <w:bookmarkEnd w:id="5"/>
      <w:bookmarkEnd w:id="6"/>
    </w:p>
    <w:p w14:paraId="7574E115">
      <w:pPr>
        <w:pStyle w:val="3"/>
      </w:pPr>
      <w:bookmarkStart w:id="7" w:name="_Toc27510"/>
      <w:bookmarkStart w:id="8" w:name="_Hlk510086577"/>
      <w:r>
        <w:t>1.1</w:t>
      </w:r>
      <w:r>
        <w:rPr>
          <w:rFonts w:hint="eastAsia"/>
        </w:rPr>
        <w:t>建设</w:t>
      </w:r>
      <w:r>
        <w:t>项目基本情况</w:t>
      </w:r>
      <w:bookmarkEnd w:id="7"/>
    </w:p>
    <w:p w14:paraId="75022F66">
      <w:pPr>
        <w:jc w:val="center"/>
        <w:rPr>
          <w:b/>
          <w:bCs/>
          <w:sz w:val="24"/>
          <w:szCs w:val="24"/>
        </w:rPr>
      </w:pPr>
      <w:r>
        <w:rPr>
          <w:b/>
          <w:bCs/>
          <w:sz w:val="24"/>
          <w:szCs w:val="24"/>
        </w:rPr>
        <w:t>表1-1 验收项目基本情况</w:t>
      </w:r>
    </w:p>
    <w:tbl>
      <w:tblPr>
        <w:tblStyle w:val="119"/>
        <w:tblW w:w="5098" w:type="pct"/>
        <w:jc w:val="center"/>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0" w:type="dxa"/>
          <w:bottom w:w="0" w:type="dxa"/>
          <w:right w:w="0" w:type="dxa"/>
        </w:tblCellMar>
      </w:tblPr>
      <w:tblGrid>
        <w:gridCol w:w="1673"/>
        <w:gridCol w:w="1512"/>
        <w:gridCol w:w="432"/>
        <w:gridCol w:w="709"/>
        <w:gridCol w:w="81"/>
        <w:gridCol w:w="290"/>
        <w:gridCol w:w="138"/>
        <w:gridCol w:w="1374"/>
        <w:gridCol w:w="332"/>
        <w:gridCol w:w="170"/>
        <w:gridCol w:w="543"/>
        <w:gridCol w:w="467"/>
        <w:gridCol w:w="1512"/>
      </w:tblGrid>
      <w:tr w14:paraId="79B3F889">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06" w:type="pct"/>
            <w:vAlign w:val="center"/>
          </w:tcPr>
          <w:p w14:paraId="3E81FFC1">
            <w:pPr>
              <w:jc w:val="center"/>
              <w:rPr>
                <w:rFonts w:ascii="Times New Roman" w:hAnsi="Times New Roman" w:eastAsia="宋体" w:cs="Times New Roman"/>
                <w:spacing w:val="9"/>
                <w:sz w:val="24"/>
                <w:szCs w:val="24"/>
              </w:rPr>
            </w:pPr>
            <w:r>
              <w:rPr>
                <w:rFonts w:ascii="Times New Roman" w:hAnsi="Times New Roman" w:eastAsia="宋体" w:cs="Times New Roman"/>
                <w:spacing w:val="9"/>
                <w:sz w:val="24"/>
                <w:szCs w:val="24"/>
              </w:rPr>
              <w:t>建设项目名称</w:t>
            </w:r>
          </w:p>
        </w:tc>
        <w:tc>
          <w:tcPr>
            <w:tcW w:w="4094" w:type="pct"/>
            <w:gridSpan w:val="12"/>
            <w:vAlign w:val="center"/>
          </w:tcPr>
          <w:p w14:paraId="1C3D60B6">
            <w:pPr>
              <w:jc w:val="center"/>
              <w:rPr>
                <w:rFonts w:hint="eastAsia" w:ascii="Times New Roman" w:hAnsi="Times New Roman" w:eastAsia="宋体" w:cs="Times New Roman"/>
                <w:sz w:val="24"/>
                <w:szCs w:val="24"/>
                <w:lang w:eastAsia="zh-CN"/>
              </w:rPr>
            </w:pPr>
            <w:r>
              <w:rPr>
                <w:rFonts w:hint="eastAsia" w:cs="Times New Roman"/>
                <w:spacing w:val="8"/>
                <w:sz w:val="24"/>
                <w:szCs w:val="24"/>
                <w:lang w:eastAsia="zh-CN"/>
              </w:rPr>
              <w:t>年产新型平板显示器件关键部件和材料（玻璃盖板）3840万片项目（二期工程）</w:t>
            </w:r>
          </w:p>
        </w:tc>
      </w:tr>
      <w:tr w14:paraId="03177F30">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06" w:type="pct"/>
            <w:vAlign w:val="center"/>
          </w:tcPr>
          <w:p w14:paraId="0852987C">
            <w:pPr>
              <w:jc w:val="center"/>
              <w:rPr>
                <w:rFonts w:ascii="Times New Roman" w:hAnsi="Times New Roman" w:eastAsia="宋体" w:cs="Times New Roman"/>
                <w:spacing w:val="9"/>
                <w:sz w:val="24"/>
                <w:szCs w:val="24"/>
              </w:rPr>
            </w:pPr>
            <w:r>
              <w:rPr>
                <w:rFonts w:ascii="Times New Roman" w:hAnsi="Times New Roman" w:eastAsia="宋体" w:cs="Times New Roman"/>
                <w:spacing w:val="9"/>
                <w:sz w:val="24"/>
                <w:szCs w:val="24"/>
              </w:rPr>
              <w:t>建设单位</w:t>
            </w:r>
          </w:p>
        </w:tc>
        <w:tc>
          <w:tcPr>
            <w:tcW w:w="4094" w:type="pct"/>
            <w:gridSpan w:val="12"/>
            <w:vAlign w:val="center"/>
          </w:tcPr>
          <w:p w14:paraId="63B07222">
            <w:pPr>
              <w:jc w:val="center"/>
              <w:rPr>
                <w:rFonts w:hint="eastAsia" w:ascii="Times New Roman" w:hAnsi="Times New Roman" w:eastAsia="宋体" w:cs="Times New Roman"/>
                <w:sz w:val="24"/>
                <w:szCs w:val="24"/>
                <w:lang w:eastAsia="zh-CN"/>
              </w:rPr>
            </w:pPr>
            <w:r>
              <w:rPr>
                <w:rFonts w:hint="eastAsia" w:cs="Times New Roman"/>
                <w:spacing w:val="9"/>
                <w:sz w:val="24"/>
                <w:szCs w:val="24"/>
                <w:lang w:eastAsia="zh-CN"/>
              </w:rPr>
              <w:t>重庆京东方晶远科技有限公司</w:t>
            </w:r>
          </w:p>
        </w:tc>
      </w:tr>
      <w:tr w14:paraId="2E4CED3C">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06" w:type="pct"/>
            <w:vAlign w:val="center"/>
          </w:tcPr>
          <w:p w14:paraId="5EE82E46">
            <w:pPr>
              <w:jc w:val="center"/>
              <w:rPr>
                <w:rFonts w:ascii="Times New Roman" w:hAnsi="Times New Roman" w:eastAsia="宋体" w:cs="Times New Roman"/>
                <w:spacing w:val="9"/>
                <w:sz w:val="24"/>
                <w:szCs w:val="24"/>
              </w:rPr>
            </w:pPr>
            <w:r>
              <w:rPr>
                <w:rFonts w:hint="eastAsia" w:ascii="Times New Roman" w:hAnsi="Times New Roman" w:eastAsia="宋体" w:cs="Times New Roman"/>
                <w:spacing w:val="9"/>
                <w:sz w:val="24"/>
                <w:szCs w:val="24"/>
              </w:rPr>
              <w:t>建设地点</w:t>
            </w:r>
          </w:p>
        </w:tc>
        <w:tc>
          <w:tcPr>
            <w:tcW w:w="1713" w:type="pct"/>
            <w:gridSpan w:val="6"/>
            <w:vAlign w:val="center"/>
          </w:tcPr>
          <w:p w14:paraId="68B9F247">
            <w:pPr>
              <w:jc w:val="center"/>
              <w:rPr>
                <w:rFonts w:hint="default" w:ascii="Arial" w:hAnsi="Arial" w:cs="Arial" w:eastAsiaTheme="minorEastAsia"/>
                <w:spacing w:val="9"/>
                <w:sz w:val="24"/>
                <w:szCs w:val="24"/>
                <w:lang w:val="en-US"/>
              </w:rPr>
            </w:pPr>
            <w:r>
              <w:rPr>
                <w:rFonts w:hint="eastAsia" w:cs="Times New Roman"/>
                <w:color w:val="auto"/>
                <w:sz w:val="24"/>
                <w:highlight w:val="none"/>
                <w:lang w:eastAsia="zh-CN"/>
              </w:rPr>
              <w:t>重庆高新区西永街道西景大道1号</w:t>
            </w:r>
          </w:p>
        </w:tc>
        <w:tc>
          <w:tcPr>
            <w:tcW w:w="924" w:type="pct"/>
            <w:gridSpan w:val="2"/>
            <w:vAlign w:val="center"/>
          </w:tcPr>
          <w:p w14:paraId="4090865A">
            <w:pPr>
              <w:jc w:val="center"/>
              <w:rPr>
                <w:rFonts w:ascii="Arial" w:hAnsi="Arial" w:cs="Arial" w:eastAsiaTheme="minorEastAsia"/>
                <w:spacing w:val="9"/>
                <w:sz w:val="24"/>
                <w:szCs w:val="24"/>
              </w:rPr>
            </w:pPr>
            <w:r>
              <w:rPr>
                <w:rFonts w:ascii="Times New Roman" w:hAnsi="Times New Roman" w:eastAsia="宋体" w:cs="Times New Roman"/>
                <w:spacing w:val="3"/>
                <w:sz w:val="24"/>
                <w:szCs w:val="24"/>
              </w:rPr>
              <w:t>邮政编码</w:t>
            </w:r>
          </w:p>
        </w:tc>
        <w:tc>
          <w:tcPr>
            <w:tcW w:w="1457" w:type="pct"/>
            <w:gridSpan w:val="4"/>
            <w:vAlign w:val="center"/>
          </w:tcPr>
          <w:p w14:paraId="0C442BB1">
            <w:pPr>
              <w:jc w:val="center"/>
              <w:rPr>
                <w:rFonts w:hint="default" w:ascii="Times New Roman" w:hAnsi="Times New Roman" w:eastAsia="宋体" w:cs="Times New Roman"/>
                <w:spacing w:val="9"/>
                <w:sz w:val="24"/>
                <w:szCs w:val="24"/>
                <w:lang w:val="en-US" w:eastAsia="zh-CN"/>
              </w:rPr>
            </w:pPr>
            <w:r>
              <w:rPr>
                <w:rFonts w:hint="eastAsia" w:cs="Times New Roman"/>
                <w:spacing w:val="6"/>
                <w:sz w:val="24"/>
                <w:szCs w:val="24"/>
                <w:lang w:val="en-US" w:eastAsia="zh-CN"/>
              </w:rPr>
              <w:t>401332</w:t>
            </w:r>
          </w:p>
        </w:tc>
      </w:tr>
      <w:tr w14:paraId="60D96F48">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06" w:type="pct"/>
            <w:vAlign w:val="center"/>
          </w:tcPr>
          <w:p w14:paraId="6A3E4749">
            <w:pPr>
              <w:jc w:val="center"/>
              <w:rPr>
                <w:rFonts w:ascii="Times New Roman" w:hAnsi="Times New Roman" w:eastAsia="宋体" w:cs="Times New Roman"/>
                <w:spacing w:val="9"/>
                <w:sz w:val="24"/>
                <w:szCs w:val="24"/>
              </w:rPr>
            </w:pPr>
            <w:r>
              <w:rPr>
                <w:rFonts w:hint="eastAsia" w:ascii="Times New Roman" w:hAnsi="Times New Roman" w:eastAsia="宋体" w:cs="Times New Roman"/>
                <w:spacing w:val="9"/>
                <w:sz w:val="24"/>
                <w:szCs w:val="24"/>
              </w:rPr>
              <w:t>联系人</w:t>
            </w:r>
          </w:p>
        </w:tc>
        <w:tc>
          <w:tcPr>
            <w:tcW w:w="1713" w:type="pct"/>
            <w:gridSpan w:val="6"/>
            <w:vAlign w:val="center"/>
          </w:tcPr>
          <w:p w14:paraId="7241B640">
            <w:pPr>
              <w:jc w:val="center"/>
              <w:rPr>
                <w:rFonts w:ascii="Times New Roman" w:hAnsi="Times New Roman" w:eastAsia="宋体" w:cs="Times New Roman"/>
                <w:sz w:val="24"/>
                <w:szCs w:val="24"/>
              </w:rPr>
            </w:pPr>
            <w:r>
              <w:rPr>
                <w:rFonts w:hint="eastAsia" w:ascii="Times New Roman" w:hAnsi="Times New Roman" w:eastAsia="宋体" w:cs="Times New Roman"/>
                <w:color w:val="auto"/>
                <w:sz w:val="24"/>
              </w:rPr>
              <w:t>廖伟</w:t>
            </w:r>
          </w:p>
        </w:tc>
        <w:tc>
          <w:tcPr>
            <w:tcW w:w="924" w:type="pct"/>
            <w:gridSpan w:val="2"/>
            <w:vAlign w:val="center"/>
          </w:tcPr>
          <w:p w14:paraId="5DF9A351">
            <w:pPr>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联系电话</w:t>
            </w:r>
          </w:p>
        </w:tc>
        <w:tc>
          <w:tcPr>
            <w:tcW w:w="1457" w:type="pct"/>
            <w:gridSpan w:val="4"/>
            <w:vAlign w:val="center"/>
          </w:tcPr>
          <w:p w14:paraId="4CFB542F">
            <w:pPr>
              <w:jc w:val="center"/>
              <w:rPr>
                <w:rFonts w:ascii="Times New Roman" w:hAnsi="Times New Roman" w:eastAsia="宋体" w:cs="Times New Roman"/>
                <w:spacing w:val="6"/>
                <w:sz w:val="24"/>
                <w:szCs w:val="24"/>
              </w:rPr>
            </w:pPr>
            <w:r>
              <w:rPr>
                <w:rFonts w:hint="eastAsia" w:ascii="Times New Roman" w:hAnsi="Times New Roman" w:eastAsia="宋体" w:cs="Times New Roman"/>
                <w:color w:val="auto"/>
                <w:sz w:val="24"/>
              </w:rPr>
              <w:t>13272911199</w:t>
            </w:r>
          </w:p>
        </w:tc>
      </w:tr>
      <w:tr w14:paraId="741A31A7">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06" w:type="pct"/>
            <w:vAlign w:val="center"/>
          </w:tcPr>
          <w:p w14:paraId="5C6DD75D">
            <w:pPr>
              <w:jc w:val="center"/>
              <w:rPr>
                <w:rFonts w:ascii="Times New Roman" w:hAnsi="Times New Roman" w:eastAsia="宋体" w:cs="Times New Roman"/>
                <w:spacing w:val="9"/>
                <w:sz w:val="24"/>
                <w:szCs w:val="24"/>
              </w:rPr>
            </w:pPr>
            <w:r>
              <w:rPr>
                <w:rFonts w:hint="eastAsia" w:ascii="Times New Roman" w:hAnsi="Times New Roman" w:eastAsia="宋体" w:cs="Times New Roman"/>
                <w:spacing w:val="9"/>
                <w:sz w:val="24"/>
                <w:szCs w:val="24"/>
              </w:rPr>
              <w:t>建设项目性质</w:t>
            </w:r>
          </w:p>
        </w:tc>
        <w:tc>
          <w:tcPr>
            <w:tcW w:w="4094" w:type="pct"/>
            <w:gridSpan w:val="12"/>
            <w:vAlign w:val="center"/>
          </w:tcPr>
          <w:p w14:paraId="0D1B8717">
            <w:pPr>
              <w:jc w:val="center"/>
              <w:rPr>
                <w:rFonts w:ascii="Times New Roman" w:hAnsi="Times New Roman" w:eastAsia="宋体" w:cs="Times New Roman"/>
                <w:sz w:val="24"/>
                <w:szCs w:val="24"/>
              </w:rPr>
            </w:pPr>
            <w:r>
              <w:rPr>
                <w:rFonts w:ascii="Times New Roman" w:hAnsi="Times New Roman" w:eastAsia="宋体" w:cs="Times New Roman"/>
                <w:spacing w:val="14"/>
                <w:sz w:val="24"/>
                <w:szCs w:val="24"/>
              </w:rPr>
              <w:t>新</w:t>
            </w:r>
            <w:r>
              <w:rPr>
                <w:rFonts w:ascii="Times New Roman" w:hAnsi="Times New Roman" w:eastAsia="宋体" w:cs="Times New Roman"/>
                <w:spacing w:val="8"/>
                <w:sz w:val="24"/>
                <w:szCs w:val="24"/>
              </w:rPr>
              <w:t>建</w:t>
            </w:r>
            <w:r>
              <w:rPr>
                <w:rFonts w:ascii="Arial" w:hAnsi="Arial" w:cs="Arial" w:eastAsiaTheme="minorEastAsia"/>
                <w:position w:val="-4"/>
                <w:sz w:val="24"/>
                <w:szCs w:val="24"/>
              </w:rPr>
              <w:drawing>
                <wp:inline distT="0" distB="0" distL="0" distR="0">
                  <wp:extent cx="122555" cy="160020"/>
                  <wp:effectExtent l="0" t="0" r="0" b="0"/>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5"/>
                          <a:stretch>
                            <a:fillRect/>
                          </a:stretch>
                        </pic:blipFill>
                        <pic:spPr>
                          <a:xfrm>
                            <a:off x="0" y="0"/>
                            <a:ext cx="122986" cy="160477"/>
                          </a:xfrm>
                          <a:prstGeom prst="rect">
                            <a:avLst/>
                          </a:prstGeom>
                        </pic:spPr>
                      </pic:pic>
                    </a:graphicData>
                  </a:graphic>
                </wp:inline>
              </w:drawing>
            </w:r>
            <w:r>
              <w:rPr>
                <w:rFonts w:ascii="Times New Roman" w:hAnsi="Times New Roman" w:eastAsia="宋体" w:cs="Times New Roman"/>
                <w:spacing w:val="8"/>
                <w:sz w:val="24"/>
                <w:szCs w:val="24"/>
              </w:rPr>
              <w:t xml:space="preserve">  改扩建</w:t>
            </w:r>
            <w:r>
              <w:rPr>
                <w:rFonts w:ascii="宋体" w:hAnsi="宋体" w:cs="宋体" w:eastAsiaTheme="minorEastAsia"/>
                <w:sz w:val="24"/>
                <w:szCs w:val="24"/>
              </w:rPr>
              <w:fldChar w:fldCharType="begin"/>
            </w:r>
            <w:r>
              <w:rPr>
                <w:rFonts w:ascii="宋体" w:hAnsi="宋体" w:cs="宋体" w:eastAsiaTheme="minorEastAsia"/>
                <w:sz w:val="24"/>
                <w:szCs w:val="24"/>
              </w:rPr>
              <w:instrText xml:space="preserve"> </w:instrText>
            </w:r>
            <w:r>
              <w:rPr>
                <w:rFonts w:hint="eastAsia" w:ascii="宋体" w:hAnsi="宋体" w:cs="宋体" w:eastAsiaTheme="minorEastAsia"/>
                <w:sz w:val="24"/>
                <w:szCs w:val="24"/>
              </w:rPr>
              <w:instrText xml:space="preserve">eq \o\ac(□</w:instrText>
            </w:r>
            <w:r>
              <w:rPr>
                <w:rFonts w:hint="eastAsia" w:ascii="宋体" w:hAnsi="宋体" w:cs="宋体" w:eastAsiaTheme="minorEastAsia"/>
                <w:sz w:val="24"/>
                <w:szCs w:val="24"/>
                <w:lang w:eastAsia="zh-CN"/>
              </w:rPr>
              <w:instrText xml:space="preserve">,</w:instrText>
            </w:r>
            <w:r>
              <w:rPr>
                <w:rFonts w:hint="eastAsia" w:ascii="宋体" w:hAnsi="宋体" w:cs="宋体" w:eastAsiaTheme="minorEastAsia"/>
                <w:position w:val="2"/>
                <w:sz w:val="16"/>
                <w:szCs w:val="24"/>
                <w:lang w:eastAsia="zh-CN"/>
              </w:rPr>
              <w:instrText xml:space="preserve">√</w:instrText>
            </w:r>
            <w:r>
              <w:rPr>
                <w:rFonts w:hint="eastAsia" w:ascii="宋体" w:hAnsi="宋体" w:cs="宋体" w:eastAsiaTheme="minorEastAsia"/>
                <w:sz w:val="24"/>
                <w:szCs w:val="24"/>
              </w:rPr>
              <w:instrText xml:space="preserve">)</w:instrText>
            </w:r>
            <w:r>
              <w:rPr>
                <w:rFonts w:ascii="宋体" w:hAnsi="宋体" w:cs="宋体" w:eastAsiaTheme="minorEastAsia"/>
                <w:sz w:val="24"/>
                <w:szCs w:val="24"/>
              </w:rPr>
              <w:fldChar w:fldCharType="end"/>
            </w:r>
            <w:r>
              <w:rPr>
                <w:rFonts w:ascii="Times New Roman" w:hAnsi="Times New Roman" w:eastAsia="宋体" w:cs="Times New Roman"/>
                <w:spacing w:val="8"/>
                <w:sz w:val="24"/>
                <w:szCs w:val="24"/>
              </w:rPr>
              <w:t xml:space="preserve">  技改</w:t>
            </w:r>
            <w:r>
              <w:rPr>
                <w:rFonts w:ascii="Arial" w:hAnsi="Arial" w:cs="Arial" w:eastAsiaTheme="minorEastAsia"/>
                <w:position w:val="-4"/>
                <w:sz w:val="24"/>
                <w:szCs w:val="24"/>
              </w:rPr>
              <w:drawing>
                <wp:inline distT="0" distB="0" distL="0" distR="0">
                  <wp:extent cx="122555" cy="160020"/>
                  <wp:effectExtent l="0" t="0" r="0" b="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5"/>
                          <a:stretch>
                            <a:fillRect/>
                          </a:stretch>
                        </pic:blipFill>
                        <pic:spPr>
                          <a:xfrm>
                            <a:off x="0" y="0"/>
                            <a:ext cx="122986" cy="160477"/>
                          </a:xfrm>
                          <a:prstGeom prst="rect">
                            <a:avLst/>
                          </a:prstGeom>
                        </pic:spPr>
                      </pic:pic>
                    </a:graphicData>
                  </a:graphic>
                </wp:inline>
              </w:drawing>
            </w:r>
          </w:p>
        </w:tc>
      </w:tr>
      <w:tr w14:paraId="05704584">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06" w:type="pct"/>
            <w:vAlign w:val="center"/>
          </w:tcPr>
          <w:p w14:paraId="4ACF9AAC">
            <w:pPr>
              <w:jc w:val="center"/>
              <w:rPr>
                <w:rFonts w:ascii="Times New Roman" w:hAnsi="Times New Roman" w:eastAsia="宋体" w:cs="Times New Roman"/>
                <w:spacing w:val="9"/>
                <w:sz w:val="24"/>
                <w:szCs w:val="24"/>
              </w:rPr>
            </w:pPr>
            <w:r>
              <w:rPr>
                <w:rFonts w:ascii="Times New Roman" w:hAnsi="Times New Roman" w:eastAsia="宋体" w:cs="Times New Roman"/>
                <w:spacing w:val="9"/>
                <w:sz w:val="24"/>
                <w:szCs w:val="24"/>
              </w:rPr>
              <w:t>环境影响评价审批部门</w:t>
            </w:r>
          </w:p>
        </w:tc>
        <w:tc>
          <w:tcPr>
            <w:tcW w:w="1053" w:type="pct"/>
            <w:gridSpan w:val="2"/>
            <w:vAlign w:val="center"/>
          </w:tcPr>
          <w:p w14:paraId="196D9699">
            <w:pPr>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pacing w:val="11"/>
                <w:sz w:val="24"/>
                <w:szCs w:val="24"/>
                <w:highlight w:val="none"/>
              </w:rPr>
              <w:t>重庆</w:t>
            </w:r>
            <w:r>
              <w:rPr>
                <w:rFonts w:hint="eastAsia" w:cs="Times New Roman"/>
                <w:spacing w:val="11"/>
                <w:sz w:val="24"/>
                <w:szCs w:val="24"/>
                <w:highlight w:val="none"/>
                <w:lang w:val="en-US" w:eastAsia="zh-CN"/>
              </w:rPr>
              <w:t>高新区生态环境局</w:t>
            </w:r>
          </w:p>
        </w:tc>
        <w:tc>
          <w:tcPr>
            <w:tcW w:w="384" w:type="pct"/>
            <w:vAlign w:val="center"/>
          </w:tcPr>
          <w:p w14:paraId="1C372475">
            <w:pPr>
              <w:jc w:val="center"/>
              <w:rPr>
                <w:rFonts w:ascii="Times New Roman" w:hAnsi="Times New Roman" w:eastAsia="宋体" w:cs="Times New Roman"/>
                <w:spacing w:val="9"/>
                <w:sz w:val="24"/>
                <w:szCs w:val="24"/>
                <w:highlight w:val="none"/>
              </w:rPr>
            </w:pPr>
            <w:r>
              <w:rPr>
                <w:rFonts w:ascii="Times New Roman" w:hAnsi="Times New Roman" w:eastAsia="宋体" w:cs="Times New Roman"/>
                <w:spacing w:val="9"/>
                <w:sz w:val="24"/>
                <w:szCs w:val="24"/>
                <w:highlight w:val="none"/>
              </w:rPr>
              <w:t>文号</w:t>
            </w:r>
          </w:p>
        </w:tc>
        <w:tc>
          <w:tcPr>
            <w:tcW w:w="1200" w:type="pct"/>
            <w:gridSpan w:val="5"/>
            <w:vAlign w:val="center"/>
          </w:tcPr>
          <w:p w14:paraId="0A7E4AD0">
            <w:pPr>
              <w:jc w:val="center"/>
              <w:rPr>
                <w:rFonts w:ascii="Times New Roman" w:hAnsi="Times New Roman" w:eastAsia="宋体" w:cs="Times New Roman"/>
                <w:spacing w:val="9"/>
                <w:sz w:val="24"/>
                <w:szCs w:val="24"/>
                <w:highlight w:val="none"/>
              </w:rPr>
            </w:pPr>
            <w:r>
              <w:rPr>
                <w:rFonts w:hint="eastAsia" w:ascii="Times New Roman" w:hAnsi="Times New Roman" w:eastAsia="宋体" w:cs="Times New Roman"/>
                <w:spacing w:val="9"/>
                <w:sz w:val="24"/>
                <w:szCs w:val="24"/>
                <w:highlight w:val="none"/>
              </w:rPr>
              <w:t>渝（</w:t>
            </w:r>
            <w:r>
              <w:rPr>
                <w:rFonts w:hint="eastAsia" w:cs="Times New Roman"/>
                <w:spacing w:val="9"/>
                <w:sz w:val="24"/>
                <w:szCs w:val="24"/>
                <w:highlight w:val="none"/>
                <w:lang w:val="en-US" w:eastAsia="zh-CN"/>
              </w:rPr>
              <w:t>高新</w:t>
            </w:r>
            <w:r>
              <w:rPr>
                <w:rFonts w:hint="eastAsia" w:ascii="Times New Roman" w:hAnsi="Times New Roman" w:eastAsia="宋体" w:cs="Times New Roman"/>
                <w:spacing w:val="9"/>
                <w:sz w:val="24"/>
                <w:szCs w:val="24"/>
                <w:highlight w:val="none"/>
              </w:rPr>
              <w:t>）环准〔202</w:t>
            </w:r>
            <w:r>
              <w:rPr>
                <w:rFonts w:hint="eastAsia" w:cs="Times New Roman"/>
                <w:spacing w:val="9"/>
                <w:sz w:val="24"/>
                <w:szCs w:val="24"/>
                <w:highlight w:val="none"/>
                <w:lang w:val="en-US" w:eastAsia="zh-CN"/>
              </w:rPr>
              <w:t>5</w:t>
            </w:r>
            <w:r>
              <w:rPr>
                <w:rFonts w:hint="eastAsia" w:ascii="Times New Roman" w:hAnsi="Times New Roman" w:eastAsia="宋体" w:cs="Times New Roman"/>
                <w:spacing w:val="9"/>
                <w:sz w:val="24"/>
                <w:szCs w:val="24"/>
                <w:highlight w:val="none"/>
              </w:rPr>
              <w:t>〕</w:t>
            </w:r>
            <w:r>
              <w:rPr>
                <w:rFonts w:hint="eastAsia" w:cs="Times New Roman"/>
                <w:spacing w:val="9"/>
                <w:sz w:val="24"/>
                <w:szCs w:val="24"/>
                <w:highlight w:val="none"/>
                <w:lang w:val="en-US" w:eastAsia="zh-CN"/>
              </w:rPr>
              <w:t>15</w:t>
            </w:r>
            <w:r>
              <w:rPr>
                <w:rFonts w:hint="eastAsia" w:ascii="Times New Roman" w:hAnsi="Times New Roman" w:eastAsia="宋体" w:cs="Times New Roman"/>
                <w:spacing w:val="9"/>
                <w:sz w:val="24"/>
                <w:szCs w:val="24"/>
                <w:highlight w:val="none"/>
              </w:rPr>
              <w:t>号</w:t>
            </w:r>
          </w:p>
        </w:tc>
        <w:tc>
          <w:tcPr>
            <w:tcW w:w="386" w:type="pct"/>
            <w:gridSpan w:val="2"/>
            <w:vAlign w:val="center"/>
          </w:tcPr>
          <w:p w14:paraId="2A08CAC8">
            <w:pPr>
              <w:jc w:val="center"/>
              <w:rPr>
                <w:rFonts w:ascii="Times New Roman" w:hAnsi="Times New Roman" w:eastAsia="宋体" w:cs="Times New Roman"/>
                <w:spacing w:val="9"/>
                <w:sz w:val="24"/>
                <w:szCs w:val="24"/>
                <w:highlight w:val="none"/>
              </w:rPr>
            </w:pPr>
            <w:r>
              <w:rPr>
                <w:rFonts w:ascii="Times New Roman" w:hAnsi="Times New Roman" w:eastAsia="宋体" w:cs="Times New Roman"/>
                <w:spacing w:val="9"/>
                <w:sz w:val="24"/>
                <w:szCs w:val="24"/>
                <w:highlight w:val="none"/>
              </w:rPr>
              <w:t>时间</w:t>
            </w:r>
          </w:p>
        </w:tc>
        <w:tc>
          <w:tcPr>
            <w:tcW w:w="1071" w:type="pct"/>
            <w:gridSpan w:val="2"/>
            <w:vAlign w:val="center"/>
          </w:tcPr>
          <w:p w14:paraId="2E581D7E">
            <w:pPr>
              <w:jc w:val="center"/>
              <w:rPr>
                <w:rFonts w:ascii="Times New Roman" w:hAnsi="Times New Roman" w:eastAsia="宋体" w:cs="Times New Roman"/>
                <w:spacing w:val="9"/>
                <w:sz w:val="24"/>
                <w:szCs w:val="24"/>
                <w:highlight w:val="none"/>
              </w:rPr>
            </w:pPr>
            <w:r>
              <w:rPr>
                <w:rFonts w:ascii="Times New Roman" w:hAnsi="Times New Roman" w:eastAsia="宋体" w:cs="Times New Roman"/>
                <w:spacing w:val="9"/>
                <w:sz w:val="24"/>
                <w:szCs w:val="24"/>
                <w:highlight w:val="none"/>
              </w:rPr>
              <w:t>202</w:t>
            </w:r>
            <w:r>
              <w:rPr>
                <w:rFonts w:hint="eastAsia" w:cs="Times New Roman"/>
                <w:spacing w:val="9"/>
                <w:sz w:val="24"/>
                <w:szCs w:val="24"/>
                <w:highlight w:val="none"/>
                <w:lang w:val="en-US" w:eastAsia="zh-CN"/>
              </w:rPr>
              <w:t>5</w:t>
            </w:r>
            <w:r>
              <w:rPr>
                <w:rFonts w:ascii="Times New Roman" w:hAnsi="Times New Roman" w:eastAsia="宋体" w:cs="Times New Roman"/>
                <w:spacing w:val="9"/>
                <w:sz w:val="24"/>
                <w:szCs w:val="24"/>
                <w:highlight w:val="none"/>
              </w:rPr>
              <w:t>年</w:t>
            </w:r>
            <w:r>
              <w:rPr>
                <w:rFonts w:hint="eastAsia" w:cs="Times New Roman"/>
                <w:spacing w:val="9"/>
                <w:sz w:val="24"/>
                <w:szCs w:val="24"/>
                <w:highlight w:val="none"/>
                <w:lang w:val="en-US" w:eastAsia="zh-CN"/>
              </w:rPr>
              <w:t>3</w:t>
            </w:r>
            <w:r>
              <w:rPr>
                <w:rFonts w:ascii="Times New Roman" w:hAnsi="Times New Roman" w:eastAsia="宋体" w:cs="Times New Roman"/>
                <w:spacing w:val="9"/>
                <w:sz w:val="24"/>
                <w:szCs w:val="24"/>
                <w:highlight w:val="none"/>
              </w:rPr>
              <w:t>月</w:t>
            </w:r>
            <w:r>
              <w:rPr>
                <w:rFonts w:hint="eastAsia" w:cs="Times New Roman"/>
                <w:spacing w:val="9"/>
                <w:sz w:val="24"/>
                <w:szCs w:val="24"/>
                <w:highlight w:val="none"/>
                <w:lang w:val="en-US" w:eastAsia="zh-CN"/>
              </w:rPr>
              <w:t>12</w:t>
            </w:r>
            <w:r>
              <w:rPr>
                <w:rFonts w:ascii="Times New Roman" w:hAnsi="Times New Roman" w:eastAsia="宋体" w:cs="Times New Roman"/>
                <w:spacing w:val="9"/>
                <w:sz w:val="24"/>
                <w:szCs w:val="24"/>
                <w:highlight w:val="none"/>
              </w:rPr>
              <w:t>日</w:t>
            </w:r>
          </w:p>
        </w:tc>
      </w:tr>
      <w:tr w14:paraId="33C8A847">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06" w:type="pct"/>
            <w:vAlign w:val="center"/>
          </w:tcPr>
          <w:p w14:paraId="371A8BEC">
            <w:pPr>
              <w:jc w:val="center"/>
              <w:rPr>
                <w:rFonts w:ascii="Times New Roman" w:hAnsi="Times New Roman" w:eastAsia="宋体" w:cs="Times New Roman"/>
                <w:spacing w:val="9"/>
                <w:sz w:val="24"/>
                <w:szCs w:val="24"/>
              </w:rPr>
            </w:pPr>
            <w:r>
              <w:rPr>
                <w:rFonts w:ascii="Times New Roman" w:hAnsi="Times New Roman" w:eastAsia="宋体" w:cs="Times New Roman"/>
                <w:spacing w:val="9"/>
                <w:sz w:val="24"/>
                <w:szCs w:val="24"/>
              </w:rPr>
              <w:t>环境影响评价</w:t>
            </w:r>
            <w:r>
              <w:rPr>
                <w:rFonts w:hint="eastAsia" w:ascii="Times New Roman" w:hAnsi="Times New Roman" w:eastAsia="宋体" w:cs="Times New Roman"/>
                <w:spacing w:val="9"/>
                <w:sz w:val="24"/>
                <w:szCs w:val="24"/>
              </w:rPr>
              <w:t>编制单位</w:t>
            </w:r>
          </w:p>
        </w:tc>
        <w:tc>
          <w:tcPr>
            <w:tcW w:w="4094" w:type="pct"/>
            <w:gridSpan w:val="12"/>
            <w:vAlign w:val="center"/>
          </w:tcPr>
          <w:p w14:paraId="1076AC9C">
            <w:pPr>
              <w:jc w:val="center"/>
              <w:rPr>
                <w:rFonts w:ascii="Times New Roman" w:hAnsi="Times New Roman" w:eastAsia="宋体" w:cs="Times New Roman"/>
                <w:spacing w:val="9"/>
                <w:sz w:val="24"/>
                <w:szCs w:val="24"/>
              </w:rPr>
            </w:pPr>
            <w:r>
              <w:rPr>
                <w:rFonts w:hint="eastAsia" w:ascii="Times New Roman" w:hAnsi="Times New Roman" w:eastAsia="宋体" w:cs="Times New Roman"/>
                <w:spacing w:val="9"/>
                <w:sz w:val="24"/>
                <w:szCs w:val="24"/>
              </w:rPr>
              <w:t>重庆惠能标普科技有限公司</w:t>
            </w:r>
          </w:p>
        </w:tc>
      </w:tr>
      <w:tr w14:paraId="21C21BD0">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06" w:type="pct"/>
            <w:vAlign w:val="center"/>
          </w:tcPr>
          <w:p w14:paraId="2560A47A">
            <w:pPr>
              <w:jc w:val="center"/>
              <w:rPr>
                <w:rFonts w:ascii="Times New Roman" w:hAnsi="Times New Roman" w:eastAsia="宋体" w:cs="Times New Roman"/>
                <w:spacing w:val="9"/>
                <w:sz w:val="24"/>
                <w:szCs w:val="24"/>
              </w:rPr>
            </w:pPr>
            <w:r>
              <w:rPr>
                <w:rFonts w:hint="eastAsia" w:ascii="Times New Roman" w:hAnsi="Times New Roman" w:eastAsia="宋体" w:cs="Times New Roman"/>
                <w:spacing w:val="9"/>
                <w:sz w:val="24"/>
                <w:szCs w:val="24"/>
              </w:rPr>
              <w:t>开工建设时间</w:t>
            </w:r>
          </w:p>
        </w:tc>
        <w:tc>
          <w:tcPr>
            <w:tcW w:w="1481" w:type="pct"/>
            <w:gridSpan w:val="4"/>
            <w:vAlign w:val="center"/>
          </w:tcPr>
          <w:p w14:paraId="78154CD7">
            <w:pPr>
              <w:jc w:val="center"/>
              <w:rPr>
                <w:rFonts w:ascii="Times New Roman" w:hAnsi="Times New Roman" w:eastAsia="宋体" w:cs="Times New Roman"/>
                <w:spacing w:val="9"/>
                <w:sz w:val="24"/>
                <w:szCs w:val="24"/>
              </w:rPr>
            </w:pPr>
            <w:r>
              <w:rPr>
                <w:rFonts w:hint="eastAsia" w:ascii="Times New Roman" w:hAnsi="Times New Roman" w:eastAsia="宋体" w:cs="Times New Roman"/>
                <w:spacing w:val="9"/>
                <w:sz w:val="24"/>
                <w:szCs w:val="24"/>
              </w:rPr>
              <w:t>2</w:t>
            </w:r>
            <w:r>
              <w:rPr>
                <w:rFonts w:ascii="Times New Roman" w:hAnsi="Times New Roman" w:eastAsia="宋体" w:cs="Times New Roman"/>
                <w:spacing w:val="9"/>
                <w:sz w:val="24"/>
                <w:szCs w:val="24"/>
              </w:rPr>
              <w:t>0</w:t>
            </w:r>
            <w:r>
              <w:rPr>
                <w:rFonts w:hint="eastAsia" w:cs="Times New Roman"/>
                <w:spacing w:val="9"/>
                <w:sz w:val="24"/>
                <w:szCs w:val="24"/>
                <w:lang w:val="en-US" w:eastAsia="zh-CN"/>
              </w:rPr>
              <w:t>25</w:t>
            </w:r>
            <w:r>
              <w:rPr>
                <w:rFonts w:hint="eastAsia" w:ascii="Times New Roman" w:hAnsi="Times New Roman" w:eastAsia="宋体" w:cs="Times New Roman"/>
                <w:spacing w:val="9"/>
                <w:sz w:val="24"/>
                <w:szCs w:val="24"/>
              </w:rPr>
              <w:t>年</w:t>
            </w:r>
            <w:r>
              <w:rPr>
                <w:rFonts w:hint="eastAsia" w:cs="Times New Roman"/>
                <w:spacing w:val="9"/>
                <w:sz w:val="24"/>
                <w:szCs w:val="24"/>
                <w:lang w:val="en-US" w:eastAsia="zh-CN"/>
              </w:rPr>
              <w:t>3</w:t>
            </w:r>
            <w:r>
              <w:rPr>
                <w:rFonts w:hint="eastAsia" w:ascii="Times New Roman" w:hAnsi="Times New Roman" w:eastAsia="宋体" w:cs="Times New Roman"/>
                <w:spacing w:val="9"/>
                <w:sz w:val="24"/>
                <w:szCs w:val="24"/>
              </w:rPr>
              <w:t>月</w:t>
            </w:r>
          </w:p>
        </w:tc>
        <w:tc>
          <w:tcPr>
            <w:tcW w:w="1248" w:type="pct"/>
            <w:gridSpan w:val="5"/>
            <w:vAlign w:val="center"/>
          </w:tcPr>
          <w:p w14:paraId="6431D0B6">
            <w:pPr>
              <w:jc w:val="center"/>
              <w:rPr>
                <w:rFonts w:ascii="Times New Roman" w:hAnsi="Times New Roman" w:eastAsia="宋体" w:cs="Times New Roman"/>
                <w:spacing w:val="9"/>
                <w:sz w:val="24"/>
                <w:szCs w:val="24"/>
              </w:rPr>
            </w:pPr>
            <w:r>
              <w:rPr>
                <w:rFonts w:hint="eastAsia" w:ascii="Times New Roman" w:hAnsi="Times New Roman" w:eastAsia="宋体" w:cs="Times New Roman"/>
                <w:spacing w:val="9"/>
                <w:sz w:val="24"/>
                <w:szCs w:val="24"/>
              </w:rPr>
              <w:t>投入调试生产时间</w:t>
            </w:r>
          </w:p>
        </w:tc>
        <w:tc>
          <w:tcPr>
            <w:tcW w:w="1364" w:type="pct"/>
            <w:gridSpan w:val="3"/>
            <w:vAlign w:val="center"/>
          </w:tcPr>
          <w:p w14:paraId="0792B1F8">
            <w:pPr>
              <w:jc w:val="center"/>
              <w:rPr>
                <w:rFonts w:ascii="Times New Roman" w:hAnsi="Times New Roman" w:eastAsia="宋体" w:cs="Times New Roman"/>
                <w:spacing w:val="9"/>
                <w:sz w:val="24"/>
                <w:szCs w:val="24"/>
              </w:rPr>
            </w:pPr>
            <w:r>
              <w:rPr>
                <w:rFonts w:hint="eastAsia" w:ascii="Times New Roman" w:hAnsi="Times New Roman" w:eastAsia="宋体" w:cs="Times New Roman"/>
                <w:spacing w:val="9"/>
                <w:sz w:val="24"/>
                <w:szCs w:val="24"/>
              </w:rPr>
              <w:t>2</w:t>
            </w:r>
            <w:r>
              <w:rPr>
                <w:rFonts w:ascii="Times New Roman" w:hAnsi="Times New Roman" w:eastAsia="宋体" w:cs="Times New Roman"/>
                <w:spacing w:val="9"/>
                <w:sz w:val="24"/>
                <w:szCs w:val="24"/>
              </w:rPr>
              <w:t>02</w:t>
            </w:r>
            <w:r>
              <w:rPr>
                <w:rFonts w:hint="eastAsia" w:cs="Times New Roman"/>
                <w:spacing w:val="9"/>
                <w:sz w:val="24"/>
                <w:szCs w:val="24"/>
                <w:lang w:val="en-US" w:eastAsia="zh-CN"/>
              </w:rPr>
              <w:t>5</w:t>
            </w:r>
            <w:r>
              <w:rPr>
                <w:rFonts w:hint="eastAsia" w:ascii="Times New Roman" w:hAnsi="Times New Roman" w:eastAsia="宋体" w:cs="Times New Roman"/>
                <w:spacing w:val="9"/>
                <w:sz w:val="24"/>
                <w:szCs w:val="24"/>
              </w:rPr>
              <w:t>年</w:t>
            </w:r>
            <w:r>
              <w:rPr>
                <w:rFonts w:hint="eastAsia" w:cs="Times New Roman"/>
                <w:spacing w:val="9"/>
                <w:sz w:val="24"/>
                <w:szCs w:val="24"/>
                <w:lang w:val="en-US" w:eastAsia="zh-CN"/>
              </w:rPr>
              <w:t>4</w:t>
            </w:r>
            <w:r>
              <w:rPr>
                <w:rFonts w:hint="eastAsia" w:ascii="Times New Roman" w:hAnsi="Times New Roman" w:eastAsia="宋体" w:cs="Times New Roman"/>
                <w:spacing w:val="9"/>
                <w:sz w:val="24"/>
                <w:szCs w:val="24"/>
              </w:rPr>
              <w:t>月</w:t>
            </w:r>
          </w:p>
        </w:tc>
      </w:tr>
      <w:tr w14:paraId="47049DA2">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06" w:type="pct"/>
            <w:vAlign w:val="center"/>
          </w:tcPr>
          <w:p w14:paraId="33EC69D6">
            <w:pPr>
              <w:jc w:val="center"/>
              <w:rPr>
                <w:rFonts w:ascii="Times New Roman" w:hAnsi="Times New Roman" w:eastAsia="宋体" w:cs="Times New Roman"/>
                <w:spacing w:val="9"/>
                <w:sz w:val="24"/>
                <w:szCs w:val="24"/>
              </w:rPr>
            </w:pPr>
            <w:r>
              <w:rPr>
                <w:rFonts w:hint="eastAsia" w:ascii="Times New Roman" w:hAnsi="Times New Roman" w:eastAsia="宋体" w:cs="Times New Roman"/>
                <w:spacing w:val="9"/>
                <w:sz w:val="24"/>
                <w:szCs w:val="24"/>
              </w:rPr>
              <w:t>环保设施设计单位</w:t>
            </w:r>
          </w:p>
        </w:tc>
        <w:tc>
          <w:tcPr>
            <w:tcW w:w="1481" w:type="pct"/>
            <w:gridSpan w:val="4"/>
            <w:vAlign w:val="center"/>
          </w:tcPr>
          <w:p w14:paraId="3980BAA2">
            <w:pPr>
              <w:jc w:val="center"/>
              <w:rPr>
                <w:rFonts w:hint="eastAsia" w:ascii="Times New Roman" w:hAnsi="Times New Roman" w:eastAsia="宋体" w:cs="Times New Roman"/>
                <w:spacing w:val="9"/>
                <w:sz w:val="24"/>
                <w:szCs w:val="24"/>
                <w:highlight w:val="none"/>
                <w:lang w:eastAsia="zh-CN"/>
              </w:rPr>
            </w:pPr>
            <w:r>
              <w:rPr>
                <w:rFonts w:hint="eastAsia" w:cs="Times New Roman"/>
                <w:spacing w:val="9"/>
                <w:sz w:val="24"/>
                <w:szCs w:val="24"/>
                <w:highlight w:val="none"/>
                <w:lang w:val="en-US" w:eastAsia="zh-CN"/>
              </w:rPr>
              <w:t>/</w:t>
            </w:r>
          </w:p>
        </w:tc>
        <w:tc>
          <w:tcPr>
            <w:tcW w:w="1248" w:type="pct"/>
            <w:gridSpan w:val="5"/>
            <w:vAlign w:val="center"/>
          </w:tcPr>
          <w:p w14:paraId="1A849A0B">
            <w:pPr>
              <w:jc w:val="center"/>
              <w:rPr>
                <w:rFonts w:ascii="Times New Roman" w:hAnsi="Times New Roman" w:eastAsia="宋体" w:cs="Times New Roman"/>
                <w:spacing w:val="9"/>
                <w:sz w:val="24"/>
                <w:szCs w:val="24"/>
                <w:highlight w:val="none"/>
              </w:rPr>
            </w:pPr>
            <w:r>
              <w:rPr>
                <w:rFonts w:hint="eastAsia" w:ascii="Times New Roman" w:hAnsi="Times New Roman" w:eastAsia="宋体" w:cs="Times New Roman"/>
                <w:spacing w:val="9"/>
                <w:sz w:val="24"/>
                <w:szCs w:val="24"/>
                <w:highlight w:val="none"/>
              </w:rPr>
              <w:t>环保设施施工单位</w:t>
            </w:r>
          </w:p>
        </w:tc>
        <w:tc>
          <w:tcPr>
            <w:tcW w:w="1364" w:type="pct"/>
            <w:gridSpan w:val="3"/>
            <w:vAlign w:val="center"/>
          </w:tcPr>
          <w:p w14:paraId="0FA4F982">
            <w:pPr>
              <w:jc w:val="center"/>
              <w:rPr>
                <w:rFonts w:hint="eastAsia" w:ascii="Times New Roman" w:hAnsi="Times New Roman" w:eastAsia="宋体" w:cs="Times New Roman"/>
                <w:sz w:val="24"/>
                <w:szCs w:val="24"/>
                <w:highlight w:val="none"/>
                <w:lang w:eastAsia="zh-CN"/>
              </w:rPr>
            </w:pPr>
            <w:r>
              <w:rPr>
                <w:rFonts w:hint="eastAsia" w:cs="Times New Roman"/>
                <w:sz w:val="24"/>
                <w:szCs w:val="24"/>
                <w:highlight w:val="none"/>
                <w:lang w:val="en-US" w:eastAsia="zh-CN"/>
              </w:rPr>
              <w:t>/</w:t>
            </w:r>
          </w:p>
        </w:tc>
      </w:tr>
      <w:tr w14:paraId="10973BC4">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06" w:type="pct"/>
            <w:vAlign w:val="center"/>
          </w:tcPr>
          <w:p w14:paraId="17202C8A">
            <w:pPr>
              <w:jc w:val="center"/>
              <w:rPr>
                <w:rFonts w:ascii="Times New Roman" w:hAnsi="Times New Roman" w:eastAsia="宋体" w:cs="Times New Roman"/>
                <w:spacing w:val="9"/>
                <w:sz w:val="24"/>
                <w:szCs w:val="24"/>
              </w:rPr>
            </w:pPr>
            <w:r>
              <w:rPr>
                <w:rFonts w:hint="eastAsia" w:ascii="Times New Roman" w:hAnsi="Times New Roman" w:eastAsia="宋体" w:cs="Times New Roman"/>
                <w:spacing w:val="9"/>
                <w:sz w:val="24"/>
                <w:szCs w:val="24"/>
              </w:rPr>
              <w:t>环评设计生产能力</w:t>
            </w:r>
          </w:p>
        </w:tc>
        <w:tc>
          <w:tcPr>
            <w:tcW w:w="4094" w:type="pct"/>
            <w:gridSpan w:val="12"/>
            <w:vAlign w:val="center"/>
          </w:tcPr>
          <w:p w14:paraId="2B5FADB1">
            <w:pPr>
              <w:spacing w:before="156" w:beforeLines="50" w:after="156" w:afterLines="50"/>
              <w:ind w:left="105" w:leftChars="50" w:right="105" w:rightChars="50"/>
              <w:rPr>
                <w:rFonts w:hint="default" w:ascii="Times New Roman" w:hAnsi="Times New Roman" w:eastAsia="宋体" w:cs="Times New Roman"/>
                <w:spacing w:val="9"/>
                <w:sz w:val="24"/>
                <w:szCs w:val="24"/>
                <w:highlight w:val="none"/>
                <w:lang w:val="en-US"/>
              </w:rPr>
            </w:pPr>
            <w:r>
              <w:rPr>
                <w:rFonts w:hint="default" w:ascii="Times New Roman" w:hAnsi="Times New Roman" w:eastAsia="宋体" w:cs="Times New Roman"/>
                <w:spacing w:val="9"/>
                <w:sz w:val="24"/>
                <w:szCs w:val="24"/>
                <w:highlight w:val="none"/>
                <w:lang w:val="en-US" w:eastAsia="zh-CN"/>
              </w:rPr>
              <w:t>手机玻璃后盖800万片/年</w:t>
            </w:r>
          </w:p>
        </w:tc>
      </w:tr>
      <w:tr w14:paraId="6AB04940">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06" w:type="pct"/>
            <w:vAlign w:val="center"/>
          </w:tcPr>
          <w:p w14:paraId="20EDB962">
            <w:pPr>
              <w:jc w:val="center"/>
              <w:rPr>
                <w:rFonts w:ascii="Times New Roman" w:hAnsi="Times New Roman" w:eastAsia="宋体" w:cs="Times New Roman"/>
                <w:spacing w:val="9"/>
                <w:sz w:val="24"/>
                <w:szCs w:val="24"/>
              </w:rPr>
            </w:pPr>
            <w:r>
              <w:rPr>
                <w:rFonts w:hint="eastAsia" w:ascii="Times New Roman" w:hAnsi="Times New Roman" w:eastAsia="宋体" w:cs="Times New Roman"/>
                <w:spacing w:val="9"/>
                <w:sz w:val="24"/>
                <w:szCs w:val="24"/>
              </w:rPr>
              <w:t>实际建设生产能力</w:t>
            </w:r>
          </w:p>
        </w:tc>
        <w:tc>
          <w:tcPr>
            <w:tcW w:w="4094" w:type="pct"/>
            <w:gridSpan w:val="12"/>
            <w:vAlign w:val="center"/>
          </w:tcPr>
          <w:p w14:paraId="5AEDAA6F">
            <w:pPr>
              <w:spacing w:before="156" w:beforeLines="50" w:after="156" w:afterLines="50"/>
              <w:ind w:left="105" w:leftChars="50" w:right="105" w:rightChars="50"/>
              <w:rPr>
                <w:rFonts w:hint="default" w:ascii="Times New Roman" w:hAnsi="Times New Roman" w:eastAsia="宋体" w:cs="Times New Roman"/>
                <w:spacing w:val="10"/>
                <w:sz w:val="24"/>
                <w:szCs w:val="24"/>
                <w:highlight w:val="none"/>
              </w:rPr>
            </w:pPr>
            <w:r>
              <w:rPr>
                <w:rFonts w:hint="default" w:ascii="Times New Roman" w:hAnsi="Times New Roman" w:eastAsia="宋体" w:cs="Times New Roman"/>
                <w:spacing w:val="9"/>
                <w:sz w:val="24"/>
                <w:szCs w:val="24"/>
                <w:highlight w:val="none"/>
                <w:lang w:val="en-US" w:eastAsia="zh-CN"/>
              </w:rPr>
              <w:t>手机玻璃后盖800万片/年</w:t>
            </w:r>
          </w:p>
        </w:tc>
      </w:tr>
      <w:tr w14:paraId="6FEE98A0">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06" w:type="pct"/>
            <w:vAlign w:val="center"/>
          </w:tcPr>
          <w:p w14:paraId="3E4CFE25">
            <w:pPr>
              <w:jc w:val="center"/>
              <w:rPr>
                <w:rFonts w:ascii="Times New Roman" w:hAnsi="Times New Roman" w:eastAsia="宋体" w:cs="Times New Roman"/>
                <w:spacing w:val="9"/>
                <w:sz w:val="24"/>
                <w:szCs w:val="24"/>
              </w:rPr>
            </w:pPr>
            <w:r>
              <w:rPr>
                <w:rFonts w:hint="eastAsia" w:ascii="Times New Roman" w:hAnsi="Times New Roman" w:eastAsia="宋体" w:cs="Times New Roman"/>
                <w:spacing w:val="9"/>
                <w:sz w:val="24"/>
                <w:szCs w:val="24"/>
              </w:rPr>
              <w:t>建设内容</w:t>
            </w:r>
          </w:p>
        </w:tc>
        <w:tc>
          <w:tcPr>
            <w:tcW w:w="4094" w:type="pct"/>
            <w:gridSpan w:val="12"/>
            <w:vAlign w:val="center"/>
          </w:tcPr>
          <w:p w14:paraId="2ABEAC8E">
            <w:pPr>
              <w:spacing w:before="156" w:beforeLines="50" w:after="156" w:afterLines="50"/>
              <w:ind w:left="105" w:leftChars="50" w:right="105" w:rightChars="50"/>
              <w:jc w:val="left"/>
              <w:rPr>
                <w:rFonts w:hint="default" w:ascii="Times New Roman" w:hAnsi="Times New Roman" w:eastAsia="宋体" w:cs="Times New Roman"/>
                <w:spacing w:val="11"/>
                <w:sz w:val="24"/>
                <w:szCs w:val="24"/>
                <w:highlight w:val="none"/>
                <w:lang w:val="en-US" w:eastAsia="zh-CN"/>
              </w:rPr>
            </w:pPr>
            <w:r>
              <w:rPr>
                <w:rFonts w:hint="eastAsia" w:ascii="Times New Roman" w:hAnsi="Times New Roman" w:eastAsia="宋体" w:cs="Times New Roman"/>
                <w:spacing w:val="11"/>
                <w:sz w:val="24"/>
                <w:szCs w:val="24"/>
                <w:highlight w:val="none"/>
                <w:lang w:val="en-US" w:eastAsia="zh-CN"/>
              </w:rPr>
              <w:t>建设手机玻璃后盖生产线用作原有项目年产800万件手机玻璃后盖延伸工艺加工，主要布置凹面涂油机、烤箱、凸面光刻胶喷涂机、曝光机、清洗机、AG蚀刻生产线</w:t>
            </w:r>
            <w:r>
              <w:rPr>
                <w:rFonts w:hint="eastAsia" w:cs="Times New Roman"/>
                <w:spacing w:val="11"/>
                <w:sz w:val="24"/>
                <w:szCs w:val="24"/>
                <w:highlight w:val="none"/>
                <w:lang w:val="en-US" w:eastAsia="zh-CN"/>
              </w:rPr>
              <w:t>、</w:t>
            </w:r>
            <w:r>
              <w:rPr>
                <w:rFonts w:hint="eastAsia" w:ascii="Times New Roman" w:hAnsi="Times New Roman" w:eastAsia="宋体" w:cs="Times New Roman"/>
                <w:spacing w:val="11"/>
                <w:sz w:val="24"/>
                <w:szCs w:val="24"/>
                <w:highlight w:val="none"/>
                <w:lang w:val="en-US" w:eastAsia="zh-CN"/>
              </w:rPr>
              <w:t>电池盖背胶组装线、Deco用户面组装线、Deco系统面组装线、点胶组装线、镜片组装线等设备</w:t>
            </w:r>
            <w:r>
              <w:rPr>
                <w:rFonts w:hint="eastAsia" w:cs="Times New Roman"/>
                <w:spacing w:val="11"/>
                <w:sz w:val="24"/>
                <w:szCs w:val="24"/>
                <w:highlight w:val="none"/>
                <w:lang w:eastAsia="zh-CN"/>
              </w:rPr>
              <w:t>，</w:t>
            </w:r>
            <w:r>
              <w:rPr>
                <w:rFonts w:hint="eastAsia" w:cs="Times New Roman"/>
                <w:spacing w:val="11"/>
                <w:sz w:val="24"/>
                <w:szCs w:val="24"/>
                <w:highlight w:val="none"/>
                <w:lang w:val="en-US" w:eastAsia="zh-CN"/>
              </w:rPr>
              <w:t>并配套建设有机废气处理设施、AG蚀刻线蒙砂废气、化抛废气等环保处理设施。</w:t>
            </w:r>
          </w:p>
        </w:tc>
      </w:tr>
      <w:tr w14:paraId="2AEABFF7">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06" w:type="pct"/>
            <w:vAlign w:val="center"/>
          </w:tcPr>
          <w:p w14:paraId="14DC873A">
            <w:pPr>
              <w:jc w:val="center"/>
              <w:rPr>
                <w:rFonts w:ascii="Times New Roman" w:hAnsi="Times New Roman" w:eastAsia="宋体" w:cs="Times New Roman"/>
                <w:spacing w:val="9"/>
                <w:sz w:val="24"/>
                <w:szCs w:val="24"/>
              </w:rPr>
            </w:pPr>
            <w:r>
              <w:rPr>
                <w:rFonts w:hint="eastAsia" w:ascii="Times New Roman" w:hAnsi="Times New Roman" w:eastAsia="宋体" w:cs="Times New Roman"/>
                <w:spacing w:val="9"/>
                <w:sz w:val="24"/>
                <w:szCs w:val="24"/>
              </w:rPr>
              <w:t>概算总投资</w:t>
            </w:r>
          </w:p>
          <w:p w14:paraId="6B3C784F">
            <w:pPr>
              <w:jc w:val="center"/>
              <w:rPr>
                <w:rFonts w:ascii="Times New Roman" w:hAnsi="Times New Roman" w:eastAsia="宋体" w:cs="Times New Roman"/>
                <w:spacing w:val="9"/>
                <w:sz w:val="24"/>
                <w:szCs w:val="24"/>
              </w:rPr>
            </w:pPr>
            <w:r>
              <w:rPr>
                <w:rFonts w:hint="eastAsia" w:ascii="Times New Roman" w:hAnsi="Times New Roman" w:eastAsia="宋体" w:cs="Times New Roman"/>
                <w:spacing w:val="9"/>
                <w:sz w:val="24"/>
                <w:szCs w:val="24"/>
              </w:rPr>
              <w:t>（</w:t>
            </w:r>
            <w:r>
              <w:rPr>
                <w:rFonts w:ascii="Times New Roman" w:hAnsi="Times New Roman" w:eastAsia="宋体" w:cs="Times New Roman"/>
                <w:spacing w:val="9"/>
                <w:sz w:val="24"/>
                <w:szCs w:val="24"/>
              </w:rPr>
              <w:t>万元</w:t>
            </w:r>
            <w:r>
              <w:rPr>
                <w:rFonts w:hint="eastAsia" w:ascii="Times New Roman" w:hAnsi="Times New Roman" w:eastAsia="宋体" w:cs="Times New Roman"/>
                <w:spacing w:val="9"/>
                <w:sz w:val="24"/>
                <w:szCs w:val="24"/>
              </w:rPr>
              <w:t>）</w:t>
            </w:r>
          </w:p>
        </w:tc>
        <w:tc>
          <w:tcPr>
            <w:tcW w:w="819" w:type="pct"/>
            <w:vAlign w:val="center"/>
          </w:tcPr>
          <w:p w14:paraId="09E07067">
            <w:pPr>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15000</w:t>
            </w:r>
          </w:p>
        </w:tc>
        <w:tc>
          <w:tcPr>
            <w:tcW w:w="819" w:type="pct"/>
            <w:gridSpan w:val="4"/>
            <w:vAlign w:val="center"/>
          </w:tcPr>
          <w:p w14:paraId="0244E315">
            <w:pPr>
              <w:jc w:val="center"/>
              <w:rPr>
                <w:rFonts w:ascii="Times New Roman" w:hAnsi="Times New Roman" w:eastAsia="宋体" w:cs="Times New Roman"/>
                <w:spacing w:val="9"/>
                <w:sz w:val="24"/>
                <w:szCs w:val="24"/>
              </w:rPr>
            </w:pPr>
            <w:r>
              <w:rPr>
                <w:rFonts w:ascii="Times New Roman" w:hAnsi="Times New Roman" w:eastAsia="宋体" w:cs="Times New Roman"/>
                <w:spacing w:val="9"/>
                <w:sz w:val="24"/>
                <w:szCs w:val="24"/>
              </w:rPr>
              <w:t>环境保护投资</w:t>
            </w:r>
            <w:r>
              <w:rPr>
                <w:rFonts w:hint="eastAsia" w:ascii="Times New Roman" w:hAnsi="Times New Roman" w:eastAsia="宋体" w:cs="Times New Roman"/>
                <w:spacing w:val="9"/>
                <w:sz w:val="24"/>
                <w:szCs w:val="24"/>
              </w:rPr>
              <w:t>（</w:t>
            </w:r>
            <w:r>
              <w:rPr>
                <w:rFonts w:ascii="Times New Roman" w:hAnsi="Times New Roman" w:eastAsia="宋体" w:cs="Times New Roman"/>
                <w:spacing w:val="9"/>
                <w:sz w:val="24"/>
                <w:szCs w:val="24"/>
              </w:rPr>
              <w:t>万元</w:t>
            </w:r>
            <w:r>
              <w:rPr>
                <w:rFonts w:hint="eastAsia" w:ascii="Times New Roman" w:hAnsi="Times New Roman" w:eastAsia="宋体" w:cs="Times New Roman"/>
                <w:spacing w:val="9"/>
                <w:sz w:val="24"/>
                <w:szCs w:val="24"/>
              </w:rPr>
              <w:t>）</w:t>
            </w:r>
          </w:p>
        </w:tc>
        <w:tc>
          <w:tcPr>
            <w:tcW w:w="819" w:type="pct"/>
            <w:gridSpan w:val="2"/>
            <w:vAlign w:val="center"/>
          </w:tcPr>
          <w:p w14:paraId="27C850EE">
            <w:pPr>
              <w:jc w:val="center"/>
              <w:rPr>
                <w:rFonts w:hint="default" w:ascii="Times New Roman" w:hAnsi="Times New Roman" w:eastAsia="宋体" w:cs="Times New Roman"/>
                <w:spacing w:val="9"/>
                <w:sz w:val="24"/>
                <w:szCs w:val="24"/>
                <w:lang w:val="en-US" w:eastAsia="zh-CN"/>
              </w:rPr>
            </w:pPr>
            <w:r>
              <w:rPr>
                <w:rFonts w:hint="eastAsia" w:cs="Times New Roman"/>
                <w:spacing w:val="9"/>
                <w:sz w:val="24"/>
                <w:szCs w:val="24"/>
                <w:lang w:val="en-US" w:eastAsia="zh-CN"/>
              </w:rPr>
              <w:t>150</w:t>
            </w:r>
          </w:p>
        </w:tc>
        <w:tc>
          <w:tcPr>
            <w:tcW w:w="819" w:type="pct"/>
            <w:gridSpan w:val="4"/>
            <w:vAlign w:val="center"/>
          </w:tcPr>
          <w:p w14:paraId="4AD58C0F">
            <w:pPr>
              <w:jc w:val="center"/>
              <w:rPr>
                <w:rFonts w:ascii="Times New Roman" w:hAnsi="Times New Roman" w:eastAsia="宋体" w:cs="Times New Roman"/>
                <w:spacing w:val="9"/>
                <w:sz w:val="24"/>
                <w:szCs w:val="24"/>
              </w:rPr>
            </w:pPr>
            <w:r>
              <w:rPr>
                <w:rFonts w:ascii="Times New Roman" w:hAnsi="Times New Roman" w:eastAsia="宋体" w:cs="Times New Roman"/>
                <w:spacing w:val="9"/>
                <w:sz w:val="24"/>
                <w:szCs w:val="24"/>
              </w:rPr>
              <w:t>环境保护投</w:t>
            </w:r>
          </w:p>
          <w:p w14:paraId="7D6B04DF">
            <w:pPr>
              <w:jc w:val="center"/>
              <w:rPr>
                <w:rFonts w:ascii="Times New Roman" w:hAnsi="Times New Roman" w:eastAsia="宋体" w:cs="Times New Roman"/>
                <w:spacing w:val="9"/>
                <w:sz w:val="24"/>
                <w:szCs w:val="24"/>
              </w:rPr>
            </w:pPr>
            <w:r>
              <w:rPr>
                <w:rFonts w:ascii="Times New Roman" w:hAnsi="Times New Roman" w:eastAsia="宋体" w:cs="Times New Roman"/>
                <w:spacing w:val="9"/>
                <w:sz w:val="24"/>
                <w:szCs w:val="24"/>
              </w:rPr>
              <w:t>资占总投资</w:t>
            </w:r>
          </w:p>
          <w:p w14:paraId="0DA6CEA9">
            <w:pPr>
              <w:jc w:val="center"/>
              <w:rPr>
                <w:rFonts w:ascii="Times New Roman" w:hAnsi="Times New Roman" w:eastAsia="宋体" w:cs="Times New Roman"/>
                <w:spacing w:val="9"/>
                <w:sz w:val="24"/>
                <w:szCs w:val="24"/>
              </w:rPr>
            </w:pPr>
            <w:r>
              <w:rPr>
                <w:rFonts w:ascii="Times New Roman" w:hAnsi="Times New Roman" w:eastAsia="宋体" w:cs="Times New Roman"/>
                <w:spacing w:val="9"/>
                <w:sz w:val="24"/>
                <w:szCs w:val="24"/>
              </w:rPr>
              <w:t>比例</w:t>
            </w:r>
          </w:p>
        </w:tc>
        <w:tc>
          <w:tcPr>
            <w:tcW w:w="818" w:type="pct"/>
            <w:vAlign w:val="center"/>
          </w:tcPr>
          <w:p w14:paraId="5352CF62">
            <w:pPr>
              <w:jc w:val="center"/>
              <w:rPr>
                <w:rFonts w:ascii="Times New Roman" w:hAnsi="Times New Roman" w:eastAsia="宋体" w:cs="Times New Roman"/>
                <w:sz w:val="24"/>
                <w:szCs w:val="24"/>
              </w:rPr>
            </w:pPr>
            <w:r>
              <w:rPr>
                <w:rFonts w:hint="eastAsia" w:cs="Times New Roman"/>
                <w:sz w:val="24"/>
                <w:szCs w:val="24"/>
                <w:lang w:val="en-US" w:eastAsia="zh-CN"/>
              </w:rPr>
              <w:t>1</w:t>
            </w:r>
            <w:r>
              <w:rPr>
                <w:rFonts w:ascii="Times New Roman" w:hAnsi="Times New Roman" w:eastAsia="宋体" w:cs="Times New Roman"/>
                <w:sz w:val="24"/>
                <w:szCs w:val="24"/>
              </w:rPr>
              <w:t>%</w:t>
            </w:r>
          </w:p>
        </w:tc>
      </w:tr>
      <w:tr w14:paraId="244F2F7A">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906" w:type="pct"/>
            <w:vAlign w:val="center"/>
          </w:tcPr>
          <w:p w14:paraId="0AD326A6">
            <w:pPr>
              <w:jc w:val="center"/>
              <w:rPr>
                <w:rFonts w:ascii="Times New Roman" w:hAnsi="Times New Roman" w:eastAsia="宋体" w:cs="Times New Roman"/>
                <w:spacing w:val="9"/>
                <w:sz w:val="24"/>
                <w:szCs w:val="24"/>
              </w:rPr>
            </w:pPr>
            <w:r>
              <w:rPr>
                <w:rFonts w:ascii="Times New Roman" w:hAnsi="Times New Roman" w:eastAsia="宋体" w:cs="Times New Roman"/>
                <w:spacing w:val="9"/>
                <w:sz w:val="24"/>
                <w:szCs w:val="24"/>
              </w:rPr>
              <w:t>实际总投资</w:t>
            </w:r>
          </w:p>
          <w:p w14:paraId="617E5F75">
            <w:pPr>
              <w:jc w:val="center"/>
              <w:rPr>
                <w:rFonts w:ascii="Times New Roman" w:hAnsi="Times New Roman" w:eastAsia="宋体" w:cs="Times New Roman"/>
                <w:spacing w:val="9"/>
                <w:sz w:val="24"/>
                <w:szCs w:val="24"/>
              </w:rPr>
            </w:pPr>
            <w:r>
              <w:rPr>
                <w:rFonts w:hint="eastAsia" w:ascii="Times New Roman" w:hAnsi="Times New Roman" w:eastAsia="宋体" w:cs="Times New Roman"/>
                <w:spacing w:val="9"/>
                <w:sz w:val="24"/>
                <w:szCs w:val="24"/>
              </w:rPr>
              <w:t>（</w:t>
            </w:r>
            <w:r>
              <w:rPr>
                <w:rFonts w:ascii="Times New Roman" w:hAnsi="Times New Roman" w:eastAsia="宋体" w:cs="Times New Roman"/>
                <w:spacing w:val="9"/>
                <w:sz w:val="24"/>
                <w:szCs w:val="24"/>
              </w:rPr>
              <w:t>万元</w:t>
            </w:r>
            <w:r>
              <w:rPr>
                <w:rFonts w:hint="eastAsia" w:ascii="Times New Roman" w:hAnsi="Times New Roman" w:eastAsia="宋体" w:cs="Times New Roman"/>
                <w:spacing w:val="9"/>
                <w:sz w:val="24"/>
                <w:szCs w:val="24"/>
              </w:rPr>
              <w:t>）</w:t>
            </w:r>
          </w:p>
        </w:tc>
        <w:tc>
          <w:tcPr>
            <w:tcW w:w="819" w:type="pct"/>
            <w:vAlign w:val="center"/>
          </w:tcPr>
          <w:p w14:paraId="4820EB56">
            <w:pPr>
              <w:jc w:val="center"/>
              <w:rPr>
                <w:rFonts w:hint="default" w:ascii="Times New Roman" w:hAnsi="Times New Roman" w:eastAsia="宋体" w:cs="Times New Roman"/>
                <w:sz w:val="24"/>
                <w:szCs w:val="24"/>
                <w:highlight w:val="none"/>
                <w:lang w:val="en-US" w:eastAsia="zh-CN"/>
              </w:rPr>
            </w:pPr>
            <w:r>
              <w:rPr>
                <w:rFonts w:hint="eastAsia" w:cs="Times New Roman"/>
                <w:sz w:val="24"/>
                <w:szCs w:val="24"/>
                <w:highlight w:val="none"/>
                <w:lang w:val="en-US" w:eastAsia="zh-CN"/>
              </w:rPr>
              <w:t>15000</w:t>
            </w:r>
          </w:p>
        </w:tc>
        <w:tc>
          <w:tcPr>
            <w:tcW w:w="819" w:type="pct"/>
            <w:gridSpan w:val="4"/>
            <w:vAlign w:val="center"/>
          </w:tcPr>
          <w:p w14:paraId="31F1284C">
            <w:pPr>
              <w:jc w:val="center"/>
              <w:rPr>
                <w:rFonts w:ascii="Times New Roman" w:hAnsi="Times New Roman" w:eastAsia="宋体" w:cs="Times New Roman"/>
                <w:spacing w:val="9"/>
                <w:sz w:val="24"/>
                <w:szCs w:val="24"/>
                <w:highlight w:val="none"/>
              </w:rPr>
            </w:pPr>
            <w:r>
              <w:rPr>
                <w:rFonts w:ascii="Times New Roman" w:hAnsi="Times New Roman" w:eastAsia="宋体" w:cs="Times New Roman"/>
                <w:spacing w:val="9"/>
                <w:sz w:val="24"/>
                <w:szCs w:val="24"/>
                <w:highlight w:val="none"/>
              </w:rPr>
              <w:t>环境保护投资</w:t>
            </w:r>
            <w:r>
              <w:rPr>
                <w:rFonts w:hint="eastAsia" w:ascii="Times New Roman" w:hAnsi="Times New Roman" w:eastAsia="宋体" w:cs="Times New Roman"/>
                <w:spacing w:val="9"/>
                <w:sz w:val="24"/>
                <w:szCs w:val="24"/>
                <w:highlight w:val="none"/>
              </w:rPr>
              <w:t>（</w:t>
            </w:r>
            <w:r>
              <w:rPr>
                <w:rFonts w:ascii="Times New Roman" w:hAnsi="Times New Roman" w:eastAsia="宋体" w:cs="Times New Roman"/>
                <w:spacing w:val="9"/>
                <w:sz w:val="24"/>
                <w:szCs w:val="24"/>
                <w:highlight w:val="none"/>
              </w:rPr>
              <w:t>万元</w:t>
            </w:r>
            <w:r>
              <w:rPr>
                <w:rFonts w:hint="eastAsia" w:ascii="Times New Roman" w:hAnsi="Times New Roman" w:eastAsia="宋体" w:cs="Times New Roman"/>
                <w:spacing w:val="9"/>
                <w:sz w:val="24"/>
                <w:szCs w:val="24"/>
                <w:highlight w:val="none"/>
              </w:rPr>
              <w:t>）</w:t>
            </w:r>
          </w:p>
        </w:tc>
        <w:tc>
          <w:tcPr>
            <w:tcW w:w="819" w:type="pct"/>
            <w:gridSpan w:val="2"/>
            <w:vAlign w:val="center"/>
          </w:tcPr>
          <w:p w14:paraId="0BA3AE39">
            <w:pPr>
              <w:jc w:val="center"/>
              <w:rPr>
                <w:rFonts w:hint="default" w:ascii="Times New Roman" w:hAnsi="Times New Roman" w:eastAsia="宋体" w:cs="Times New Roman"/>
                <w:spacing w:val="9"/>
                <w:sz w:val="24"/>
                <w:szCs w:val="24"/>
                <w:highlight w:val="none"/>
                <w:lang w:val="en-US" w:eastAsia="zh-CN"/>
              </w:rPr>
            </w:pPr>
            <w:r>
              <w:rPr>
                <w:rFonts w:hint="eastAsia" w:cs="Times New Roman"/>
                <w:spacing w:val="9"/>
                <w:sz w:val="24"/>
                <w:szCs w:val="24"/>
                <w:highlight w:val="none"/>
                <w:lang w:val="en-US" w:eastAsia="zh-CN"/>
              </w:rPr>
              <w:t>155</w:t>
            </w:r>
          </w:p>
        </w:tc>
        <w:tc>
          <w:tcPr>
            <w:tcW w:w="819" w:type="pct"/>
            <w:gridSpan w:val="4"/>
            <w:vAlign w:val="center"/>
          </w:tcPr>
          <w:p w14:paraId="215F868B">
            <w:pPr>
              <w:jc w:val="center"/>
              <w:rPr>
                <w:rFonts w:ascii="Times New Roman" w:hAnsi="Times New Roman" w:eastAsia="宋体" w:cs="Times New Roman"/>
                <w:spacing w:val="9"/>
                <w:sz w:val="24"/>
                <w:szCs w:val="24"/>
                <w:highlight w:val="none"/>
              </w:rPr>
            </w:pPr>
            <w:r>
              <w:rPr>
                <w:rFonts w:ascii="Times New Roman" w:hAnsi="Times New Roman" w:eastAsia="宋体" w:cs="Times New Roman"/>
                <w:spacing w:val="9"/>
                <w:sz w:val="24"/>
                <w:szCs w:val="24"/>
                <w:highlight w:val="none"/>
              </w:rPr>
              <w:t>环境保护投</w:t>
            </w:r>
          </w:p>
          <w:p w14:paraId="68B9410F">
            <w:pPr>
              <w:jc w:val="center"/>
              <w:rPr>
                <w:rFonts w:ascii="Times New Roman" w:hAnsi="Times New Roman" w:eastAsia="宋体" w:cs="Times New Roman"/>
                <w:spacing w:val="9"/>
                <w:sz w:val="24"/>
                <w:szCs w:val="24"/>
                <w:highlight w:val="none"/>
              </w:rPr>
            </w:pPr>
            <w:r>
              <w:rPr>
                <w:rFonts w:ascii="Times New Roman" w:hAnsi="Times New Roman" w:eastAsia="宋体" w:cs="Times New Roman"/>
                <w:spacing w:val="9"/>
                <w:sz w:val="24"/>
                <w:szCs w:val="24"/>
                <w:highlight w:val="none"/>
              </w:rPr>
              <w:t>资占总投资</w:t>
            </w:r>
          </w:p>
          <w:p w14:paraId="2601CFFE">
            <w:pPr>
              <w:jc w:val="center"/>
              <w:rPr>
                <w:rFonts w:ascii="Times New Roman" w:hAnsi="Times New Roman" w:eastAsia="宋体" w:cs="Times New Roman"/>
                <w:spacing w:val="9"/>
                <w:sz w:val="24"/>
                <w:szCs w:val="24"/>
                <w:highlight w:val="none"/>
              </w:rPr>
            </w:pPr>
            <w:r>
              <w:rPr>
                <w:rFonts w:ascii="Times New Roman" w:hAnsi="Times New Roman" w:eastAsia="宋体" w:cs="Times New Roman"/>
                <w:spacing w:val="9"/>
                <w:sz w:val="24"/>
                <w:szCs w:val="24"/>
                <w:highlight w:val="none"/>
              </w:rPr>
              <w:t>比例</w:t>
            </w:r>
          </w:p>
        </w:tc>
        <w:tc>
          <w:tcPr>
            <w:tcW w:w="818" w:type="pct"/>
            <w:vAlign w:val="center"/>
          </w:tcPr>
          <w:p w14:paraId="2E94FA33">
            <w:pPr>
              <w:jc w:val="center"/>
              <w:rPr>
                <w:rFonts w:ascii="Times New Roman" w:hAnsi="Times New Roman" w:eastAsia="宋体" w:cs="Times New Roman"/>
                <w:sz w:val="24"/>
                <w:szCs w:val="24"/>
                <w:highlight w:val="none"/>
              </w:rPr>
            </w:pPr>
            <w:r>
              <w:rPr>
                <w:rFonts w:hint="eastAsia" w:cs="Times New Roman"/>
                <w:sz w:val="24"/>
                <w:szCs w:val="24"/>
                <w:highlight w:val="none"/>
                <w:lang w:val="en-US" w:eastAsia="zh-CN"/>
              </w:rPr>
              <w:t>1</w:t>
            </w:r>
            <w:r>
              <w:rPr>
                <w:rFonts w:ascii="Times New Roman" w:hAnsi="Times New Roman" w:eastAsia="宋体" w:cs="Times New Roman"/>
                <w:sz w:val="24"/>
                <w:szCs w:val="24"/>
                <w:highlight w:val="none"/>
              </w:rPr>
              <w:t>%</w:t>
            </w:r>
          </w:p>
        </w:tc>
      </w:tr>
    </w:tbl>
    <w:p w14:paraId="7F034C33">
      <w:pPr>
        <w:pStyle w:val="3"/>
        <w:keepNext/>
        <w:keepLines/>
        <w:pageBreakBefore w:val="0"/>
        <w:widowControl w:val="0"/>
        <w:kinsoku/>
        <w:wordWrap/>
        <w:overflowPunct/>
        <w:topLinePunct w:val="0"/>
        <w:autoSpaceDE/>
        <w:autoSpaceDN/>
        <w:bidi w:val="0"/>
        <w:adjustRightInd/>
        <w:snapToGrid/>
        <w:spacing w:line="360" w:lineRule="auto"/>
        <w:textAlignment w:val="auto"/>
      </w:pPr>
      <w:bookmarkStart w:id="9" w:name="_Toc9105"/>
      <w:r>
        <w:t>1.2</w:t>
      </w:r>
      <w:r>
        <w:rPr>
          <w:rFonts w:hint="eastAsia"/>
        </w:rPr>
        <w:t>验收工作由来</w:t>
      </w:r>
      <w:bookmarkEnd w:id="9"/>
    </w:p>
    <w:p w14:paraId="63D4DFF3">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重庆京东方晶远科技有限公司</w:t>
      </w:r>
      <w:r>
        <w:rPr>
          <w:rFonts w:hint="default" w:ascii="Times New Roman" w:hAnsi="Times New Roman" w:eastAsia="宋体" w:cs="Times New Roman"/>
          <w:sz w:val="24"/>
          <w:szCs w:val="24"/>
          <w:lang w:val="en-US" w:eastAsia="zh-CN"/>
        </w:rPr>
        <w:t>现已</w:t>
      </w:r>
      <w:r>
        <w:rPr>
          <w:rFonts w:hint="default" w:ascii="Times New Roman" w:hAnsi="Times New Roman" w:eastAsia="宋体" w:cs="Times New Roman"/>
          <w:sz w:val="24"/>
          <w:szCs w:val="24"/>
        </w:rPr>
        <w:t>租用高新区西永街道西景大道1号B01号楼、B02号楼、</w:t>
      </w:r>
      <w:r>
        <w:rPr>
          <w:rFonts w:hint="default" w:ascii="Times New Roman" w:hAnsi="Times New Roman" w:eastAsia="宋体" w:cs="Times New Roman"/>
          <w:sz w:val="24"/>
          <w:szCs w:val="24"/>
          <w:lang w:val="en-US" w:eastAsia="zh-CN"/>
        </w:rPr>
        <w:t>B03号楼、</w:t>
      </w:r>
      <w:r>
        <w:rPr>
          <w:rFonts w:hint="default" w:ascii="Times New Roman" w:hAnsi="Times New Roman" w:eastAsia="宋体" w:cs="Times New Roman"/>
          <w:sz w:val="24"/>
          <w:szCs w:val="24"/>
        </w:rPr>
        <w:t>B21号楼、B04b号楼闲置厂房，总建筑面积104265</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rPr>
        <w:t>，购置手机玻璃盖板国产设备抛光机、移印机、清洗设备、车载玻璃盖板国产设备等，</w:t>
      </w:r>
      <w:r>
        <w:rPr>
          <w:rFonts w:hint="default" w:ascii="Times New Roman" w:hAnsi="Times New Roman" w:eastAsia="宋体" w:cs="Times New Roman"/>
          <w:sz w:val="24"/>
          <w:szCs w:val="24"/>
          <w:lang w:val="en-US" w:eastAsia="zh-CN"/>
        </w:rPr>
        <w:t>建设</w:t>
      </w:r>
      <w:r>
        <w:rPr>
          <w:rFonts w:hint="default" w:ascii="Times New Roman" w:hAnsi="Times New Roman" w:eastAsia="宋体" w:cs="Times New Roman"/>
          <w:sz w:val="24"/>
          <w:szCs w:val="24"/>
        </w:rPr>
        <w:t>微晶手机玻璃盖板生产线及车载玻璃盖板生产线，</w:t>
      </w:r>
      <w:r>
        <w:rPr>
          <w:rFonts w:hint="default" w:ascii="Times New Roman" w:hAnsi="Times New Roman" w:eastAsia="宋体" w:cs="Times New Roman"/>
          <w:sz w:val="24"/>
          <w:szCs w:val="24"/>
          <w:lang w:val="en-US" w:eastAsia="zh-CN"/>
        </w:rPr>
        <w:t>原备案生产规模为形成年产微晶手机玻璃盖板3600万片、手机玻璃后盖800万片及车载玻璃盖板240万片的生产能力，其中年产微晶手机玻璃盖板3600万片和车载玻璃盖板240万片的生产能力已通过</w:t>
      </w:r>
      <w:r>
        <w:rPr>
          <w:rFonts w:hint="default" w:ascii="Times New Roman" w:hAnsi="Times New Roman" w:eastAsia="宋体" w:cs="Times New Roman"/>
          <w:sz w:val="24"/>
          <w:szCs w:val="24"/>
        </w:rPr>
        <w:t>《年产新型平板显示器件关键部件和材料（玻璃盖板）3840万片项目环境影响报告表》</w:t>
      </w:r>
      <w:r>
        <w:rPr>
          <w:rFonts w:hint="default" w:ascii="Times New Roman" w:hAnsi="Times New Roman" w:eastAsia="宋体" w:cs="Times New Roman"/>
          <w:sz w:val="24"/>
          <w:szCs w:val="24"/>
          <w:lang w:val="en-US" w:eastAsia="zh-CN"/>
        </w:rPr>
        <w:t>进行评价并取得批复和完成了一阶段的验收，由于企业建设规划，其中800万片手机玻璃后盖半成品玻璃为原有项目3D手机玻璃，其组装生产线因生产规划未纳入该环评进行评价</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根据市场需求，现</w:t>
      </w:r>
      <w:r>
        <w:rPr>
          <w:rFonts w:hint="default" w:ascii="Times New Roman" w:hAnsi="Times New Roman" w:eastAsia="宋体" w:cs="Times New Roman"/>
          <w:sz w:val="24"/>
          <w:szCs w:val="24"/>
        </w:rPr>
        <w:t>重庆京东方晶远科技有限公司</w:t>
      </w:r>
      <w:r>
        <w:rPr>
          <w:rFonts w:hint="default" w:ascii="Times New Roman" w:hAnsi="Times New Roman" w:eastAsia="宋体" w:cs="Times New Roman"/>
          <w:sz w:val="24"/>
          <w:szCs w:val="24"/>
          <w:lang w:val="en-US" w:eastAsia="zh-CN"/>
        </w:rPr>
        <w:t>在已租用的B01、B03厂房，建设手机后盖玻璃AG蚀刻生产线，并配套建设5条组装线，对原有项目B01厂房中生产的800万件手机玻璃后盖进行延伸加工，实施</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年产新型平板显示器件关键部件和材料（玻璃盖板）3840万片项目</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二期工程</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p>
    <w:p w14:paraId="7951532C">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企业相关手续办理情况：</w:t>
      </w:r>
    </w:p>
    <w:p w14:paraId="7289A2AF">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rPr>
      </w:pPr>
      <w:bookmarkStart w:id="10" w:name="_Toc14402"/>
      <w:r>
        <w:rPr>
          <w:rFonts w:hint="default" w:ascii="Times New Roman" w:hAnsi="Times New Roman" w:eastAsia="宋体" w:cs="Times New Roman"/>
          <w:sz w:val="24"/>
          <w:szCs w:val="24"/>
        </w:rPr>
        <w:t>2024年5月，重庆京东方晶远科技有限公司委托重庆至恒环保技术有限公司编制完成了《年产新型平板显示器件关键部件和材料（玻璃盖板）3840万片项目环境影响报告表》，并于2024年5月11日，取得重庆高新区生态环境局下发的《重庆市建设项目环境影响评价文件批准书》（渝（高新）环准〔2024〕60号）。批复的建设内容及建设规模为：租用高新区西永街道西景大道1号B01号楼、B02号楼、B21号楼、B04b号楼闲置厂房，总建筑面积104265</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rPr>
        <w:t>，购置手机玻璃盖板国产设备抛光机、移印机、清洗设备、车载玻璃盖板国产设备等，新建微晶手机玻璃盖板生产线及车载玻璃盖板生产线，形成年产微晶手机玻璃盖板3600万片及车载玻璃盖板240万片的生产能力。</w:t>
      </w:r>
      <w:bookmarkEnd w:id="10"/>
    </w:p>
    <w:p w14:paraId="02EDB5C7">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rPr>
      </w:pPr>
      <w:bookmarkStart w:id="11" w:name="_Toc31498"/>
      <w:r>
        <w:rPr>
          <w:rFonts w:hint="default" w:ascii="Times New Roman" w:hAnsi="Times New Roman" w:eastAsia="宋体" w:cs="Times New Roman"/>
          <w:sz w:val="24"/>
          <w:szCs w:val="24"/>
        </w:rPr>
        <w:t>2024年5月12日，</w:t>
      </w:r>
      <w:r>
        <w:rPr>
          <w:rFonts w:hint="default" w:ascii="Times New Roman" w:hAnsi="Times New Roman" w:eastAsia="宋体" w:cs="Times New Roman"/>
          <w:sz w:val="24"/>
          <w:szCs w:val="24"/>
          <w:lang w:val="en-US" w:eastAsia="zh-CN"/>
        </w:rPr>
        <w:t>该</w:t>
      </w:r>
      <w:r>
        <w:rPr>
          <w:rFonts w:hint="default" w:ascii="Times New Roman" w:hAnsi="Times New Roman" w:eastAsia="宋体" w:cs="Times New Roman"/>
          <w:sz w:val="24"/>
          <w:szCs w:val="24"/>
        </w:rPr>
        <w:t>项目开工建设</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2024年5月23日，申请办理了固定污染源排污登记（登记编号：91500107MADAYMYH0Q001X）；2024年6月30日，</w:t>
      </w:r>
      <w:r>
        <w:rPr>
          <w:rFonts w:hint="default" w:ascii="Times New Roman" w:hAnsi="Times New Roman" w:eastAsia="宋体" w:cs="Times New Roman"/>
          <w:sz w:val="24"/>
          <w:szCs w:val="24"/>
          <w:lang w:val="en-US" w:eastAsia="zh-CN"/>
        </w:rPr>
        <w:t>该</w:t>
      </w:r>
      <w:r>
        <w:rPr>
          <w:rFonts w:hint="default" w:ascii="Times New Roman" w:hAnsi="Times New Roman" w:eastAsia="宋体" w:cs="Times New Roman"/>
          <w:sz w:val="24"/>
          <w:szCs w:val="24"/>
        </w:rPr>
        <w:t>项目</w:t>
      </w:r>
      <w:r>
        <w:rPr>
          <w:rFonts w:hint="default" w:ascii="Times New Roman" w:hAnsi="Times New Roman" w:eastAsia="宋体" w:cs="Times New Roman"/>
          <w:sz w:val="24"/>
          <w:szCs w:val="24"/>
          <w:lang w:val="en-US" w:eastAsia="zh-CN"/>
        </w:rPr>
        <w:t>一阶段</w:t>
      </w:r>
      <w:r>
        <w:rPr>
          <w:rFonts w:hint="default" w:ascii="Times New Roman" w:hAnsi="Times New Roman" w:eastAsia="宋体" w:cs="Times New Roman"/>
          <w:sz w:val="24"/>
          <w:szCs w:val="24"/>
        </w:rPr>
        <w:t>建设完成</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并于2024年7月按建设进度实施了分阶段验收（一阶段），形成了《</w:t>
      </w:r>
      <w:bookmarkStart w:id="12" w:name="_Hlk165295515"/>
      <w:r>
        <w:rPr>
          <w:rFonts w:hint="default" w:ascii="Times New Roman" w:hAnsi="Times New Roman" w:eastAsia="宋体" w:cs="Times New Roman"/>
          <w:sz w:val="24"/>
          <w:szCs w:val="24"/>
        </w:rPr>
        <w:t>年产新型平板显示器件关键部件和材料（玻璃盖板）3840万片项目</w:t>
      </w:r>
      <w:bookmarkEnd w:id="12"/>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一阶段</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竣工环境保护验收监测报告》并通过专家评审，主要验收内容为于租赁的B01厂房</w:t>
      </w:r>
      <w:r>
        <w:rPr>
          <w:rFonts w:hint="default" w:ascii="Times New Roman" w:hAnsi="Times New Roman" w:eastAsia="宋体" w:cs="Times New Roman"/>
          <w:sz w:val="24"/>
          <w:szCs w:val="24"/>
        </w:rPr>
        <w:t>购置手机玻璃盖板国产设备抛光机、移印机、清洗设备等，新建微晶手机玻璃盖板生产线，形成年产微晶手机玻璃盖板3600万片的生产能力。</w:t>
      </w:r>
      <w:bookmarkEnd w:id="11"/>
    </w:p>
    <w:p w14:paraId="271502BC">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rPr>
      </w:pPr>
      <w:bookmarkStart w:id="13" w:name="_Toc27290"/>
      <w:r>
        <w:rPr>
          <w:rFonts w:hint="default" w:ascii="Times New Roman" w:hAnsi="Times New Roman" w:eastAsia="宋体" w:cs="Times New Roman"/>
          <w:sz w:val="24"/>
          <w:szCs w:val="24"/>
        </w:rPr>
        <w:t>202</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月，重庆京东方晶远科技有限公司委托</w:t>
      </w:r>
      <w:r>
        <w:rPr>
          <w:rFonts w:hint="default" w:ascii="Times New Roman" w:hAnsi="Times New Roman" w:eastAsia="宋体" w:cs="Times New Roman"/>
          <w:sz w:val="24"/>
          <w:szCs w:val="24"/>
          <w:lang w:val="en-US" w:eastAsia="zh-CN"/>
        </w:rPr>
        <w:t>重庆惠能标普科技有限公司</w:t>
      </w:r>
      <w:r>
        <w:rPr>
          <w:rFonts w:hint="default" w:ascii="Times New Roman" w:hAnsi="Times New Roman" w:eastAsia="宋体" w:cs="Times New Roman"/>
          <w:sz w:val="24"/>
          <w:szCs w:val="24"/>
        </w:rPr>
        <w:t>编制完成了《</w:t>
      </w:r>
      <w:r>
        <w:rPr>
          <w:rFonts w:hint="default" w:ascii="Times New Roman" w:hAnsi="Times New Roman" w:eastAsia="宋体" w:cs="Times New Roman"/>
          <w:sz w:val="24"/>
          <w:szCs w:val="24"/>
          <w:lang w:val="en-US" w:eastAsia="zh-CN"/>
        </w:rPr>
        <w:t>年产新型平板显示器件关键部件和材料（玻璃盖板）3840万片项目（二期工程）报告表</w:t>
      </w:r>
      <w:r>
        <w:rPr>
          <w:rFonts w:hint="default" w:ascii="Times New Roman" w:hAnsi="Times New Roman" w:eastAsia="宋体" w:cs="Times New Roman"/>
          <w:sz w:val="24"/>
          <w:szCs w:val="24"/>
        </w:rPr>
        <w:t>》，并于202</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月1</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日，取得重庆高新区生态环境局下发的《重庆市建设项目环境影响评价文件批准书》（渝（高新）环准〔202</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号）。</w:t>
      </w:r>
      <w:bookmarkEnd w:id="13"/>
    </w:p>
    <w:p w14:paraId="24E6AB54">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4" w:name="_Toc15846"/>
      <w:r>
        <w:rPr>
          <w:rFonts w:hint="default" w:ascii="Times New Roman" w:hAnsi="Times New Roman" w:eastAsia="宋体" w:cs="Times New Roman"/>
          <w:sz w:val="24"/>
          <w:szCs w:val="24"/>
        </w:rPr>
        <w:t>202</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月，重庆京东方晶远科技有限公司</w:t>
      </w:r>
      <w:r>
        <w:rPr>
          <w:rFonts w:hint="default" w:ascii="Times New Roman" w:hAnsi="Times New Roman" w:eastAsia="宋体" w:cs="Times New Roman"/>
          <w:sz w:val="24"/>
          <w:szCs w:val="24"/>
          <w:lang w:val="en-US" w:eastAsia="zh-CN"/>
        </w:rPr>
        <w:t>启动“</w:t>
      </w:r>
      <w:r>
        <w:rPr>
          <w:rFonts w:hint="default" w:ascii="Times New Roman" w:hAnsi="Times New Roman" w:eastAsia="宋体" w:cs="Times New Roman"/>
          <w:sz w:val="24"/>
          <w:szCs w:val="24"/>
        </w:rPr>
        <w:t>年产新型平板显示器件关键部件和材料（玻璃盖板）3840万片项目</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二期工程</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建设</w:t>
      </w:r>
      <w:r>
        <w:rPr>
          <w:rFonts w:hint="default" w:ascii="Times New Roman" w:hAnsi="Times New Roman" w:eastAsia="宋体" w:cs="Times New Roman"/>
          <w:sz w:val="24"/>
          <w:szCs w:val="24"/>
          <w:lang w:val="en-US" w:eastAsia="zh-CN"/>
        </w:rPr>
        <w:t>并于当月竣工</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2025年4月该项目进入调试阶段，于2025年4月25日，完成了固定污染源排污登记变更（登记编号：91500107MADAYMYH0Q）。</w:t>
      </w:r>
      <w:bookmarkEnd w:id="14"/>
    </w:p>
    <w:p w14:paraId="1A9D72D3">
      <w:pPr>
        <w:spacing w:line="360" w:lineRule="auto"/>
        <w:ind w:firstLine="480" w:firstLineChars="200"/>
        <w:outlineLvl w:val="1"/>
        <w:rPr>
          <w:rFonts w:hint="default" w:ascii="Times New Roman" w:hAnsi="Times New Roman" w:eastAsia="宋体" w:cs="Times New Roman"/>
          <w:bCs/>
          <w:color w:val="auto"/>
          <w:sz w:val="24"/>
          <w:lang w:val="en-US" w:eastAsia="zh-CN"/>
        </w:rPr>
      </w:pPr>
    </w:p>
    <w:p w14:paraId="096E3CD7">
      <w:pPr>
        <w:spacing w:line="490" w:lineRule="exact"/>
        <w:ind w:firstLine="480" w:firstLineChars="200"/>
        <w:rPr>
          <w:snapToGrid w:val="0"/>
          <w:kern w:val="0"/>
          <w:sz w:val="24"/>
        </w:rPr>
      </w:pPr>
    </w:p>
    <w:bookmarkEnd w:id="1"/>
    <w:bookmarkEnd w:id="8"/>
    <w:p w14:paraId="6AF54DBE">
      <w:pPr>
        <w:spacing w:line="360" w:lineRule="auto"/>
        <w:rPr>
          <w:sz w:val="24"/>
          <w:szCs w:val="24"/>
        </w:rPr>
        <w:sectPr>
          <w:headerReference r:id="rId9" w:type="default"/>
          <w:footerReference r:id="rId10" w:type="default"/>
          <w:pgSz w:w="11906" w:h="16838"/>
          <w:pgMar w:top="1440" w:right="1440" w:bottom="1440" w:left="1440" w:header="851" w:footer="992" w:gutter="0"/>
          <w:pgNumType w:start="1"/>
          <w:cols w:space="720" w:num="1"/>
          <w:docGrid w:type="linesAndChars" w:linePitch="312" w:charSpace="0"/>
        </w:sectPr>
      </w:pPr>
    </w:p>
    <w:p w14:paraId="5FB46257">
      <w:pPr>
        <w:pStyle w:val="2"/>
      </w:pPr>
      <w:bookmarkStart w:id="15" w:name="_Toc513474939"/>
      <w:bookmarkStart w:id="16" w:name="_Toc2296"/>
      <w:bookmarkStart w:id="17" w:name="_Toc520988547"/>
      <w:r>
        <w:t>2验收依据</w:t>
      </w:r>
      <w:bookmarkEnd w:id="15"/>
      <w:bookmarkEnd w:id="16"/>
      <w:bookmarkEnd w:id="17"/>
    </w:p>
    <w:p w14:paraId="262D883C">
      <w:pPr>
        <w:pStyle w:val="3"/>
      </w:pPr>
      <w:bookmarkStart w:id="18" w:name="_Toc513474940"/>
      <w:bookmarkStart w:id="19" w:name="_Toc520988548"/>
      <w:bookmarkStart w:id="20" w:name="_Toc32720"/>
      <w:r>
        <w:t>2.1建设项目环境保护相关法律、法规、规章和规范</w:t>
      </w:r>
      <w:bookmarkEnd w:id="18"/>
      <w:bookmarkEnd w:id="19"/>
      <w:bookmarkEnd w:id="20"/>
    </w:p>
    <w:p w14:paraId="3BD03D77">
      <w:pPr>
        <w:pStyle w:val="4"/>
        <w:spacing w:before="0" w:after="0" w:line="360" w:lineRule="auto"/>
        <w:rPr>
          <w:sz w:val="24"/>
          <w:szCs w:val="24"/>
          <w:highlight w:val="none"/>
        </w:rPr>
      </w:pPr>
      <w:bookmarkStart w:id="21" w:name="_Toc513474941"/>
      <w:r>
        <w:rPr>
          <w:sz w:val="24"/>
          <w:szCs w:val="24"/>
          <w:highlight w:val="none"/>
        </w:rPr>
        <w:t>2.1.1环境保护法律、法规</w:t>
      </w:r>
      <w:bookmarkEnd w:id="21"/>
    </w:p>
    <w:p w14:paraId="3ED2C5A3">
      <w:pPr>
        <w:spacing w:line="490" w:lineRule="exact"/>
        <w:ind w:firstLine="480" w:firstLineChars="200"/>
        <w:rPr>
          <w:sz w:val="24"/>
          <w:szCs w:val="24"/>
        </w:rPr>
      </w:pPr>
      <w:r>
        <w:rPr>
          <w:sz w:val="24"/>
          <w:szCs w:val="24"/>
        </w:rPr>
        <w:t>（1）《中华人民共和国环境保护法》（2014.4.24日修订，自2015年1月1日起施行）；</w:t>
      </w:r>
    </w:p>
    <w:p w14:paraId="450B1BD8">
      <w:pPr>
        <w:spacing w:line="490" w:lineRule="exact"/>
        <w:ind w:firstLine="480" w:firstLineChars="200"/>
        <w:rPr>
          <w:sz w:val="24"/>
          <w:szCs w:val="24"/>
        </w:rPr>
      </w:pPr>
      <w:r>
        <w:rPr>
          <w:sz w:val="24"/>
          <w:szCs w:val="24"/>
        </w:rPr>
        <w:t>（2）《中华人民共和国大气污染防治法》（2018年10月26日修正，自公布之日起施行）</w:t>
      </w:r>
    </w:p>
    <w:p w14:paraId="118040F5">
      <w:pPr>
        <w:spacing w:line="490" w:lineRule="exact"/>
        <w:ind w:firstLine="480" w:firstLineChars="200"/>
        <w:rPr>
          <w:sz w:val="24"/>
          <w:szCs w:val="24"/>
        </w:rPr>
      </w:pPr>
      <w:r>
        <w:rPr>
          <w:sz w:val="24"/>
          <w:szCs w:val="24"/>
        </w:rPr>
        <w:t>（3）《中华人民共和国水污染防治法》（2017年6月27日修正，自2018年1月1日起施行）；</w:t>
      </w:r>
    </w:p>
    <w:p w14:paraId="74AE97CB">
      <w:pPr>
        <w:spacing w:line="490" w:lineRule="exact"/>
        <w:ind w:firstLine="480" w:firstLineChars="200"/>
        <w:rPr>
          <w:sz w:val="24"/>
          <w:szCs w:val="24"/>
        </w:rPr>
      </w:pPr>
      <w:r>
        <w:rPr>
          <w:sz w:val="24"/>
          <w:szCs w:val="24"/>
        </w:rPr>
        <w:t>（4）《中华人民共和国固体废物污染环境防治法》（2020年4月29日修订，自2020年9月1日起施行）；</w:t>
      </w:r>
    </w:p>
    <w:p w14:paraId="6A60A90B">
      <w:pPr>
        <w:spacing w:line="490" w:lineRule="exact"/>
        <w:ind w:firstLine="480" w:firstLineChars="200"/>
        <w:rPr>
          <w:sz w:val="24"/>
          <w:szCs w:val="24"/>
        </w:rPr>
      </w:pPr>
      <w:r>
        <w:rPr>
          <w:sz w:val="24"/>
          <w:szCs w:val="24"/>
        </w:rPr>
        <w:t>（5）《中华人民共和国噪声污染防治法》（自2022年6月5日起实施）；</w:t>
      </w:r>
    </w:p>
    <w:p w14:paraId="25DA8725">
      <w:pPr>
        <w:spacing w:line="490" w:lineRule="exact"/>
        <w:ind w:firstLine="480" w:firstLineChars="200"/>
        <w:rPr>
          <w:sz w:val="24"/>
          <w:szCs w:val="24"/>
        </w:rPr>
      </w:pPr>
      <w:r>
        <w:rPr>
          <w:sz w:val="24"/>
          <w:szCs w:val="24"/>
        </w:rPr>
        <w:t>（6）《建设项目环境保护管理条例》（中华人民共和国国务院令（第 682 号）（自2017年10月1日起施行）</w:t>
      </w:r>
    </w:p>
    <w:p w14:paraId="5F396014">
      <w:pPr>
        <w:spacing w:line="490" w:lineRule="exact"/>
        <w:ind w:firstLine="480" w:firstLineChars="200"/>
        <w:rPr>
          <w:sz w:val="24"/>
          <w:szCs w:val="24"/>
          <w:highlight w:val="none"/>
        </w:rPr>
      </w:pPr>
      <w:r>
        <w:rPr>
          <w:sz w:val="24"/>
          <w:szCs w:val="24"/>
          <w:highlight w:val="none"/>
        </w:rPr>
        <w:t>（7）《国家危险废物名录》（202</w:t>
      </w:r>
      <w:r>
        <w:rPr>
          <w:rFonts w:hint="eastAsia"/>
          <w:sz w:val="24"/>
          <w:szCs w:val="24"/>
          <w:highlight w:val="none"/>
          <w:lang w:val="en-US" w:eastAsia="zh-CN"/>
        </w:rPr>
        <w:t>5年</w:t>
      </w:r>
      <w:r>
        <w:rPr>
          <w:sz w:val="24"/>
          <w:szCs w:val="24"/>
          <w:highlight w:val="none"/>
        </w:rPr>
        <w:t>版）（自202</w:t>
      </w:r>
      <w:r>
        <w:rPr>
          <w:rFonts w:hint="eastAsia"/>
          <w:sz w:val="24"/>
          <w:szCs w:val="24"/>
          <w:highlight w:val="none"/>
          <w:lang w:val="en-US" w:eastAsia="zh-CN"/>
        </w:rPr>
        <w:t>5</w:t>
      </w:r>
      <w:r>
        <w:rPr>
          <w:sz w:val="24"/>
          <w:szCs w:val="24"/>
          <w:highlight w:val="none"/>
        </w:rPr>
        <w:t>年1月1日起施行）</w:t>
      </w:r>
    </w:p>
    <w:p w14:paraId="5882A717">
      <w:pPr>
        <w:spacing w:line="490" w:lineRule="exact"/>
        <w:ind w:firstLine="480" w:firstLineChars="200"/>
        <w:rPr>
          <w:sz w:val="24"/>
          <w:szCs w:val="24"/>
          <w:highlight w:val="none"/>
        </w:rPr>
      </w:pPr>
      <w:r>
        <w:rPr>
          <w:sz w:val="24"/>
          <w:szCs w:val="24"/>
          <w:highlight w:val="none"/>
        </w:rPr>
        <w:t>（8）《危险化学品目录（20</w:t>
      </w:r>
      <w:r>
        <w:rPr>
          <w:rFonts w:hint="eastAsia"/>
          <w:sz w:val="24"/>
          <w:szCs w:val="24"/>
          <w:highlight w:val="none"/>
          <w:lang w:val="en-US" w:eastAsia="zh-CN"/>
        </w:rPr>
        <w:t>15版</w:t>
      </w:r>
      <w:r>
        <w:rPr>
          <w:sz w:val="24"/>
          <w:szCs w:val="24"/>
          <w:highlight w:val="none"/>
        </w:rPr>
        <w:t>）》（自20</w:t>
      </w:r>
      <w:r>
        <w:rPr>
          <w:rFonts w:hint="eastAsia"/>
          <w:sz w:val="24"/>
          <w:szCs w:val="24"/>
          <w:highlight w:val="none"/>
          <w:lang w:val="en-US" w:eastAsia="zh-CN"/>
        </w:rPr>
        <w:t>15</w:t>
      </w:r>
      <w:r>
        <w:rPr>
          <w:sz w:val="24"/>
          <w:szCs w:val="24"/>
          <w:highlight w:val="none"/>
        </w:rPr>
        <w:t>年</w:t>
      </w:r>
      <w:r>
        <w:rPr>
          <w:rFonts w:hint="eastAsia"/>
          <w:sz w:val="24"/>
          <w:szCs w:val="24"/>
          <w:highlight w:val="none"/>
          <w:lang w:val="en-US" w:eastAsia="zh-CN"/>
        </w:rPr>
        <w:t>5</w:t>
      </w:r>
      <w:r>
        <w:rPr>
          <w:sz w:val="24"/>
          <w:szCs w:val="24"/>
          <w:highlight w:val="none"/>
        </w:rPr>
        <w:t>月1日起施行）</w:t>
      </w:r>
    </w:p>
    <w:p w14:paraId="17D4718B">
      <w:pPr>
        <w:spacing w:line="490" w:lineRule="exact"/>
        <w:ind w:firstLine="480" w:firstLineChars="200"/>
        <w:rPr>
          <w:sz w:val="24"/>
          <w:szCs w:val="24"/>
          <w:highlight w:val="none"/>
        </w:rPr>
      </w:pPr>
      <w:r>
        <w:rPr>
          <w:rFonts w:hint="eastAsia"/>
          <w:sz w:val="24"/>
          <w:szCs w:val="24"/>
        </w:rPr>
        <w:t>（9）</w:t>
      </w:r>
      <w:r>
        <w:rPr>
          <w:sz w:val="24"/>
          <w:szCs w:val="24"/>
          <w:highlight w:val="none"/>
        </w:rPr>
        <w:t>《建设项目环境影响评价分类管理名录》（</w:t>
      </w:r>
      <w:r>
        <w:rPr>
          <w:rFonts w:hint="eastAsia"/>
          <w:sz w:val="24"/>
          <w:szCs w:val="24"/>
          <w:highlight w:val="none"/>
        </w:rPr>
        <w:t>中华人民共和国生态环境部令（第16号）</w:t>
      </w:r>
      <w:r>
        <w:rPr>
          <w:sz w:val="24"/>
          <w:szCs w:val="24"/>
          <w:highlight w:val="none"/>
        </w:rPr>
        <w:t>）</w:t>
      </w:r>
    </w:p>
    <w:p w14:paraId="471760E2">
      <w:pPr>
        <w:pStyle w:val="4"/>
        <w:spacing w:before="0" w:after="0" w:line="360" w:lineRule="auto"/>
        <w:rPr>
          <w:sz w:val="24"/>
          <w:szCs w:val="24"/>
          <w:highlight w:val="none"/>
        </w:rPr>
      </w:pPr>
      <w:r>
        <w:rPr>
          <w:rFonts w:hint="eastAsia"/>
          <w:sz w:val="24"/>
          <w:szCs w:val="24"/>
          <w:highlight w:val="none"/>
        </w:rPr>
        <w:t>2</w:t>
      </w:r>
      <w:r>
        <w:rPr>
          <w:sz w:val="24"/>
          <w:szCs w:val="24"/>
          <w:highlight w:val="none"/>
        </w:rPr>
        <w:t>.1.2</w:t>
      </w:r>
      <w:r>
        <w:rPr>
          <w:rFonts w:hint="eastAsia"/>
          <w:sz w:val="24"/>
          <w:szCs w:val="24"/>
          <w:highlight w:val="none"/>
        </w:rPr>
        <w:t>地方性法规、规章</w:t>
      </w:r>
    </w:p>
    <w:p w14:paraId="2A1307B1">
      <w:pPr>
        <w:spacing w:line="490" w:lineRule="exact"/>
        <w:ind w:firstLine="480" w:firstLineChars="200"/>
        <w:rPr>
          <w:sz w:val="24"/>
          <w:szCs w:val="24"/>
        </w:rPr>
      </w:pPr>
      <w:r>
        <w:rPr>
          <w:sz w:val="24"/>
          <w:szCs w:val="24"/>
        </w:rPr>
        <w:t>（1）《重庆市环境保护条例》（20</w:t>
      </w:r>
      <w:r>
        <w:rPr>
          <w:rFonts w:hint="eastAsia"/>
          <w:sz w:val="24"/>
          <w:szCs w:val="24"/>
        </w:rPr>
        <w:t>22年</w:t>
      </w:r>
      <w:r>
        <w:rPr>
          <w:sz w:val="24"/>
          <w:szCs w:val="24"/>
        </w:rPr>
        <w:t>修</w:t>
      </w:r>
      <w:r>
        <w:rPr>
          <w:rFonts w:hint="eastAsia"/>
          <w:sz w:val="24"/>
          <w:szCs w:val="24"/>
        </w:rPr>
        <w:t>正，自2</w:t>
      </w:r>
      <w:r>
        <w:rPr>
          <w:sz w:val="24"/>
          <w:szCs w:val="24"/>
        </w:rPr>
        <w:t>022</w:t>
      </w:r>
      <w:r>
        <w:rPr>
          <w:rFonts w:hint="eastAsia"/>
          <w:sz w:val="24"/>
          <w:szCs w:val="24"/>
        </w:rPr>
        <w:t>年1</w:t>
      </w:r>
      <w:r>
        <w:rPr>
          <w:sz w:val="24"/>
          <w:szCs w:val="24"/>
        </w:rPr>
        <w:t>1</w:t>
      </w:r>
      <w:r>
        <w:rPr>
          <w:rFonts w:hint="eastAsia"/>
          <w:sz w:val="24"/>
          <w:szCs w:val="24"/>
        </w:rPr>
        <w:t>月1日起施行</w:t>
      </w:r>
      <w:r>
        <w:rPr>
          <w:sz w:val="24"/>
          <w:szCs w:val="24"/>
        </w:rPr>
        <w:t>）；</w:t>
      </w:r>
    </w:p>
    <w:p w14:paraId="4372E6F4">
      <w:pPr>
        <w:spacing w:line="490" w:lineRule="exact"/>
        <w:ind w:firstLine="480" w:firstLineChars="200"/>
        <w:jc w:val="left"/>
        <w:rPr>
          <w:sz w:val="24"/>
          <w:szCs w:val="24"/>
        </w:rPr>
      </w:pPr>
      <w:r>
        <w:rPr>
          <w:rFonts w:hint="eastAsia"/>
          <w:sz w:val="24"/>
          <w:szCs w:val="24"/>
        </w:rPr>
        <w:t>（2）《重庆市生态环境保护“十四五”规划》</w:t>
      </w:r>
    </w:p>
    <w:p w14:paraId="18810767">
      <w:pPr>
        <w:spacing w:line="490" w:lineRule="exact"/>
        <w:ind w:firstLine="480" w:firstLineChars="200"/>
        <w:jc w:val="left"/>
        <w:rPr>
          <w:sz w:val="24"/>
          <w:szCs w:val="24"/>
        </w:rPr>
      </w:pPr>
      <w:r>
        <w:rPr>
          <w:rFonts w:hint="eastAsia"/>
          <w:sz w:val="24"/>
          <w:szCs w:val="24"/>
        </w:rPr>
        <w:t>（3）《重庆市人民政府关于印发重庆市环境空气质量功能区划分规定的通知》，渝府发[2016]19号</w:t>
      </w:r>
    </w:p>
    <w:p w14:paraId="7FB2723D">
      <w:pPr>
        <w:spacing w:line="490" w:lineRule="exact"/>
        <w:ind w:firstLine="480" w:firstLineChars="200"/>
        <w:jc w:val="left"/>
        <w:rPr>
          <w:sz w:val="24"/>
          <w:szCs w:val="24"/>
        </w:rPr>
      </w:pPr>
      <w:r>
        <w:rPr>
          <w:rFonts w:hint="eastAsia"/>
          <w:sz w:val="24"/>
          <w:szCs w:val="24"/>
        </w:rPr>
        <w:t>（4）</w:t>
      </w:r>
      <w:r>
        <w:rPr>
          <w:sz w:val="24"/>
          <w:szCs w:val="24"/>
        </w:rPr>
        <w:t>《重庆市环境噪声污染防治办法》（</w:t>
      </w:r>
      <w:r>
        <w:rPr>
          <w:rFonts w:hint="eastAsia"/>
          <w:sz w:val="24"/>
          <w:szCs w:val="24"/>
        </w:rPr>
        <w:t>重庆市人民政府令第270号</w:t>
      </w:r>
      <w:r>
        <w:rPr>
          <w:sz w:val="24"/>
          <w:szCs w:val="24"/>
        </w:rPr>
        <w:t>）；</w:t>
      </w:r>
    </w:p>
    <w:p w14:paraId="22EEB320">
      <w:pPr>
        <w:spacing w:line="490" w:lineRule="exact"/>
        <w:ind w:firstLine="480" w:firstLineChars="200"/>
        <w:rPr>
          <w:sz w:val="24"/>
          <w:szCs w:val="24"/>
        </w:rPr>
      </w:pPr>
      <w:r>
        <w:rPr>
          <w:rFonts w:hint="eastAsia"/>
          <w:sz w:val="24"/>
          <w:szCs w:val="24"/>
        </w:rPr>
        <w:t>（5）《重庆市中心城区声环境功能区划分方案（2023年）》，渝环[2023]61号</w:t>
      </w:r>
    </w:p>
    <w:p w14:paraId="67E8585B">
      <w:pPr>
        <w:pStyle w:val="3"/>
      </w:pPr>
      <w:bookmarkStart w:id="22" w:name="_Toc520988550"/>
      <w:bookmarkStart w:id="23" w:name="_Toc513474943"/>
      <w:bookmarkStart w:id="24" w:name="_Toc30095"/>
      <w:r>
        <w:t>2.2建设项目竣工环境保护验收技术规范</w:t>
      </w:r>
      <w:bookmarkEnd w:id="22"/>
      <w:bookmarkEnd w:id="23"/>
      <w:bookmarkEnd w:id="24"/>
    </w:p>
    <w:p w14:paraId="28E06A20">
      <w:pPr>
        <w:spacing w:line="490" w:lineRule="exact"/>
        <w:ind w:firstLine="480" w:firstLineChars="200"/>
        <w:rPr>
          <w:sz w:val="24"/>
          <w:szCs w:val="24"/>
        </w:rPr>
      </w:pPr>
      <w:r>
        <w:rPr>
          <w:sz w:val="24"/>
          <w:szCs w:val="24"/>
        </w:rPr>
        <w:t>（1）《建设项目竣工环境保护验收暂行办法》国环规环评[2017]4号（2017年 11 月 20 日）；</w:t>
      </w:r>
    </w:p>
    <w:p w14:paraId="7D24D46A">
      <w:pPr>
        <w:spacing w:line="490" w:lineRule="exact"/>
        <w:ind w:firstLine="480" w:firstLineChars="200"/>
        <w:rPr>
          <w:sz w:val="24"/>
          <w:szCs w:val="24"/>
        </w:rPr>
      </w:pPr>
      <w:r>
        <w:rPr>
          <w:rFonts w:hint="eastAsia"/>
          <w:sz w:val="24"/>
          <w:szCs w:val="24"/>
        </w:rPr>
        <w:t>（</w:t>
      </w:r>
      <w:r>
        <w:rPr>
          <w:sz w:val="24"/>
          <w:szCs w:val="24"/>
        </w:rPr>
        <w:t>2</w:t>
      </w:r>
      <w:r>
        <w:rPr>
          <w:rFonts w:hint="eastAsia"/>
          <w:sz w:val="24"/>
          <w:szCs w:val="24"/>
        </w:rPr>
        <w:t>）《关于印发建设项目竣工环境保护验 收现场检查及审查要点的通知》（环办[2015]113号）</w:t>
      </w:r>
    </w:p>
    <w:p w14:paraId="78198384">
      <w:pPr>
        <w:spacing w:line="490" w:lineRule="exact"/>
        <w:ind w:firstLine="480" w:firstLineChars="200"/>
        <w:jc w:val="left"/>
        <w:rPr>
          <w:sz w:val="24"/>
          <w:szCs w:val="24"/>
        </w:rPr>
      </w:pPr>
      <w:r>
        <w:rPr>
          <w:sz w:val="24"/>
          <w:szCs w:val="24"/>
        </w:rPr>
        <w:t>（3）</w:t>
      </w:r>
      <w:r>
        <w:rPr>
          <w:rFonts w:hint="eastAsia"/>
          <w:sz w:val="24"/>
          <w:szCs w:val="24"/>
        </w:rPr>
        <w:t>《建设项目竣工环境保护验收技术指南 污染影响类》（生态环境部公告（2018 年第9号））；</w:t>
      </w:r>
    </w:p>
    <w:p w14:paraId="08C896D6">
      <w:pPr>
        <w:spacing w:line="490" w:lineRule="exact"/>
        <w:ind w:firstLine="480" w:firstLineChars="200"/>
        <w:jc w:val="left"/>
        <w:rPr>
          <w:sz w:val="24"/>
          <w:szCs w:val="24"/>
        </w:rPr>
      </w:pPr>
      <w:r>
        <w:rPr>
          <w:rFonts w:hint="eastAsia"/>
          <w:sz w:val="24"/>
          <w:szCs w:val="24"/>
        </w:rPr>
        <w:t>（</w:t>
      </w:r>
      <w:r>
        <w:rPr>
          <w:sz w:val="24"/>
          <w:szCs w:val="24"/>
        </w:rPr>
        <w:t>4</w:t>
      </w:r>
      <w:r>
        <w:rPr>
          <w:rFonts w:hint="eastAsia"/>
          <w:sz w:val="24"/>
          <w:szCs w:val="24"/>
        </w:rPr>
        <w:t>）生态环境部办公厅关于印发《污染影响类建设项目重大变动清单（试行）》的通知（环办环评函〔2020〕688号）</w:t>
      </w:r>
    </w:p>
    <w:p w14:paraId="4AC27954">
      <w:pPr>
        <w:pStyle w:val="3"/>
      </w:pPr>
      <w:bookmarkStart w:id="25" w:name="_Toc22314"/>
      <w:bookmarkStart w:id="26" w:name="_Toc520988551"/>
      <w:bookmarkStart w:id="27" w:name="_Toc513474944"/>
      <w:r>
        <w:t>2.3建设项目环境</w:t>
      </w:r>
      <w:r>
        <w:rPr>
          <w:rFonts w:hint="eastAsia"/>
        </w:rPr>
        <w:t>影响</w:t>
      </w:r>
      <w:r>
        <w:t>报告表及</w:t>
      </w:r>
      <w:r>
        <w:rPr>
          <w:rFonts w:hint="eastAsia"/>
        </w:rPr>
        <w:t>其</w:t>
      </w:r>
      <w:r>
        <w:t>审批部门审批决定</w:t>
      </w:r>
      <w:bookmarkEnd w:id="25"/>
      <w:bookmarkEnd w:id="26"/>
      <w:bookmarkEnd w:id="27"/>
    </w:p>
    <w:p w14:paraId="21B55BB1">
      <w:pPr>
        <w:spacing w:line="490" w:lineRule="exact"/>
        <w:ind w:firstLine="480" w:firstLineChars="200"/>
        <w:rPr>
          <w:sz w:val="24"/>
          <w:szCs w:val="24"/>
          <w:highlight w:val="none"/>
        </w:rPr>
      </w:pPr>
      <w:r>
        <w:rPr>
          <w:sz w:val="24"/>
          <w:szCs w:val="24"/>
          <w:highlight w:val="none"/>
        </w:rPr>
        <w:t>（1）《</w:t>
      </w:r>
      <w:r>
        <w:rPr>
          <w:rFonts w:hint="eastAsia"/>
          <w:sz w:val="24"/>
          <w:szCs w:val="24"/>
          <w:highlight w:val="none"/>
          <w:lang w:eastAsia="zh-CN"/>
        </w:rPr>
        <w:t>年产新型平板显示器件关键部件和材料（玻璃盖板）3840万片项目（二期工程）</w:t>
      </w:r>
      <w:r>
        <w:rPr>
          <w:sz w:val="24"/>
          <w:szCs w:val="24"/>
          <w:highlight w:val="none"/>
        </w:rPr>
        <w:t>环境影响报告表》（</w:t>
      </w:r>
      <w:r>
        <w:rPr>
          <w:rFonts w:hint="eastAsia"/>
          <w:snapToGrid w:val="0"/>
          <w:kern w:val="0"/>
          <w:sz w:val="24"/>
          <w:szCs w:val="24"/>
          <w:highlight w:val="none"/>
        </w:rPr>
        <w:t>重庆惠能标普科技有限公司</w:t>
      </w:r>
      <w:r>
        <w:rPr>
          <w:sz w:val="24"/>
          <w:szCs w:val="24"/>
          <w:highlight w:val="none"/>
        </w:rPr>
        <w:t>，20</w:t>
      </w:r>
      <w:r>
        <w:rPr>
          <w:rFonts w:hint="eastAsia"/>
          <w:sz w:val="24"/>
          <w:szCs w:val="24"/>
          <w:highlight w:val="none"/>
        </w:rPr>
        <w:t>2</w:t>
      </w:r>
      <w:r>
        <w:rPr>
          <w:rFonts w:hint="eastAsia"/>
          <w:sz w:val="24"/>
          <w:szCs w:val="24"/>
          <w:highlight w:val="none"/>
          <w:lang w:val="en-US" w:eastAsia="zh-CN"/>
        </w:rPr>
        <w:t>5</w:t>
      </w:r>
      <w:r>
        <w:rPr>
          <w:sz w:val="24"/>
          <w:szCs w:val="24"/>
          <w:highlight w:val="none"/>
        </w:rPr>
        <w:t>年</w:t>
      </w:r>
      <w:r>
        <w:rPr>
          <w:rFonts w:hint="eastAsia"/>
          <w:sz w:val="24"/>
          <w:szCs w:val="24"/>
          <w:highlight w:val="none"/>
          <w:lang w:val="en-US" w:eastAsia="zh-CN"/>
        </w:rPr>
        <w:t>3</w:t>
      </w:r>
      <w:r>
        <w:rPr>
          <w:sz w:val="24"/>
          <w:szCs w:val="24"/>
          <w:highlight w:val="none"/>
        </w:rPr>
        <w:t>月）；</w:t>
      </w:r>
    </w:p>
    <w:p w14:paraId="458B566A">
      <w:pPr>
        <w:spacing w:line="490" w:lineRule="exact"/>
        <w:ind w:firstLine="480" w:firstLineChars="200"/>
        <w:rPr>
          <w:color w:val="FF0000"/>
          <w:sz w:val="24"/>
          <w:szCs w:val="24"/>
          <w:highlight w:val="none"/>
        </w:rPr>
      </w:pPr>
      <w:r>
        <w:rPr>
          <w:sz w:val="24"/>
          <w:szCs w:val="24"/>
          <w:highlight w:val="none"/>
        </w:rPr>
        <w:t>（2）《重庆市建设项目环境影响评价文件批准书》</w:t>
      </w:r>
      <w:r>
        <w:rPr>
          <w:rFonts w:hint="eastAsia"/>
          <w:snapToGrid w:val="0"/>
          <w:kern w:val="0"/>
          <w:sz w:val="24"/>
          <w:highlight w:val="none"/>
        </w:rPr>
        <w:t>渝（</w:t>
      </w:r>
      <w:r>
        <w:rPr>
          <w:rFonts w:hint="eastAsia"/>
          <w:snapToGrid w:val="0"/>
          <w:kern w:val="0"/>
          <w:sz w:val="24"/>
          <w:highlight w:val="none"/>
          <w:lang w:val="en-US" w:eastAsia="zh-CN"/>
        </w:rPr>
        <w:t>高新</w:t>
      </w:r>
      <w:r>
        <w:rPr>
          <w:rFonts w:hint="eastAsia"/>
          <w:snapToGrid w:val="0"/>
          <w:kern w:val="0"/>
          <w:sz w:val="24"/>
          <w:highlight w:val="none"/>
        </w:rPr>
        <w:t>）环准〔202</w:t>
      </w:r>
      <w:r>
        <w:rPr>
          <w:rFonts w:hint="eastAsia"/>
          <w:snapToGrid w:val="0"/>
          <w:kern w:val="0"/>
          <w:sz w:val="24"/>
          <w:highlight w:val="none"/>
          <w:lang w:val="en-US" w:eastAsia="zh-CN"/>
        </w:rPr>
        <w:t>5</w:t>
      </w:r>
      <w:r>
        <w:rPr>
          <w:rFonts w:hint="eastAsia"/>
          <w:snapToGrid w:val="0"/>
          <w:kern w:val="0"/>
          <w:sz w:val="24"/>
          <w:highlight w:val="none"/>
        </w:rPr>
        <w:t>〕</w:t>
      </w:r>
      <w:r>
        <w:rPr>
          <w:rFonts w:hint="eastAsia"/>
          <w:snapToGrid w:val="0"/>
          <w:kern w:val="0"/>
          <w:sz w:val="24"/>
          <w:highlight w:val="none"/>
          <w:lang w:val="en-US" w:eastAsia="zh-CN"/>
        </w:rPr>
        <w:t>15</w:t>
      </w:r>
      <w:r>
        <w:rPr>
          <w:rFonts w:hint="eastAsia"/>
          <w:snapToGrid w:val="0"/>
          <w:kern w:val="0"/>
          <w:sz w:val="24"/>
          <w:highlight w:val="none"/>
        </w:rPr>
        <w:t>号</w:t>
      </w:r>
      <w:r>
        <w:rPr>
          <w:sz w:val="24"/>
          <w:szCs w:val="24"/>
          <w:highlight w:val="none"/>
        </w:rPr>
        <w:t>（</w:t>
      </w:r>
      <w:r>
        <w:rPr>
          <w:rFonts w:hint="eastAsia"/>
          <w:sz w:val="24"/>
          <w:szCs w:val="24"/>
          <w:highlight w:val="none"/>
        </w:rPr>
        <w:t>重庆</w:t>
      </w:r>
      <w:r>
        <w:rPr>
          <w:rFonts w:hint="eastAsia"/>
          <w:sz w:val="24"/>
          <w:szCs w:val="24"/>
          <w:highlight w:val="none"/>
          <w:lang w:val="en-US" w:eastAsia="zh-CN"/>
        </w:rPr>
        <w:t>高新区生态环境局</w:t>
      </w:r>
      <w:r>
        <w:rPr>
          <w:sz w:val="24"/>
          <w:szCs w:val="24"/>
          <w:highlight w:val="none"/>
        </w:rPr>
        <w:t>，</w:t>
      </w:r>
      <w:r>
        <w:rPr>
          <w:rFonts w:hint="eastAsia"/>
          <w:sz w:val="24"/>
          <w:szCs w:val="24"/>
          <w:highlight w:val="none"/>
        </w:rPr>
        <w:t>202</w:t>
      </w:r>
      <w:r>
        <w:rPr>
          <w:rFonts w:hint="eastAsia"/>
          <w:sz w:val="24"/>
          <w:szCs w:val="24"/>
          <w:highlight w:val="none"/>
          <w:lang w:val="en-US" w:eastAsia="zh-CN"/>
        </w:rPr>
        <w:t>5</w:t>
      </w:r>
      <w:r>
        <w:rPr>
          <w:rFonts w:hint="eastAsia"/>
          <w:sz w:val="24"/>
          <w:szCs w:val="24"/>
          <w:highlight w:val="none"/>
        </w:rPr>
        <w:t>年</w:t>
      </w:r>
      <w:r>
        <w:rPr>
          <w:rFonts w:hint="eastAsia"/>
          <w:sz w:val="24"/>
          <w:szCs w:val="24"/>
          <w:highlight w:val="none"/>
          <w:lang w:val="en-US" w:eastAsia="zh-CN"/>
        </w:rPr>
        <w:t>3</w:t>
      </w:r>
      <w:r>
        <w:rPr>
          <w:rFonts w:hint="eastAsia"/>
          <w:sz w:val="24"/>
          <w:szCs w:val="24"/>
          <w:highlight w:val="none"/>
        </w:rPr>
        <w:t>月</w:t>
      </w:r>
      <w:r>
        <w:rPr>
          <w:rFonts w:hint="eastAsia"/>
          <w:sz w:val="24"/>
          <w:szCs w:val="24"/>
          <w:highlight w:val="none"/>
          <w:lang w:val="en-US" w:eastAsia="zh-CN"/>
        </w:rPr>
        <w:t>12</w:t>
      </w:r>
      <w:r>
        <w:rPr>
          <w:rFonts w:hint="eastAsia"/>
          <w:sz w:val="24"/>
          <w:szCs w:val="24"/>
          <w:highlight w:val="none"/>
        </w:rPr>
        <w:t>日</w:t>
      </w:r>
      <w:r>
        <w:rPr>
          <w:sz w:val="24"/>
          <w:szCs w:val="24"/>
          <w:highlight w:val="none"/>
        </w:rPr>
        <w:t>）。</w:t>
      </w:r>
    </w:p>
    <w:p w14:paraId="0D7EF46E">
      <w:pPr>
        <w:pStyle w:val="3"/>
      </w:pPr>
      <w:bookmarkStart w:id="28" w:name="_Toc13511"/>
      <w:r>
        <w:t>2.4</w:t>
      </w:r>
      <w:r>
        <w:rPr>
          <w:rFonts w:hint="eastAsia"/>
        </w:rPr>
        <w:t>其他相关文件</w:t>
      </w:r>
      <w:bookmarkEnd w:id="28"/>
    </w:p>
    <w:p w14:paraId="49B8E704">
      <w:pPr>
        <w:spacing w:line="490" w:lineRule="exact"/>
        <w:ind w:firstLine="480" w:firstLineChars="200"/>
        <w:jc w:val="left"/>
        <w:rPr>
          <w:rFonts w:hint="eastAsia" w:eastAsia="宋体"/>
          <w:sz w:val="24"/>
          <w:szCs w:val="24"/>
          <w:highlight w:val="none"/>
          <w:lang w:eastAsia="zh-CN"/>
        </w:rPr>
      </w:pPr>
      <w:r>
        <w:rPr>
          <w:rFonts w:hint="eastAsia"/>
          <w:sz w:val="24"/>
          <w:szCs w:val="24"/>
          <w:highlight w:val="none"/>
        </w:rPr>
        <w:t>（1）重庆至恒环保技术有限公司编制的《年产新型平板显示器件关键部件和材料（玻璃盖板）3840万片项目环境影响报告表》，20</w:t>
      </w:r>
      <w:r>
        <w:rPr>
          <w:rFonts w:hint="eastAsia"/>
          <w:sz w:val="24"/>
          <w:szCs w:val="24"/>
          <w:highlight w:val="none"/>
          <w:lang w:val="en-US" w:eastAsia="zh-CN"/>
        </w:rPr>
        <w:t>24</w:t>
      </w:r>
      <w:r>
        <w:rPr>
          <w:rFonts w:hint="eastAsia"/>
          <w:sz w:val="24"/>
          <w:szCs w:val="24"/>
          <w:highlight w:val="none"/>
        </w:rPr>
        <w:t>年</w:t>
      </w:r>
      <w:r>
        <w:rPr>
          <w:rFonts w:hint="eastAsia"/>
          <w:sz w:val="24"/>
          <w:szCs w:val="24"/>
          <w:highlight w:val="none"/>
          <w:lang w:val="en-US" w:eastAsia="zh-CN"/>
        </w:rPr>
        <w:t>5</w:t>
      </w:r>
      <w:r>
        <w:rPr>
          <w:rFonts w:hint="eastAsia"/>
          <w:sz w:val="24"/>
          <w:szCs w:val="24"/>
          <w:highlight w:val="none"/>
        </w:rPr>
        <w:t>月</w:t>
      </w:r>
      <w:r>
        <w:rPr>
          <w:rFonts w:hint="eastAsia"/>
          <w:sz w:val="24"/>
          <w:szCs w:val="24"/>
          <w:highlight w:val="none"/>
          <w:lang w:eastAsia="zh-CN"/>
        </w:rPr>
        <w:t>。</w:t>
      </w:r>
    </w:p>
    <w:p w14:paraId="04EFD8E2">
      <w:pPr>
        <w:spacing w:line="490" w:lineRule="exact"/>
        <w:ind w:firstLine="480" w:firstLineChars="200"/>
        <w:jc w:val="left"/>
        <w:rPr>
          <w:rFonts w:hint="eastAsia" w:eastAsia="宋体"/>
          <w:sz w:val="24"/>
          <w:szCs w:val="24"/>
          <w:highlight w:val="none"/>
          <w:lang w:eastAsia="zh-CN"/>
        </w:rPr>
      </w:pPr>
      <w:r>
        <w:rPr>
          <w:rFonts w:hint="eastAsia"/>
          <w:sz w:val="24"/>
          <w:szCs w:val="24"/>
          <w:highlight w:val="none"/>
        </w:rPr>
        <w:t>（2）重庆高新区生态环境局《</w:t>
      </w:r>
      <w:r>
        <w:rPr>
          <w:bCs/>
          <w:color w:val="auto"/>
          <w:sz w:val="24"/>
          <w:highlight w:val="none"/>
        </w:rPr>
        <w:t>重庆市建设项目环境影响评价文件批准书</w:t>
      </w:r>
      <w:r>
        <w:rPr>
          <w:rFonts w:hint="eastAsia"/>
          <w:sz w:val="24"/>
          <w:szCs w:val="24"/>
          <w:highlight w:val="none"/>
        </w:rPr>
        <w:t>》（文号：</w:t>
      </w:r>
      <w:r>
        <w:rPr>
          <w:rFonts w:hint="eastAsia"/>
          <w:bCs/>
          <w:color w:val="auto"/>
          <w:sz w:val="24"/>
          <w:highlight w:val="none"/>
        </w:rPr>
        <w:t>渝（高新）环准〔2024〕60号</w:t>
      </w:r>
      <w:r>
        <w:rPr>
          <w:rFonts w:hint="eastAsia"/>
          <w:sz w:val="24"/>
          <w:szCs w:val="24"/>
          <w:highlight w:val="none"/>
        </w:rPr>
        <w:t>，20</w:t>
      </w:r>
      <w:r>
        <w:rPr>
          <w:rFonts w:hint="eastAsia"/>
          <w:sz w:val="24"/>
          <w:szCs w:val="24"/>
          <w:highlight w:val="none"/>
          <w:lang w:val="en-US" w:eastAsia="zh-CN"/>
        </w:rPr>
        <w:t>24</w:t>
      </w:r>
      <w:r>
        <w:rPr>
          <w:rFonts w:hint="eastAsia"/>
          <w:sz w:val="24"/>
          <w:szCs w:val="24"/>
          <w:highlight w:val="none"/>
        </w:rPr>
        <w:t>年</w:t>
      </w:r>
      <w:r>
        <w:rPr>
          <w:rFonts w:hint="eastAsia"/>
          <w:sz w:val="24"/>
          <w:szCs w:val="24"/>
          <w:highlight w:val="none"/>
          <w:lang w:val="en-US" w:eastAsia="zh-CN"/>
        </w:rPr>
        <w:t>5</w:t>
      </w:r>
      <w:r>
        <w:rPr>
          <w:rFonts w:hint="eastAsia"/>
          <w:sz w:val="24"/>
          <w:szCs w:val="24"/>
          <w:highlight w:val="none"/>
        </w:rPr>
        <w:t>月</w:t>
      </w:r>
      <w:r>
        <w:rPr>
          <w:rFonts w:hint="eastAsia"/>
          <w:sz w:val="24"/>
          <w:szCs w:val="24"/>
          <w:highlight w:val="none"/>
          <w:lang w:eastAsia="zh-CN"/>
        </w:rPr>
        <w:t>。</w:t>
      </w:r>
    </w:p>
    <w:p w14:paraId="2B072464">
      <w:pPr>
        <w:spacing w:line="490" w:lineRule="exact"/>
        <w:ind w:firstLine="480" w:firstLineChars="200"/>
        <w:jc w:val="left"/>
        <w:rPr>
          <w:sz w:val="24"/>
          <w:szCs w:val="24"/>
          <w:highlight w:val="none"/>
        </w:rPr>
        <w:sectPr>
          <w:pgSz w:w="11906" w:h="16838"/>
          <w:pgMar w:top="1440" w:right="1440" w:bottom="1440" w:left="1440" w:header="851" w:footer="992" w:gutter="0"/>
          <w:cols w:space="720" w:num="1"/>
          <w:docGrid w:type="linesAndChars" w:linePitch="312" w:charSpace="0"/>
        </w:sectPr>
      </w:pPr>
      <w:r>
        <w:rPr>
          <w:rFonts w:hint="eastAsia"/>
          <w:sz w:val="24"/>
          <w:szCs w:val="24"/>
          <w:highlight w:val="none"/>
        </w:rPr>
        <w:t>（3）20</w:t>
      </w:r>
      <w:r>
        <w:rPr>
          <w:rFonts w:hint="eastAsia"/>
          <w:sz w:val="24"/>
          <w:szCs w:val="24"/>
          <w:highlight w:val="none"/>
          <w:lang w:val="en-US" w:eastAsia="zh-CN"/>
        </w:rPr>
        <w:t>24</w:t>
      </w:r>
      <w:r>
        <w:rPr>
          <w:rFonts w:hint="eastAsia"/>
          <w:sz w:val="24"/>
          <w:szCs w:val="24"/>
          <w:highlight w:val="none"/>
        </w:rPr>
        <w:t>年</w:t>
      </w:r>
      <w:r>
        <w:rPr>
          <w:rFonts w:hint="eastAsia"/>
          <w:sz w:val="24"/>
          <w:szCs w:val="24"/>
          <w:highlight w:val="none"/>
          <w:lang w:val="en-US" w:eastAsia="zh-CN"/>
        </w:rPr>
        <w:t>7</w:t>
      </w:r>
      <w:r>
        <w:rPr>
          <w:rFonts w:hint="eastAsia"/>
          <w:sz w:val="24"/>
          <w:szCs w:val="24"/>
          <w:highlight w:val="none"/>
        </w:rPr>
        <w:t>月，《年产新型平板显示器件关键部件和材料（玻璃盖板）3840万片项目</w:t>
      </w:r>
      <w:r>
        <w:rPr>
          <w:rFonts w:hint="eastAsia"/>
          <w:sz w:val="24"/>
          <w:szCs w:val="24"/>
          <w:highlight w:val="none"/>
          <w:lang w:eastAsia="zh-CN"/>
        </w:rPr>
        <w:t>（</w:t>
      </w:r>
      <w:r>
        <w:rPr>
          <w:rFonts w:hint="eastAsia"/>
          <w:sz w:val="24"/>
          <w:szCs w:val="24"/>
          <w:highlight w:val="none"/>
          <w:lang w:val="en-US" w:eastAsia="zh-CN"/>
        </w:rPr>
        <w:t>一阶段</w:t>
      </w:r>
      <w:r>
        <w:rPr>
          <w:rFonts w:hint="eastAsia"/>
          <w:sz w:val="24"/>
          <w:szCs w:val="24"/>
          <w:highlight w:val="none"/>
          <w:lang w:eastAsia="zh-CN"/>
        </w:rPr>
        <w:t>）</w:t>
      </w:r>
      <w:r>
        <w:rPr>
          <w:rFonts w:hint="eastAsia"/>
          <w:sz w:val="24"/>
          <w:szCs w:val="24"/>
          <w:highlight w:val="none"/>
          <w:lang w:val="en-US" w:eastAsia="zh-CN"/>
        </w:rPr>
        <w:t>竣工环境保护验收监测报告</w:t>
      </w:r>
      <w:r>
        <w:rPr>
          <w:rFonts w:hint="eastAsia"/>
          <w:sz w:val="24"/>
          <w:szCs w:val="24"/>
          <w:highlight w:val="none"/>
        </w:rPr>
        <w:t>》</w:t>
      </w:r>
      <w:r>
        <w:rPr>
          <w:rFonts w:hint="eastAsia"/>
          <w:snapToGrid w:val="0"/>
          <w:kern w:val="0"/>
          <w:sz w:val="24"/>
          <w:highlight w:val="none"/>
        </w:rPr>
        <w:t>符合竣工环境保护验收条件</w:t>
      </w:r>
      <w:r>
        <w:rPr>
          <w:rFonts w:hint="eastAsia"/>
          <w:sz w:val="24"/>
          <w:szCs w:val="24"/>
          <w:highlight w:val="none"/>
        </w:rPr>
        <w:t>，</w:t>
      </w:r>
      <w:r>
        <w:rPr>
          <w:rFonts w:hint="eastAsia"/>
          <w:snapToGrid w:val="0"/>
          <w:kern w:val="0"/>
          <w:sz w:val="24"/>
          <w:highlight w:val="none"/>
        </w:rPr>
        <w:t>验收组予以通过验收。</w:t>
      </w:r>
    </w:p>
    <w:p w14:paraId="4C0BE752">
      <w:pPr>
        <w:pStyle w:val="2"/>
      </w:pPr>
      <w:bookmarkStart w:id="29" w:name="_Toc520988553"/>
      <w:bookmarkStart w:id="30" w:name="_Toc513474946"/>
      <w:bookmarkStart w:id="31" w:name="_Toc29652"/>
      <w:r>
        <w:t>3</w:t>
      </w:r>
      <w:r>
        <w:rPr>
          <w:rFonts w:hint="eastAsia"/>
        </w:rPr>
        <w:t>项目</w:t>
      </w:r>
      <w:r>
        <w:t>建设情况</w:t>
      </w:r>
      <w:bookmarkEnd w:id="29"/>
      <w:bookmarkEnd w:id="30"/>
      <w:bookmarkEnd w:id="31"/>
    </w:p>
    <w:p w14:paraId="7FB60A34">
      <w:pPr>
        <w:pStyle w:val="3"/>
      </w:pPr>
      <w:bookmarkStart w:id="32" w:name="_Toc20844"/>
      <w:bookmarkStart w:id="33" w:name="_Toc513474947"/>
      <w:bookmarkStart w:id="34" w:name="_Toc520988554"/>
      <w:r>
        <w:t>3.1地理位置及平面布置</w:t>
      </w:r>
      <w:bookmarkEnd w:id="32"/>
      <w:bookmarkEnd w:id="33"/>
      <w:bookmarkEnd w:id="34"/>
    </w:p>
    <w:p w14:paraId="05B26FCB">
      <w:pPr>
        <w:pStyle w:val="4"/>
        <w:spacing w:before="0" w:after="0" w:line="360" w:lineRule="auto"/>
        <w:rPr>
          <w:sz w:val="24"/>
          <w:szCs w:val="24"/>
        </w:rPr>
      </w:pPr>
      <w:bookmarkStart w:id="35" w:name="_Toc513474948"/>
      <w:r>
        <w:rPr>
          <w:sz w:val="24"/>
          <w:szCs w:val="24"/>
        </w:rPr>
        <w:t>3.1.1地理位置</w:t>
      </w:r>
      <w:bookmarkEnd w:id="35"/>
    </w:p>
    <w:p w14:paraId="29777ED0">
      <w:pPr>
        <w:spacing w:line="490" w:lineRule="exact"/>
        <w:ind w:firstLine="480" w:firstLineChars="200"/>
        <w:rPr>
          <w:sz w:val="24"/>
          <w:szCs w:val="24"/>
          <w:highlight w:val="none"/>
        </w:rPr>
      </w:pPr>
      <w:r>
        <w:rPr>
          <w:color w:val="000000"/>
          <w:sz w:val="24"/>
          <w:highlight w:val="none"/>
        </w:rPr>
        <w:t>项目位于</w:t>
      </w:r>
      <w:r>
        <w:rPr>
          <w:rFonts w:hint="eastAsia"/>
          <w:color w:val="000000"/>
          <w:sz w:val="24"/>
          <w:highlight w:val="none"/>
          <w:lang w:eastAsia="zh-CN"/>
        </w:rPr>
        <w:t>重庆高新区西永街道西景大道1号</w:t>
      </w:r>
      <w:r>
        <w:rPr>
          <w:rFonts w:hint="eastAsia"/>
          <w:color w:val="000000"/>
          <w:sz w:val="24"/>
          <w:szCs w:val="24"/>
          <w:highlight w:val="none"/>
        </w:rPr>
        <w:t>，</w:t>
      </w:r>
      <w:r>
        <w:rPr>
          <w:rFonts w:hint="eastAsia"/>
          <w:sz w:val="24"/>
          <w:szCs w:val="24"/>
          <w:highlight w:val="none"/>
        </w:rPr>
        <w:t>项目地理位置</w:t>
      </w:r>
      <w:r>
        <w:rPr>
          <w:sz w:val="24"/>
          <w:szCs w:val="24"/>
          <w:highlight w:val="none"/>
        </w:rPr>
        <w:t>见</w:t>
      </w:r>
      <w:r>
        <w:rPr>
          <w:rFonts w:hint="eastAsia"/>
          <w:sz w:val="24"/>
          <w:szCs w:val="24"/>
          <w:highlight w:val="none"/>
          <w:lang w:val="en-US" w:eastAsia="zh-CN"/>
        </w:rPr>
        <w:t>附图1</w:t>
      </w:r>
      <w:r>
        <w:rPr>
          <w:sz w:val="24"/>
          <w:szCs w:val="24"/>
          <w:highlight w:val="none"/>
        </w:rPr>
        <w:t>。</w:t>
      </w:r>
    </w:p>
    <w:p w14:paraId="29F51329">
      <w:pPr>
        <w:pStyle w:val="4"/>
        <w:spacing w:before="0" w:after="0" w:line="360" w:lineRule="auto"/>
        <w:rPr>
          <w:sz w:val="24"/>
          <w:szCs w:val="24"/>
        </w:rPr>
      </w:pPr>
      <w:bookmarkStart w:id="36" w:name="_Toc513474950"/>
      <w:r>
        <w:rPr>
          <w:sz w:val="24"/>
          <w:szCs w:val="24"/>
        </w:rPr>
        <w:t>3.</w:t>
      </w:r>
      <w:r>
        <w:rPr>
          <w:rFonts w:hint="eastAsia"/>
          <w:sz w:val="24"/>
          <w:szCs w:val="24"/>
          <w:lang w:val="en-US" w:eastAsia="zh-CN"/>
        </w:rPr>
        <w:t>1</w:t>
      </w:r>
      <w:r>
        <w:rPr>
          <w:sz w:val="24"/>
          <w:szCs w:val="24"/>
        </w:rPr>
        <w:t>.</w:t>
      </w:r>
      <w:r>
        <w:rPr>
          <w:rFonts w:hint="eastAsia"/>
          <w:sz w:val="24"/>
          <w:szCs w:val="24"/>
          <w:lang w:val="en-US" w:eastAsia="zh-CN"/>
        </w:rPr>
        <w:t>2</w:t>
      </w:r>
      <w:r>
        <w:rPr>
          <w:sz w:val="24"/>
          <w:szCs w:val="24"/>
        </w:rPr>
        <w:t>外环境关系</w:t>
      </w:r>
    </w:p>
    <w:p w14:paraId="6CC67A70">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项目</w:t>
      </w:r>
      <w:r>
        <w:rPr>
          <w:rFonts w:ascii="Times New Roman" w:hAnsi="Times New Roman" w:eastAsia="宋体" w:cs="Times New Roman"/>
          <w:color w:val="auto"/>
          <w:sz w:val="24"/>
          <w:szCs w:val="24"/>
        </w:rPr>
        <w:t>位于重庆西永微电子产业园区富士康重庆科技园</w:t>
      </w:r>
      <w:r>
        <w:rPr>
          <w:rFonts w:hint="eastAsia" w:ascii="Times New Roman" w:hAnsi="Times New Roman" w:eastAsia="宋体" w:cs="Times New Roman"/>
          <w:color w:val="auto"/>
          <w:sz w:val="24"/>
          <w:szCs w:val="24"/>
        </w:rPr>
        <w:t>内</w:t>
      </w:r>
      <w:r>
        <w:rPr>
          <w:rFonts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rPr>
        <w:t>周边主要为</w:t>
      </w:r>
      <w:r>
        <w:rPr>
          <w:rFonts w:ascii="Times New Roman" w:hAnsi="Times New Roman" w:eastAsia="宋体" w:cs="Times New Roman"/>
          <w:color w:val="auto"/>
          <w:sz w:val="24"/>
          <w:szCs w:val="24"/>
        </w:rPr>
        <w:t>工业企业，项目所处地表水环境为梁滩河。</w:t>
      </w:r>
    </w:p>
    <w:p w14:paraId="3EFF7DEC">
      <w:pPr>
        <w:adjustRightInd w:val="0"/>
        <w:snapToGrid w:val="0"/>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项目外环境关系一览表见表</w:t>
      </w:r>
      <w:r>
        <w:rPr>
          <w:rFonts w:hint="eastAsia" w:cs="Times New Roman"/>
          <w:color w:val="auto"/>
          <w:sz w:val="24"/>
          <w:szCs w:val="24"/>
          <w:lang w:val="en-US" w:eastAsia="zh-CN"/>
        </w:rPr>
        <w:t>3-1</w:t>
      </w:r>
      <w:r>
        <w:rPr>
          <w:rFonts w:ascii="Times New Roman" w:hAnsi="Times New Roman" w:eastAsia="宋体" w:cs="Times New Roman"/>
          <w:color w:val="auto"/>
          <w:sz w:val="24"/>
          <w:szCs w:val="24"/>
        </w:rPr>
        <w:t>。</w:t>
      </w:r>
    </w:p>
    <w:p w14:paraId="1598DDCA">
      <w:pPr>
        <w:pStyle w:val="126"/>
        <w:keepNext w:val="0"/>
        <w:keepLines w:val="0"/>
        <w:pageBreakBefore w:val="0"/>
        <w:widowControl/>
        <w:kinsoku/>
        <w:wordWrap/>
        <w:overflowPunct/>
        <w:topLinePunct w:val="0"/>
        <w:autoSpaceDE/>
        <w:autoSpaceDN/>
        <w:bidi w:val="0"/>
        <w:adjustRightInd/>
        <w:snapToGrid/>
        <w:spacing w:before="0" w:beforeLines="0" w:line="360" w:lineRule="auto"/>
        <w:textAlignment w:val="auto"/>
        <w:rPr>
          <w:rFonts w:hint="eastAsia" w:eastAsia="宋体"/>
          <w:b/>
          <w:bCs/>
          <w:color w:val="auto"/>
          <w:sz w:val="24"/>
          <w:szCs w:val="24"/>
          <w:lang w:val="en-US" w:eastAsia="zh-CN"/>
        </w:rPr>
      </w:pPr>
      <w:r>
        <w:rPr>
          <w:b/>
          <w:bCs/>
          <w:color w:val="auto"/>
          <w:sz w:val="24"/>
          <w:szCs w:val="24"/>
        </w:rPr>
        <w:t>表</w:t>
      </w:r>
      <w:r>
        <w:rPr>
          <w:rFonts w:hint="eastAsia"/>
          <w:b/>
          <w:bCs/>
          <w:color w:val="auto"/>
          <w:sz w:val="24"/>
          <w:szCs w:val="24"/>
          <w:lang w:val="en-US" w:eastAsia="zh-CN"/>
        </w:rPr>
        <w:t>3-1</w:t>
      </w:r>
      <w:r>
        <w:rPr>
          <w:b/>
          <w:bCs/>
          <w:color w:val="auto"/>
          <w:sz w:val="24"/>
          <w:szCs w:val="24"/>
        </w:rPr>
        <w:t xml:space="preserve">  项目外环境关系一览</w:t>
      </w:r>
      <w:r>
        <w:rPr>
          <w:rFonts w:hint="eastAsia"/>
          <w:b/>
          <w:bCs/>
          <w:color w:val="auto"/>
          <w:sz w:val="24"/>
          <w:szCs w:val="24"/>
          <w:lang w:val="en-US" w:eastAsia="zh-CN"/>
        </w:rPr>
        <w:t>表</w:t>
      </w:r>
    </w:p>
    <w:tbl>
      <w:tblPr>
        <w:tblStyle w:val="35"/>
        <w:tblW w:w="88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7"/>
        <w:gridCol w:w="3645"/>
        <w:gridCol w:w="765"/>
        <w:gridCol w:w="2520"/>
        <w:gridCol w:w="1080"/>
      </w:tblGrid>
      <w:tr w14:paraId="41471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2" w:type="pct"/>
            <w:noWrap w:val="0"/>
            <w:vAlign w:val="center"/>
          </w:tcPr>
          <w:p w14:paraId="291EE793">
            <w:pPr>
              <w:pStyle w:val="127"/>
              <w:rPr>
                <w:color w:val="auto"/>
                <w:sz w:val="21"/>
                <w:szCs w:val="21"/>
              </w:rPr>
            </w:pPr>
            <w:r>
              <w:rPr>
                <w:color w:val="auto"/>
                <w:sz w:val="21"/>
                <w:szCs w:val="21"/>
              </w:rPr>
              <w:t>序号</w:t>
            </w:r>
          </w:p>
        </w:tc>
        <w:tc>
          <w:tcPr>
            <w:tcW w:w="2069" w:type="pct"/>
            <w:noWrap w:val="0"/>
            <w:vAlign w:val="center"/>
          </w:tcPr>
          <w:p w14:paraId="2A3A6195">
            <w:pPr>
              <w:pStyle w:val="127"/>
              <w:rPr>
                <w:color w:val="auto"/>
                <w:sz w:val="21"/>
                <w:szCs w:val="21"/>
              </w:rPr>
            </w:pPr>
            <w:r>
              <w:rPr>
                <w:color w:val="auto"/>
                <w:sz w:val="21"/>
                <w:szCs w:val="21"/>
              </w:rPr>
              <w:t>名称</w:t>
            </w:r>
          </w:p>
        </w:tc>
        <w:tc>
          <w:tcPr>
            <w:tcW w:w="434" w:type="pct"/>
            <w:noWrap w:val="0"/>
            <w:vAlign w:val="center"/>
          </w:tcPr>
          <w:p w14:paraId="599F7A29">
            <w:pPr>
              <w:pStyle w:val="127"/>
              <w:rPr>
                <w:color w:val="auto"/>
                <w:sz w:val="21"/>
                <w:szCs w:val="21"/>
              </w:rPr>
            </w:pPr>
            <w:r>
              <w:rPr>
                <w:color w:val="auto"/>
                <w:sz w:val="21"/>
                <w:szCs w:val="21"/>
              </w:rPr>
              <w:t>方位</w:t>
            </w:r>
          </w:p>
        </w:tc>
        <w:tc>
          <w:tcPr>
            <w:tcW w:w="1430" w:type="pct"/>
            <w:noWrap w:val="0"/>
            <w:vAlign w:val="center"/>
          </w:tcPr>
          <w:p w14:paraId="51B6CDF6">
            <w:pPr>
              <w:pStyle w:val="127"/>
              <w:rPr>
                <w:color w:val="auto"/>
                <w:sz w:val="21"/>
                <w:szCs w:val="21"/>
              </w:rPr>
            </w:pPr>
            <w:r>
              <w:rPr>
                <w:color w:val="auto"/>
                <w:sz w:val="21"/>
                <w:szCs w:val="21"/>
              </w:rPr>
              <w:t>距离厂界最近距离（m）</w:t>
            </w:r>
          </w:p>
        </w:tc>
        <w:tc>
          <w:tcPr>
            <w:tcW w:w="613" w:type="pct"/>
            <w:noWrap w:val="0"/>
            <w:vAlign w:val="center"/>
          </w:tcPr>
          <w:p w14:paraId="740E0830">
            <w:pPr>
              <w:pStyle w:val="127"/>
              <w:rPr>
                <w:color w:val="auto"/>
                <w:sz w:val="21"/>
                <w:szCs w:val="21"/>
              </w:rPr>
            </w:pPr>
            <w:r>
              <w:rPr>
                <w:color w:val="auto"/>
                <w:sz w:val="21"/>
                <w:szCs w:val="21"/>
              </w:rPr>
              <w:t>备注</w:t>
            </w:r>
          </w:p>
        </w:tc>
      </w:tr>
      <w:tr w14:paraId="6E70DB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noWrap w:val="0"/>
            <w:vAlign w:val="center"/>
          </w:tcPr>
          <w:p w14:paraId="50E647D0">
            <w:pPr>
              <w:pStyle w:val="127"/>
              <w:rPr>
                <w:color w:val="auto"/>
                <w:sz w:val="21"/>
                <w:szCs w:val="21"/>
              </w:rPr>
            </w:pPr>
            <w:r>
              <w:rPr>
                <w:color w:val="auto"/>
                <w:sz w:val="21"/>
                <w:szCs w:val="21"/>
              </w:rPr>
              <w:t>1</w:t>
            </w:r>
          </w:p>
        </w:tc>
        <w:tc>
          <w:tcPr>
            <w:tcW w:w="2069" w:type="pct"/>
            <w:noWrap w:val="0"/>
            <w:vAlign w:val="center"/>
          </w:tcPr>
          <w:p w14:paraId="34C2F56D">
            <w:pPr>
              <w:pStyle w:val="127"/>
              <w:rPr>
                <w:rFonts w:hint="eastAsia" w:eastAsia="宋体"/>
                <w:color w:val="auto"/>
                <w:sz w:val="21"/>
                <w:szCs w:val="21"/>
                <w:lang w:eastAsia="zh-CN"/>
              </w:rPr>
            </w:pPr>
            <w:r>
              <w:rPr>
                <w:color w:val="auto"/>
                <w:sz w:val="21"/>
                <w:szCs w:val="21"/>
              </w:rPr>
              <w:t>富康新城</w:t>
            </w:r>
            <w:r>
              <w:rPr>
                <w:rFonts w:hint="eastAsia"/>
                <w:color w:val="auto"/>
                <w:sz w:val="21"/>
                <w:szCs w:val="21"/>
                <w:lang w:eastAsia="zh-CN"/>
              </w:rPr>
              <w:t>（</w:t>
            </w:r>
            <w:r>
              <w:rPr>
                <w:rFonts w:hint="eastAsia"/>
                <w:color w:val="auto"/>
                <w:sz w:val="21"/>
                <w:szCs w:val="21"/>
                <w:lang w:val="en-US" w:eastAsia="zh-CN"/>
              </w:rPr>
              <w:t>职工宿舍楼</w:t>
            </w:r>
            <w:r>
              <w:rPr>
                <w:rFonts w:hint="eastAsia"/>
                <w:color w:val="auto"/>
                <w:sz w:val="21"/>
                <w:szCs w:val="21"/>
                <w:lang w:eastAsia="zh-CN"/>
              </w:rPr>
              <w:t>）</w:t>
            </w:r>
          </w:p>
        </w:tc>
        <w:tc>
          <w:tcPr>
            <w:tcW w:w="434" w:type="pct"/>
            <w:noWrap w:val="0"/>
            <w:vAlign w:val="center"/>
          </w:tcPr>
          <w:p w14:paraId="7BC6C0AD">
            <w:pPr>
              <w:pStyle w:val="127"/>
              <w:rPr>
                <w:rFonts w:hint="eastAsia"/>
                <w:color w:val="auto"/>
                <w:sz w:val="21"/>
                <w:szCs w:val="21"/>
              </w:rPr>
            </w:pPr>
            <w:r>
              <w:rPr>
                <w:rFonts w:hint="eastAsia"/>
                <w:color w:val="auto"/>
                <w:sz w:val="21"/>
                <w:szCs w:val="21"/>
              </w:rPr>
              <w:t>W</w:t>
            </w:r>
          </w:p>
        </w:tc>
        <w:tc>
          <w:tcPr>
            <w:tcW w:w="1430" w:type="pct"/>
            <w:noWrap w:val="0"/>
            <w:vAlign w:val="center"/>
          </w:tcPr>
          <w:p w14:paraId="44EBDCAD">
            <w:pPr>
              <w:pStyle w:val="127"/>
              <w:rPr>
                <w:rFonts w:hint="eastAsia"/>
                <w:color w:val="auto"/>
                <w:sz w:val="21"/>
                <w:szCs w:val="21"/>
              </w:rPr>
            </w:pPr>
            <w:r>
              <w:rPr>
                <w:rFonts w:hint="eastAsia"/>
                <w:color w:val="auto"/>
                <w:sz w:val="21"/>
                <w:szCs w:val="21"/>
              </w:rPr>
              <w:t>48</w:t>
            </w:r>
          </w:p>
        </w:tc>
        <w:tc>
          <w:tcPr>
            <w:tcW w:w="613" w:type="pct"/>
            <w:noWrap w:val="0"/>
            <w:vAlign w:val="center"/>
          </w:tcPr>
          <w:p w14:paraId="5E78CA16">
            <w:pPr>
              <w:pStyle w:val="127"/>
              <w:rPr>
                <w:color w:val="auto"/>
                <w:sz w:val="21"/>
                <w:szCs w:val="21"/>
              </w:rPr>
            </w:pPr>
            <w:r>
              <w:rPr>
                <w:color w:val="auto"/>
                <w:sz w:val="21"/>
                <w:szCs w:val="21"/>
              </w:rPr>
              <w:t>已建</w:t>
            </w:r>
          </w:p>
        </w:tc>
      </w:tr>
      <w:tr w14:paraId="292FD1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noWrap w:val="0"/>
            <w:vAlign w:val="center"/>
          </w:tcPr>
          <w:p w14:paraId="42EE6A70">
            <w:pPr>
              <w:pStyle w:val="127"/>
              <w:rPr>
                <w:rFonts w:hint="eastAsia" w:eastAsia="宋体"/>
                <w:color w:val="auto"/>
                <w:sz w:val="21"/>
                <w:szCs w:val="21"/>
                <w:lang w:val="en-US" w:eastAsia="zh-CN"/>
              </w:rPr>
            </w:pPr>
            <w:r>
              <w:rPr>
                <w:rFonts w:hint="eastAsia"/>
                <w:color w:val="auto"/>
                <w:sz w:val="21"/>
                <w:szCs w:val="21"/>
                <w:lang w:val="en-US" w:eastAsia="zh-CN"/>
              </w:rPr>
              <w:t>2</w:t>
            </w:r>
          </w:p>
        </w:tc>
        <w:tc>
          <w:tcPr>
            <w:tcW w:w="2069" w:type="pct"/>
            <w:noWrap w:val="0"/>
            <w:vAlign w:val="center"/>
          </w:tcPr>
          <w:p w14:paraId="0EB47CF4">
            <w:pPr>
              <w:pStyle w:val="127"/>
              <w:rPr>
                <w:rFonts w:hint="eastAsia" w:ascii="Times New Roman" w:hAnsi="Times New Roman" w:eastAsia="宋体" w:cs="Times New Roman"/>
                <w:bCs/>
                <w:color w:val="auto"/>
                <w:kern w:val="22"/>
                <w:sz w:val="21"/>
                <w:szCs w:val="21"/>
                <w:lang w:val="en-US" w:eastAsia="zh-CN" w:bidi="ar-SA"/>
              </w:rPr>
            </w:pPr>
            <w:r>
              <w:rPr>
                <w:rFonts w:hint="eastAsia"/>
                <w:color w:val="auto"/>
                <w:sz w:val="21"/>
                <w:szCs w:val="21"/>
              </w:rPr>
              <w:t>沙坪坝区西永社区卫生服务中心</w:t>
            </w:r>
          </w:p>
        </w:tc>
        <w:tc>
          <w:tcPr>
            <w:tcW w:w="434" w:type="pct"/>
            <w:noWrap w:val="0"/>
            <w:vAlign w:val="center"/>
          </w:tcPr>
          <w:p w14:paraId="5D46ACEA">
            <w:pPr>
              <w:pStyle w:val="127"/>
              <w:rPr>
                <w:rFonts w:hint="eastAsia" w:ascii="Times New Roman" w:hAnsi="Times New Roman" w:eastAsia="宋体" w:cs="Times New Roman"/>
                <w:bCs/>
                <w:color w:val="auto"/>
                <w:kern w:val="22"/>
                <w:sz w:val="21"/>
                <w:szCs w:val="21"/>
                <w:lang w:val="en-US" w:eastAsia="zh-CN" w:bidi="ar-SA"/>
              </w:rPr>
            </w:pPr>
            <w:r>
              <w:rPr>
                <w:rFonts w:hint="eastAsia"/>
                <w:color w:val="auto"/>
                <w:sz w:val="21"/>
                <w:szCs w:val="21"/>
              </w:rPr>
              <w:t>NW</w:t>
            </w:r>
          </w:p>
        </w:tc>
        <w:tc>
          <w:tcPr>
            <w:tcW w:w="1430" w:type="pct"/>
            <w:noWrap w:val="0"/>
            <w:vAlign w:val="center"/>
          </w:tcPr>
          <w:p w14:paraId="21727D14">
            <w:pPr>
              <w:pStyle w:val="127"/>
              <w:rPr>
                <w:rFonts w:hint="eastAsia" w:ascii="Times New Roman" w:hAnsi="Times New Roman" w:eastAsia="宋体" w:cs="Times New Roman"/>
                <w:bCs/>
                <w:color w:val="auto"/>
                <w:kern w:val="22"/>
                <w:sz w:val="21"/>
                <w:szCs w:val="21"/>
                <w:lang w:val="en-US" w:eastAsia="zh-CN" w:bidi="ar-SA"/>
              </w:rPr>
            </w:pPr>
            <w:r>
              <w:rPr>
                <w:rFonts w:hint="eastAsia"/>
                <w:color w:val="auto"/>
                <w:sz w:val="21"/>
                <w:szCs w:val="21"/>
                <w:lang w:val="en-US" w:eastAsia="zh-CN"/>
              </w:rPr>
              <w:t>432</w:t>
            </w:r>
          </w:p>
        </w:tc>
        <w:tc>
          <w:tcPr>
            <w:tcW w:w="613" w:type="pct"/>
            <w:noWrap w:val="0"/>
            <w:vAlign w:val="center"/>
          </w:tcPr>
          <w:p w14:paraId="095142F5">
            <w:pPr>
              <w:pStyle w:val="127"/>
              <w:rPr>
                <w:color w:val="auto"/>
                <w:sz w:val="21"/>
                <w:szCs w:val="21"/>
              </w:rPr>
            </w:pPr>
            <w:r>
              <w:rPr>
                <w:color w:val="auto"/>
                <w:sz w:val="21"/>
                <w:szCs w:val="21"/>
              </w:rPr>
              <w:t>已建</w:t>
            </w:r>
          </w:p>
        </w:tc>
      </w:tr>
      <w:tr w14:paraId="33091B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noWrap w:val="0"/>
            <w:vAlign w:val="center"/>
          </w:tcPr>
          <w:p w14:paraId="5E3E3973">
            <w:pPr>
              <w:pStyle w:val="127"/>
              <w:rPr>
                <w:rFonts w:hint="eastAsia" w:eastAsia="宋体"/>
                <w:color w:val="auto"/>
                <w:sz w:val="21"/>
                <w:szCs w:val="21"/>
                <w:lang w:val="en-US" w:eastAsia="zh-CN"/>
              </w:rPr>
            </w:pPr>
            <w:r>
              <w:rPr>
                <w:rFonts w:hint="eastAsia"/>
                <w:color w:val="auto"/>
                <w:sz w:val="21"/>
                <w:szCs w:val="21"/>
                <w:lang w:val="en-US" w:eastAsia="zh-CN"/>
              </w:rPr>
              <w:t>3</w:t>
            </w:r>
          </w:p>
        </w:tc>
        <w:tc>
          <w:tcPr>
            <w:tcW w:w="2069" w:type="pct"/>
            <w:noWrap w:val="0"/>
            <w:vAlign w:val="center"/>
          </w:tcPr>
          <w:p w14:paraId="508D23A4">
            <w:pPr>
              <w:pStyle w:val="127"/>
              <w:rPr>
                <w:rFonts w:hint="eastAsia" w:ascii="Times New Roman" w:hAnsi="Times New Roman" w:eastAsia="宋体" w:cs="Times New Roman"/>
                <w:bCs/>
                <w:color w:val="auto"/>
                <w:kern w:val="22"/>
                <w:sz w:val="21"/>
                <w:szCs w:val="21"/>
                <w:lang w:val="en-US" w:eastAsia="zh-CN" w:bidi="ar-SA"/>
              </w:rPr>
            </w:pPr>
            <w:r>
              <w:rPr>
                <w:rFonts w:hint="eastAsia"/>
                <w:color w:val="auto"/>
                <w:sz w:val="21"/>
                <w:szCs w:val="21"/>
              </w:rPr>
              <w:t>重庆市沙坪坝区建设工程质量监督站</w:t>
            </w:r>
          </w:p>
        </w:tc>
        <w:tc>
          <w:tcPr>
            <w:tcW w:w="434" w:type="pct"/>
            <w:noWrap w:val="0"/>
            <w:vAlign w:val="center"/>
          </w:tcPr>
          <w:p w14:paraId="4D1ECA57">
            <w:pPr>
              <w:pStyle w:val="127"/>
              <w:rPr>
                <w:rFonts w:hint="eastAsia" w:ascii="Times New Roman" w:hAnsi="Times New Roman" w:eastAsia="宋体" w:cs="Times New Roman"/>
                <w:bCs/>
                <w:color w:val="auto"/>
                <w:kern w:val="22"/>
                <w:sz w:val="21"/>
                <w:szCs w:val="21"/>
                <w:lang w:val="en-US" w:eastAsia="zh-CN" w:bidi="ar-SA"/>
              </w:rPr>
            </w:pPr>
            <w:r>
              <w:rPr>
                <w:rFonts w:hint="eastAsia"/>
                <w:color w:val="auto"/>
                <w:sz w:val="21"/>
                <w:szCs w:val="21"/>
              </w:rPr>
              <w:t>NW</w:t>
            </w:r>
          </w:p>
        </w:tc>
        <w:tc>
          <w:tcPr>
            <w:tcW w:w="1430" w:type="pct"/>
            <w:noWrap w:val="0"/>
            <w:vAlign w:val="center"/>
          </w:tcPr>
          <w:p w14:paraId="6E758EC1">
            <w:pPr>
              <w:pStyle w:val="127"/>
              <w:rPr>
                <w:rFonts w:hint="eastAsia" w:ascii="Times New Roman" w:hAnsi="Times New Roman" w:eastAsia="宋体" w:cs="Times New Roman"/>
                <w:bCs/>
                <w:color w:val="auto"/>
                <w:kern w:val="22"/>
                <w:sz w:val="21"/>
                <w:szCs w:val="21"/>
                <w:lang w:val="en-US" w:eastAsia="zh-CN" w:bidi="ar-SA"/>
              </w:rPr>
            </w:pPr>
            <w:r>
              <w:rPr>
                <w:rFonts w:hint="eastAsia"/>
                <w:color w:val="auto"/>
                <w:sz w:val="21"/>
                <w:szCs w:val="21"/>
                <w:lang w:val="en-US" w:eastAsia="zh-CN"/>
              </w:rPr>
              <w:t>279</w:t>
            </w:r>
          </w:p>
        </w:tc>
        <w:tc>
          <w:tcPr>
            <w:tcW w:w="613" w:type="pct"/>
            <w:noWrap w:val="0"/>
            <w:vAlign w:val="center"/>
          </w:tcPr>
          <w:p w14:paraId="3217A093">
            <w:pPr>
              <w:pStyle w:val="127"/>
              <w:rPr>
                <w:color w:val="auto"/>
                <w:sz w:val="21"/>
                <w:szCs w:val="21"/>
              </w:rPr>
            </w:pPr>
            <w:r>
              <w:rPr>
                <w:color w:val="auto"/>
                <w:sz w:val="21"/>
                <w:szCs w:val="21"/>
              </w:rPr>
              <w:t>已建</w:t>
            </w:r>
          </w:p>
        </w:tc>
      </w:tr>
      <w:tr w14:paraId="4CE51B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2" w:type="pct"/>
            <w:noWrap w:val="0"/>
            <w:vAlign w:val="center"/>
          </w:tcPr>
          <w:p w14:paraId="44E24D71">
            <w:pPr>
              <w:pStyle w:val="127"/>
              <w:rPr>
                <w:rFonts w:hint="eastAsia" w:eastAsia="宋体"/>
                <w:color w:val="auto"/>
                <w:sz w:val="21"/>
                <w:szCs w:val="21"/>
                <w:lang w:eastAsia="zh-CN"/>
              </w:rPr>
            </w:pPr>
            <w:r>
              <w:rPr>
                <w:rFonts w:hint="eastAsia"/>
                <w:color w:val="auto"/>
                <w:sz w:val="21"/>
                <w:szCs w:val="21"/>
                <w:lang w:val="en-US" w:eastAsia="zh-CN"/>
              </w:rPr>
              <w:t>4</w:t>
            </w:r>
          </w:p>
        </w:tc>
        <w:tc>
          <w:tcPr>
            <w:tcW w:w="2069" w:type="pct"/>
            <w:noWrap w:val="0"/>
            <w:vAlign w:val="center"/>
          </w:tcPr>
          <w:p w14:paraId="32C1C095">
            <w:pPr>
              <w:pStyle w:val="127"/>
              <w:rPr>
                <w:color w:val="auto"/>
                <w:sz w:val="21"/>
                <w:szCs w:val="21"/>
              </w:rPr>
            </w:pPr>
            <w:r>
              <w:rPr>
                <w:color w:val="auto"/>
                <w:sz w:val="21"/>
                <w:szCs w:val="21"/>
              </w:rPr>
              <w:t>梁滩河</w:t>
            </w:r>
          </w:p>
        </w:tc>
        <w:tc>
          <w:tcPr>
            <w:tcW w:w="434" w:type="pct"/>
            <w:noWrap w:val="0"/>
            <w:vAlign w:val="center"/>
          </w:tcPr>
          <w:p w14:paraId="35C6681F">
            <w:pPr>
              <w:pStyle w:val="127"/>
              <w:rPr>
                <w:color w:val="auto"/>
                <w:sz w:val="21"/>
                <w:szCs w:val="21"/>
              </w:rPr>
            </w:pPr>
            <w:r>
              <w:rPr>
                <w:color w:val="auto"/>
                <w:sz w:val="21"/>
                <w:szCs w:val="21"/>
              </w:rPr>
              <w:t>W</w:t>
            </w:r>
          </w:p>
        </w:tc>
        <w:tc>
          <w:tcPr>
            <w:tcW w:w="1430" w:type="pct"/>
            <w:noWrap w:val="0"/>
            <w:vAlign w:val="center"/>
          </w:tcPr>
          <w:p w14:paraId="4C7B0BBD">
            <w:pPr>
              <w:pStyle w:val="127"/>
              <w:rPr>
                <w:rFonts w:hint="eastAsia"/>
                <w:color w:val="auto"/>
                <w:sz w:val="21"/>
                <w:szCs w:val="21"/>
              </w:rPr>
            </w:pPr>
            <w:r>
              <w:rPr>
                <w:color w:val="auto"/>
                <w:sz w:val="21"/>
                <w:szCs w:val="21"/>
              </w:rPr>
              <w:t>5</w:t>
            </w:r>
            <w:r>
              <w:rPr>
                <w:rFonts w:hint="eastAsia"/>
                <w:color w:val="auto"/>
                <w:sz w:val="21"/>
                <w:szCs w:val="21"/>
              </w:rPr>
              <w:t>58</w:t>
            </w:r>
          </w:p>
        </w:tc>
        <w:tc>
          <w:tcPr>
            <w:tcW w:w="613" w:type="pct"/>
            <w:noWrap w:val="0"/>
            <w:vAlign w:val="center"/>
          </w:tcPr>
          <w:p w14:paraId="116E52C9">
            <w:pPr>
              <w:pStyle w:val="127"/>
              <w:rPr>
                <w:color w:val="auto"/>
                <w:sz w:val="21"/>
                <w:szCs w:val="21"/>
              </w:rPr>
            </w:pPr>
            <w:r>
              <w:rPr>
                <w:color w:val="auto"/>
                <w:sz w:val="21"/>
                <w:szCs w:val="21"/>
              </w:rPr>
              <w:t>Ⅴ类水域</w:t>
            </w:r>
          </w:p>
        </w:tc>
      </w:tr>
    </w:tbl>
    <w:p w14:paraId="44941EB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color w:val="auto"/>
          <w:sz w:val="24"/>
          <w:szCs w:val="24"/>
        </w:rPr>
      </w:pPr>
      <w:r>
        <w:rPr>
          <w:rFonts w:ascii="Times New Roman" w:hAnsi="Times New Roman" w:eastAsia="宋体" w:cs="Times New Roman"/>
          <w:color w:val="auto"/>
          <w:sz w:val="24"/>
          <w:szCs w:val="24"/>
        </w:rPr>
        <w:t>项目周边多为工业企业</w:t>
      </w:r>
      <w:r>
        <w:rPr>
          <w:rFonts w:hint="eastAsia" w:ascii="Times New Roman" w:hAnsi="Times New Roman" w:eastAsia="宋体" w:cs="Times New Roman"/>
          <w:color w:val="auto"/>
          <w:sz w:val="24"/>
          <w:szCs w:val="24"/>
        </w:rPr>
        <w:t>，一处</w:t>
      </w:r>
      <w:r>
        <w:rPr>
          <w:rFonts w:hint="eastAsia" w:cs="Times New Roman"/>
          <w:color w:val="auto"/>
          <w:sz w:val="24"/>
          <w:szCs w:val="24"/>
          <w:lang w:val="en-US" w:eastAsia="zh-CN"/>
        </w:rPr>
        <w:t>为</w:t>
      </w:r>
      <w:r>
        <w:rPr>
          <w:rFonts w:hint="eastAsia" w:ascii="Times New Roman" w:hAnsi="Times New Roman" w:eastAsia="宋体" w:cs="Times New Roman"/>
          <w:color w:val="auto"/>
          <w:sz w:val="24"/>
          <w:szCs w:val="24"/>
        </w:rPr>
        <w:t>居民点</w:t>
      </w:r>
      <w:r>
        <w:rPr>
          <w:rFonts w:ascii="Times New Roman" w:hAnsi="Times New Roman" w:eastAsia="宋体" w:cs="Times New Roman"/>
          <w:color w:val="auto"/>
          <w:sz w:val="24"/>
          <w:szCs w:val="24"/>
        </w:rPr>
        <w:t>。</w:t>
      </w:r>
    </w:p>
    <w:p w14:paraId="40865D50">
      <w:pPr>
        <w:pStyle w:val="4"/>
        <w:spacing w:before="0" w:after="0" w:line="360" w:lineRule="auto"/>
        <w:rPr>
          <w:sz w:val="24"/>
          <w:szCs w:val="24"/>
        </w:rPr>
      </w:pPr>
      <w:r>
        <w:rPr>
          <w:sz w:val="24"/>
          <w:szCs w:val="24"/>
        </w:rPr>
        <w:t>3.</w:t>
      </w:r>
      <w:r>
        <w:rPr>
          <w:rFonts w:hint="eastAsia"/>
          <w:sz w:val="24"/>
          <w:szCs w:val="24"/>
          <w:lang w:val="en-US" w:eastAsia="zh-CN"/>
        </w:rPr>
        <w:t>1</w:t>
      </w:r>
      <w:r>
        <w:rPr>
          <w:sz w:val="24"/>
          <w:szCs w:val="24"/>
        </w:rPr>
        <w:t>.</w:t>
      </w:r>
      <w:r>
        <w:rPr>
          <w:rFonts w:hint="eastAsia"/>
          <w:sz w:val="24"/>
          <w:szCs w:val="24"/>
          <w:lang w:val="en-US" w:eastAsia="zh-CN"/>
        </w:rPr>
        <w:t>3</w:t>
      </w:r>
      <w:r>
        <w:rPr>
          <w:sz w:val="24"/>
          <w:szCs w:val="24"/>
        </w:rPr>
        <w:t>环境保护目标</w:t>
      </w:r>
    </w:p>
    <w:p w14:paraId="1EB6EB3C">
      <w:pPr>
        <w:adjustRightInd w:val="0"/>
        <w:snapToGrid w:val="0"/>
        <w:spacing w:line="360" w:lineRule="auto"/>
        <w:ind w:firstLine="480" w:firstLineChars="200"/>
        <w:rPr>
          <w:rFonts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（1）大气</w:t>
      </w:r>
      <w:r>
        <w:rPr>
          <w:rFonts w:ascii="Times New Roman" w:hAnsi="Times New Roman" w:eastAsia="宋体" w:cs="Times New Roman"/>
          <w:color w:val="auto"/>
          <w:sz w:val="24"/>
          <w:szCs w:val="24"/>
        </w:rPr>
        <w:t>环境：根据现场调查，项目位于重庆西永微电子产业园区，项目周边主要为园区工业企业及园区空地，项目所在地不属于生态敏感与脆弱区。区内无饮用水源保护区、自然保护区、风景名胜区、生态功能保护区及水土流失等重点防治区等。</w:t>
      </w:r>
      <w:r>
        <w:rPr>
          <w:rFonts w:hint="eastAsia" w:ascii="Times New Roman" w:hAnsi="Times New Roman" w:eastAsia="宋体" w:cs="Times New Roman"/>
          <w:color w:val="auto"/>
          <w:sz w:val="24"/>
          <w:szCs w:val="24"/>
          <w:lang w:eastAsia="zh-CN"/>
        </w:rPr>
        <w:t>项目</w:t>
      </w:r>
      <w:r>
        <w:rPr>
          <w:rFonts w:ascii="Times New Roman" w:hAnsi="Times New Roman" w:eastAsia="宋体" w:cs="Times New Roman"/>
          <w:color w:val="auto"/>
          <w:sz w:val="24"/>
          <w:szCs w:val="24"/>
        </w:rPr>
        <w:t>厂界外500m范围内有</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rPr>
        <w:t>处</w:t>
      </w:r>
      <w:r>
        <w:rPr>
          <w:rFonts w:ascii="Times New Roman" w:hAnsi="Times New Roman" w:eastAsia="宋体" w:cs="Times New Roman"/>
          <w:color w:val="auto"/>
          <w:sz w:val="24"/>
          <w:szCs w:val="24"/>
        </w:rPr>
        <w:t>大气环境保护目标</w:t>
      </w:r>
      <w:r>
        <w:rPr>
          <w:rFonts w:hint="eastAsia" w:ascii="Times New Roman" w:hAnsi="Times New Roman" w:eastAsia="宋体" w:cs="Times New Roman"/>
          <w:color w:val="auto"/>
          <w:sz w:val="24"/>
          <w:szCs w:val="24"/>
        </w:rPr>
        <w:t>，如下表。</w:t>
      </w:r>
    </w:p>
    <w:p w14:paraId="6EE39979">
      <w:pPr>
        <w:pStyle w:val="126"/>
        <w:keepNext w:val="0"/>
        <w:keepLines w:val="0"/>
        <w:pageBreakBefore w:val="0"/>
        <w:widowControl/>
        <w:kinsoku/>
        <w:wordWrap/>
        <w:overflowPunct/>
        <w:topLinePunct w:val="0"/>
        <w:autoSpaceDE/>
        <w:autoSpaceDN/>
        <w:bidi w:val="0"/>
        <w:adjustRightInd/>
        <w:snapToGrid/>
        <w:spacing w:before="0" w:beforeLines="0" w:line="360" w:lineRule="auto"/>
        <w:textAlignment w:val="auto"/>
        <w:rPr>
          <w:b/>
          <w:bCs/>
          <w:color w:val="auto"/>
          <w:sz w:val="24"/>
          <w:szCs w:val="24"/>
        </w:rPr>
      </w:pPr>
      <w:r>
        <w:rPr>
          <w:rFonts w:hint="eastAsia"/>
          <w:b/>
          <w:bCs/>
          <w:color w:val="auto"/>
          <w:sz w:val="24"/>
          <w:szCs w:val="24"/>
        </w:rPr>
        <w:t>表</w:t>
      </w:r>
      <w:r>
        <w:rPr>
          <w:rFonts w:hint="eastAsia"/>
          <w:b/>
          <w:bCs/>
          <w:color w:val="auto"/>
          <w:sz w:val="24"/>
          <w:szCs w:val="24"/>
          <w:lang w:val="en-US" w:eastAsia="zh-CN"/>
        </w:rPr>
        <w:t>3-2</w:t>
      </w:r>
      <w:r>
        <w:rPr>
          <w:rFonts w:hint="eastAsia"/>
          <w:b/>
          <w:bCs/>
          <w:color w:val="auto"/>
          <w:sz w:val="24"/>
          <w:szCs w:val="24"/>
        </w:rPr>
        <w:t xml:space="preserve">  环境空气保护目标</w:t>
      </w:r>
    </w:p>
    <w:tbl>
      <w:tblPr>
        <w:tblStyle w:val="35"/>
        <w:tblW w:w="908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74"/>
        <w:gridCol w:w="795"/>
        <w:gridCol w:w="825"/>
        <w:gridCol w:w="1065"/>
        <w:gridCol w:w="1125"/>
        <w:gridCol w:w="975"/>
        <w:gridCol w:w="930"/>
        <w:gridCol w:w="1095"/>
      </w:tblGrid>
      <w:tr w14:paraId="170F69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trPr>
        <w:tc>
          <w:tcPr>
            <w:tcW w:w="1251" w:type="pct"/>
            <w:noWrap w:val="0"/>
            <w:vAlign w:val="center"/>
          </w:tcPr>
          <w:p w14:paraId="243D612B">
            <w:pPr>
              <w:pStyle w:val="127"/>
              <w:rPr>
                <w:color w:val="auto"/>
                <w:sz w:val="21"/>
                <w:szCs w:val="21"/>
              </w:rPr>
            </w:pPr>
            <w:r>
              <w:rPr>
                <w:rFonts w:hint="eastAsia"/>
                <w:color w:val="auto"/>
                <w:sz w:val="21"/>
                <w:szCs w:val="21"/>
              </w:rPr>
              <w:t>名称</w:t>
            </w:r>
          </w:p>
        </w:tc>
        <w:tc>
          <w:tcPr>
            <w:tcW w:w="437" w:type="pct"/>
            <w:noWrap w:val="0"/>
            <w:vAlign w:val="center"/>
          </w:tcPr>
          <w:p w14:paraId="12569186">
            <w:pPr>
              <w:pStyle w:val="127"/>
              <w:rPr>
                <w:rFonts w:hint="eastAsia" w:eastAsia="宋体"/>
                <w:color w:val="auto"/>
                <w:sz w:val="21"/>
                <w:szCs w:val="21"/>
                <w:lang w:val="en-US" w:eastAsia="zh-CN"/>
              </w:rPr>
            </w:pPr>
            <w:r>
              <w:rPr>
                <w:rFonts w:hint="eastAsia"/>
                <w:color w:val="auto"/>
                <w:sz w:val="21"/>
                <w:szCs w:val="21"/>
                <w:lang w:val="en-US" w:eastAsia="zh-CN"/>
              </w:rPr>
              <w:t>X</w:t>
            </w:r>
          </w:p>
        </w:tc>
        <w:tc>
          <w:tcPr>
            <w:tcW w:w="454" w:type="pct"/>
            <w:noWrap w:val="0"/>
            <w:vAlign w:val="center"/>
          </w:tcPr>
          <w:p w14:paraId="4806C182">
            <w:pPr>
              <w:pStyle w:val="127"/>
              <w:rPr>
                <w:rFonts w:hint="eastAsia" w:eastAsia="宋体"/>
                <w:color w:val="auto"/>
                <w:sz w:val="21"/>
                <w:szCs w:val="21"/>
                <w:lang w:val="en-US" w:eastAsia="zh-CN"/>
              </w:rPr>
            </w:pPr>
            <w:r>
              <w:rPr>
                <w:rFonts w:hint="eastAsia"/>
                <w:color w:val="auto"/>
                <w:sz w:val="21"/>
                <w:szCs w:val="21"/>
                <w:lang w:val="en-US" w:eastAsia="zh-CN"/>
              </w:rPr>
              <w:t>Y</w:t>
            </w:r>
          </w:p>
        </w:tc>
        <w:tc>
          <w:tcPr>
            <w:tcW w:w="586" w:type="pct"/>
            <w:noWrap w:val="0"/>
            <w:vAlign w:val="center"/>
          </w:tcPr>
          <w:p w14:paraId="7256F593">
            <w:pPr>
              <w:pStyle w:val="127"/>
              <w:rPr>
                <w:rFonts w:hint="eastAsia"/>
                <w:color w:val="auto"/>
                <w:sz w:val="21"/>
                <w:szCs w:val="21"/>
              </w:rPr>
            </w:pPr>
            <w:r>
              <w:rPr>
                <w:rFonts w:hint="eastAsia"/>
                <w:color w:val="auto"/>
                <w:sz w:val="21"/>
                <w:szCs w:val="21"/>
              </w:rPr>
              <w:t>保护对象</w:t>
            </w:r>
          </w:p>
        </w:tc>
        <w:tc>
          <w:tcPr>
            <w:tcW w:w="619" w:type="pct"/>
            <w:noWrap w:val="0"/>
            <w:vAlign w:val="center"/>
          </w:tcPr>
          <w:p w14:paraId="1104C9B5">
            <w:pPr>
              <w:pStyle w:val="127"/>
              <w:rPr>
                <w:rFonts w:hint="eastAsia"/>
                <w:color w:val="auto"/>
                <w:sz w:val="21"/>
                <w:szCs w:val="21"/>
              </w:rPr>
            </w:pPr>
            <w:r>
              <w:rPr>
                <w:rFonts w:hint="eastAsia"/>
                <w:color w:val="auto"/>
                <w:sz w:val="21"/>
                <w:szCs w:val="21"/>
              </w:rPr>
              <w:t>保护内容</w:t>
            </w:r>
          </w:p>
        </w:tc>
        <w:tc>
          <w:tcPr>
            <w:tcW w:w="536" w:type="pct"/>
            <w:noWrap w:val="0"/>
            <w:vAlign w:val="center"/>
          </w:tcPr>
          <w:p w14:paraId="544AFB5B">
            <w:pPr>
              <w:pStyle w:val="127"/>
              <w:rPr>
                <w:rFonts w:hint="eastAsia"/>
                <w:color w:val="auto"/>
                <w:sz w:val="21"/>
                <w:szCs w:val="21"/>
              </w:rPr>
            </w:pPr>
            <w:r>
              <w:rPr>
                <w:rFonts w:hint="eastAsia"/>
                <w:color w:val="auto"/>
                <w:sz w:val="21"/>
                <w:szCs w:val="21"/>
              </w:rPr>
              <w:t>环境功能区</w:t>
            </w:r>
          </w:p>
        </w:tc>
        <w:tc>
          <w:tcPr>
            <w:tcW w:w="511" w:type="pct"/>
            <w:noWrap w:val="0"/>
            <w:vAlign w:val="center"/>
          </w:tcPr>
          <w:p w14:paraId="0498D080">
            <w:pPr>
              <w:pStyle w:val="127"/>
              <w:rPr>
                <w:rFonts w:hint="eastAsia"/>
                <w:color w:val="auto"/>
                <w:sz w:val="21"/>
                <w:szCs w:val="21"/>
              </w:rPr>
            </w:pPr>
            <w:r>
              <w:rPr>
                <w:rFonts w:hint="eastAsia"/>
                <w:color w:val="auto"/>
                <w:sz w:val="21"/>
                <w:szCs w:val="21"/>
              </w:rPr>
              <w:t>相对厂址方位</w:t>
            </w:r>
          </w:p>
        </w:tc>
        <w:tc>
          <w:tcPr>
            <w:tcW w:w="602" w:type="pct"/>
            <w:noWrap w:val="0"/>
            <w:vAlign w:val="center"/>
          </w:tcPr>
          <w:p w14:paraId="2A743C4C">
            <w:pPr>
              <w:pStyle w:val="127"/>
              <w:rPr>
                <w:rFonts w:hint="eastAsia"/>
                <w:color w:val="auto"/>
                <w:sz w:val="21"/>
                <w:szCs w:val="21"/>
              </w:rPr>
            </w:pPr>
            <w:r>
              <w:rPr>
                <w:rFonts w:hint="eastAsia"/>
                <w:color w:val="auto"/>
                <w:sz w:val="21"/>
                <w:szCs w:val="21"/>
              </w:rPr>
              <w:t>相对厂界距离/m</w:t>
            </w:r>
          </w:p>
        </w:tc>
      </w:tr>
      <w:tr w14:paraId="6B542A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51" w:type="pct"/>
            <w:noWrap w:val="0"/>
            <w:vAlign w:val="center"/>
          </w:tcPr>
          <w:p w14:paraId="346FEC32">
            <w:pPr>
              <w:pStyle w:val="127"/>
              <w:rPr>
                <w:rFonts w:hint="eastAsia"/>
                <w:color w:val="auto"/>
                <w:sz w:val="21"/>
                <w:szCs w:val="21"/>
              </w:rPr>
            </w:pPr>
            <w:r>
              <w:rPr>
                <w:rFonts w:hint="eastAsia"/>
                <w:color w:val="auto"/>
                <w:sz w:val="21"/>
                <w:szCs w:val="21"/>
              </w:rPr>
              <w:t>沙坪坝区西永社区卫生服务中心</w:t>
            </w:r>
          </w:p>
        </w:tc>
        <w:tc>
          <w:tcPr>
            <w:tcW w:w="437" w:type="pct"/>
            <w:noWrap w:val="0"/>
            <w:vAlign w:val="center"/>
          </w:tcPr>
          <w:p w14:paraId="3823AB20">
            <w:pPr>
              <w:pStyle w:val="127"/>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-297</w:t>
            </w:r>
          </w:p>
        </w:tc>
        <w:tc>
          <w:tcPr>
            <w:tcW w:w="454" w:type="pct"/>
            <w:noWrap w:val="0"/>
            <w:vAlign w:val="center"/>
          </w:tcPr>
          <w:p w14:paraId="089D9FB1">
            <w:pPr>
              <w:pStyle w:val="127"/>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520</w:t>
            </w:r>
          </w:p>
        </w:tc>
        <w:tc>
          <w:tcPr>
            <w:tcW w:w="586" w:type="pct"/>
            <w:noWrap w:val="0"/>
            <w:vAlign w:val="center"/>
          </w:tcPr>
          <w:p w14:paraId="6D1FF8CB">
            <w:pPr>
              <w:pStyle w:val="127"/>
              <w:rPr>
                <w:rFonts w:hint="eastAsia" w:eastAsia="宋体"/>
                <w:color w:val="auto"/>
                <w:sz w:val="21"/>
                <w:szCs w:val="21"/>
                <w:lang w:val="en-US" w:eastAsia="zh-CN"/>
              </w:rPr>
            </w:pPr>
            <w:r>
              <w:rPr>
                <w:rFonts w:hint="eastAsia"/>
                <w:color w:val="auto"/>
                <w:sz w:val="21"/>
                <w:szCs w:val="21"/>
                <w:lang w:val="en-US" w:eastAsia="zh-CN"/>
              </w:rPr>
              <w:t>医疗机构</w:t>
            </w:r>
          </w:p>
        </w:tc>
        <w:tc>
          <w:tcPr>
            <w:tcW w:w="619" w:type="pct"/>
            <w:noWrap w:val="0"/>
            <w:vAlign w:val="center"/>
          </w:tcPr>
          <w:p w14:paraId="4DAC32B5">
            <w:pPr>
              <w:pStyle w:val="127"/>
              <w:rPr>
                <w:rFonts w:hint="eastAsia"/>
                <w:color w:val="auto"/>
                <w:sz w:val="21"/>
                <w:szCs w:val="21"/>
              </w:rPr>
            </w:pPr>
            <w:r>
              <w:rPr>
                <w:rFonts w:hint="eastAsia"/>
                <w:color w:val="auto"/>
                <w:sz w:val="21"/>
                <w:szCs w:val="21"/>
              </w:rPr>
              <w:t>约50人</w:t>
            </w:r>
          </w:p>
        </w:tc>
        <w:tc>
          <w:tcPr>
            <w:tcW w:w="536" w:type="pct"/>
            <w:noWrap w:val="0"/>
            <w:vAlign w:val="center"/>
          </w:tcPr>
          <w:p w14:paraId="23489644">
            <w:pPr>
              <w:pStyle w:val="127"/>
              <w:rPr>
                <w:rFonts w:hint="eastAsia"/>
                <w:color w:val="auto"/>
                <w:sz w:val="21"/>
                <w:szCs w:val="21"/>
              </w:rPr>
            </w:pPr>
            <w:r>
              <w:rPr>
                <w:rFonts w:hint="eastAsia"/>
                <w:color w:val="auto"/>
                <w:sz w:val="21"/>
                <w:szCs w:val="21"/>
              </w:rPr>
              <w:t>二类区</w:t>
            </w:r>
          </w:p>
        </w:tc>
        <w:tc>
          <w:tcPr>
            <w:tcW w:w="511" w:type="pct"/>
            <w:noWrap w:val="0"/>
            <w:vAlign w:val="center"/>
          </w:tcPr>
          <w:p w14:paraId="077B71D6">
            <w:pPr>
              <w:pStyle w:val="127"/>
              <w:rPr>
                <w:rFonts w:hint="eastAsia"/>
                <w:color w:val="auto"/>
                <w:sz w:val="21"/>
                <w:szCs w:val="21"/>
              </w:rPr>
            </w:pPr>
            <w:r>
              <w:rPr>
                <w:rFonts w:hint="eastAsia"/>
                <w:color w:val="auto"/>
                <w:sz w:val="21"/>
                <w:szCs w:val="21"/>
              </w:rPr>
              <w:t>NW</w:t>
            </w:r>
          </w:p>
        </w:tc>
        <w:tc>
          <w:tcPr>
            <w:tcW w:w="602" w:type="pct"/>
            <w:noWrap w:val="0"/>
            <w:vAlign w:val="center"/>
          </w:tcPr>
          <w:p w14:paraId="37F73753">
            <w:pPr>
              <w:pStyle w:val="127"/>
              <w:rPr>
                <w:rFonts w:hint="default" w:eastAsia="宋体"/>
                <w:color w:val="auto"/>
                <w:sz w:val="21"/>
                <w:szCs w:val="21"/>
                <w:lang w:val="en-US" w:eastAsia="zh-CN"/>
              </w:rPr>
            </w:pPr>
            <w:r>
              <w:rPr>
                <w:rFonts w:hint="eastAsia"/>
                <w:color w:val="auto"/>
                <w:sz w:val="21"/>
                <w:szCs w:val="21"/>
                <w:lang w:val="en-US" w:eastAsia="zh-CN"/>
              </w:rPr>
              <w:t>432</w:t>
            </w:r>
          </w:p>
        </w:tc>
      </w:tr>
      <w:tr w14:paraId="5C146E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51" w:type="pct"/>
            <w:noWrap w:val="0"/>
            <w:vAlign w:val="center"/>
          </w:tcPr>
          <w:p w14:paraId="05AD6D84">
            <w:pPr>
              <w:pStyle w:val="127"/>
              <w:rPr>
                <w:rFonts w:hint="eastAsia"/>
                <w:color w:val="auto"/>
                <w:sz w:val="21"/>
                <w:szCs w:val="21"/>
              </w:rPr>
            </w:pPr>
            <w:r>
              <w:rPr>
                <w:rFonts w:hint="eastAsia"/>
                <w:color w:val="auto"/>
                <w:sz w:val="21"/>
                <w:szCs w:val="21"/>
              </w:rPr>
              <w:t>重庆市沙坪坝区建设工程质量监督站</w:t>
            </w:r>
          </w:p>
        </w:tc>
        <w:tc>
          <w:tcPr>
            <w:tcW w:w="437" w:type="pct"/>
            <w:noWrap w:val="0"/>
            <w:vAlign w:val="center"/>
          </w:tcPr>
          <w:p w14:paraId="6EAE6F36">
            <w:pPr>
              <w:pStyle w:val="127"/>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-380</w:t>
            </w:r>
          </w:p>
        </w:tc>
        <w:tc>
          <w:tcPr>
            <w:tcW w:w="454" w:type="pct"/>
            <w:noWrap w:val="0"/>
            <w:vAlign w:val="center"/>
          </w:tcPr>
          <w:p w14:paraId="3C3E094B">
            <w:pPr>
              <w:pStyle w:val="127"/>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114</w:t>
            </w:r>
          </w:p>
        </w:tc>
        <w:tc>
          <w:tcPr>
            <w:tcW w:w="586" w:type="pct"/>
            <w:noWrap w:val="0"/>
            <w:vAlign w:val="center"/>
          </w:tcPr>
          <w:p w14:paraId="090AAE3C">
            <w:pPr>
              <w:pStyle w:val="127"/>
              <w:rPr>
                <w:rFonts w:hint="default" w:eastAsia="宋体"/>
                <w:color w:val="auto"/>
                <w:sz w:val="21"/>
                <w:szCs w:val="21"/>
                <w:lang w:val="en-US" w:eastAsia="zh-CN"/>
              </w:rPr>
            </w:pPr>
            <w:r>
              <w:rPr>
                <w:rFonts w:hint="eastAsia"/>
                <w:color w:val="auto"/>
                <w:sz w:val="21"/>
                <w:szCs w:val="21"/>
                <w:lang w:val="en-US" w:eastAsia="zh-CN"/>
              </w:rPr>
              <w:t>行政部门</w:t>
            </w:r>
          </w:p>
        </w:tc>
        <w:tc>
          <w:tcPr>
            <w:tcW w:w="619" w:type="pct"/>
            <w:noWrap w:val="0"/>
            <w:vAlign w:val="center"/>
          </w:tcPr>
          <w:p w14:paraId="373225A8">
            <w:pPr>
              <w:pStyle w:val="127"/>
              <w:rPr>
                <w:rFonts w:hint="eastAsia"/>
                <w:color w:val="auto"/>
                <w:sz w:val="21"/>
                <w:szCs w:val="21"/>
              </w:rPr>
            </w:pPr>
            <w:r>
              <w:rPr>
                <w:rFonts w:hint="eastAsia"/>
                <w:color w:val="auto"/>
                <w:sz w:val="21"/>
                <w:szCs w:val="21"/>
              </w:rPr>
              <w:t>约</w:t>
            </w:r>
            <w:r>
              <w:rPr>
                <w:rFonts w:hint="eastAsia"/>
                <w:color w:val="auto"/>
                <w:sz w:val="21"/>
                <w:szCs w:val="21"/>
                <w:lang w:val="en-US" w:eastAsia="zh-CN"/>
              </w:rPr>
              <w:t>2</w:t>
            </w:r>
            <w:r>
              <w:rPr>
                <w:rFonts w:hint="eastAsia"/>
                <w:color w:val="auto"/>
                <w:sz w:val="21"/>
                <w:szCs w:val="21"/>
              </w:rPr>
              <w:t>0人</w:t>
            </w:r>
          </w:p>
        </w:tc>
        <w:tc>
          <w:tcPr>
            <w:tcW w:w="536" w:type="pct"/>
            <w:noWrap w:val="0"/>
            <w:vAlign w:val="center"/>
          </w:tcPr>
          <w:p w14:paraId="27658E69">
            <w:pPr>
              <w:pStyle w:val="127"/>
              <w:rPr>
                <w:rFonts w:hint="eastAsia"/>
                <w:color w:val="auto"/>
                <w:sz w:val="21"/>
                <w:szCs w:val="21"/>
              </w:rPr>
            </w:pPr>
            <w:r>
              <w:rPr>
                <w:rFonts w:hint="eastAsia"/>
                <w:color w:val="auto"/>
                <w:sz w:val="21"/>
                <w:szCs w:val="21"/>
              </w:rPr>
              <w:t>二类区</w:t>
            </w:r>
          </w:p>
        </w:tc>
        <w:tc>
          <w:tcPr>
            <w:tcW w:w="511" w:type="pct"/>
            <w:noWrap w:val="0"/>
            <w:vAlign w:val="center"/>
          </w:tcPr>
          <w:p w14:paraId="1EC5D615">
            <w:pPr>
              <w:pStyle w:val="127"/>
              <w:rPr>
                <w:rFonts w:hint="eastAsia"/>
                <w:color w:val="auto"/>
                <w:sz w:val="21"/>
                <w:szCs w:val="21"/>
              </w:rPr>
            </w:pPr>
            <w:r>
              <w:rPr>
                <w:rFonts w:hint="eastAsia"/>
                <w:color w:val="auto"/>
                <w:sz w:val="21"/>
                <w:szCs w:val="21"/>
              </w:rPr>
              <w:t>NW</w:t>
            </w:r>
          </w:p>
        </w:tc>
        <w:tc>
          <w:tcPr>
            <w:tcW w:w="602" w:type="pct"/>
            <w:noWrap w:val="0"/>
            <w:vAlign w:val="center"/>
          </w:tcPr>
          <w:p w14:paraId="46322B5F">
            <w:pPr>
              <w:pStyle w:val="127"/>
              <w:rPr>
                <w:rFonts w:hint="default" w:eastAsia="宋体"/>
                <w:color w:val="auto"/>
                <w:sz w:val="21"/>
                <w:szCs w:val="21"/>
                <w:lang w:val="en-US" w:eastAsia="zh-CN"/>
              </w:rPr>
            </w:pPr>
            <w:r>
              <w:rPr>
                <w:rFonts w:hint="eastAsia"/>
                <w:color w:val="auto"/>
                <w:sz w:val="21"/>
                <w:szCs w:val="21"/>
                <w:lang w:val="en-US" w:eastAsia="zh-CN"/>
              </w:rPr>
              <w:t>279</w:t>
            </w:r>
          </w:p>
        </w:tc>
      </w:tr>
    </w:tbl>
    <w:p w14:paraId="433F8AB4">
      <w:pPr>
        <w:spacing w:line="360" w:lineRule="auto"/>
        <w:ind w:firstLine="48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注：项目所在厂房中心为坐标原点（0</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0）。</w:t>
      </w:r>
    </w:p>
    <w:p w14:paraId="7CECFE26">
      <w:pPr>
        <w:spacing w:line="360" w:lineRule="auto"/>
        <w:ind w:firstLine="48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（2）声环境：厂界外50m范围内</w:t>
      </w:r>
      <w:r>
        <w:rPr>
          <w:rFonts w:hint="eastAsia" w:ascii="Times New Roman" w:hAnsi="Times New Roman" w:eastAsia="宋体" w:cs="Times New Roman"/>
          <w:color w:val="auto"/>
          <w:sz w:val="24"/>
          <w:szCs w:val="24"/>
          <w:lang w:val="en-US" w:eastAsia="zh-CN"/>
        </w:rPr>
        <w:t>无</w:t>
      </w:r>
      <w:r>
        <w:rPr>
          <w:rFonts w:hint="eastAsia" w:ascii="Times New Roman" w:hAnsi="Times New Roman" w:eastAsia="宋体" w:cs="Times New Roman"/>
          <w:color w:val="auto"/>
          <w:sz w:val="24"/>
          <w:szCs w:val="24"/>
        </w:rPr>
        <w:t>声</w:t>
      </w:r>
      <w:r>
        <w:rPr>
          <w:rFonts w:hint="eastAsia" w:ascii="Times New Roman" w:hAnsi="Times New Roman" w:eastAsia="宋体" w:cs="Times New Roman"/>
          <w:color w:val="auto"/>
          <w:sz w:val="24"/>
          <w:szCs w:val="24"/>
          <w:lang w:eastAsia="zh-CN"/>
        </w:rPr>
        <w:t>环境</w:t>
      </w:r>
      <w:r>
        <w:rPr>
          <w:rFonts w:hint="eastAsia" w:ascii="Times New Roman" w:hAnsi="Times New Roman" w:eastAsia="宋体" w:cs="Times New Roman"/>
          <w:color w:val="auto"/>
          <w:sz w:val="24"/>
          <w:szCs w:val="24"/>
        </w:rPr>
        <w:t>保护目标。</w:t>
      </w:r>
    </w:p>
    <w:p w14:paraId="31144173">
      <w:pPr>
        <w:spacing w:line="360" w:lineRule="auto"/>
        <w:ind w:firstLine="48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（3）地下水环境：厂界外500m范围内无地下水集中式饮用水水源和热水、矿泉水、温泉等特殊地下水资源。</w:t>
      </w:r>
    </w:p>
    <w:p w14:paraId="37399226">
      <w:pPr>
        <w:spacing w:line="360" w:lineRule="auto"/>
        <w:ind w:firstLine="48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（4）生态环境：项目位于工业园区，项目所在区域无生态环境保护目标。</w:t>
      </w:r>
    </w:p>
    <w:p w14:paraId="71CEA0C7">
      <w:pPr>
        <w:pStyle w:val="4"/>
        <w:spacing w:before="0" w:after="0" w:line="490" w:lineRule="exact"/>
        <w:rPr>
          <w:rFonts w:hint="eastAsia" w:eastAsia="宋体"/>
          <w:sz w:val="24"/>
          <w:szCs w:val="24"/>
          <w:highlight w:val="yellow"/>
          <w:lang w:eastAsia="zh-CN"/>
        </w:rPr>
      </w:pPr>
      <w:r>
        <w:rPr>
          <w:sz w:val="24"/>
          <w:szCs w:val="24"/>
        </w:rPr>
        <w:t>3.1.</w:t>
      </w:r>
      <w:r>
        <w:rPr>
          <w:rFonts w:hint="eastAsia"/>
          <w:sz w:val="24"/>
          <w:szCs w:val="24"/>
          <w:lang w:val="en-US" w:eastAsia="zh-CN"/>
        </w:rPr>
        <w:t>4</w:t>
      </w:r>
      <w:r>
        <w:rPr>
          <w:sz w:val="24"/>
          <w:szCs w:val="24"/>
        </w:rPr>
        <w:t>项目平面布置</w:t>
      </w:r>
      <w:bookmarkEnd w:id="36"/>
    </w:p>
    <w:p w14:paraId="04B13A34">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37" w:name="_Toc25985"/>
      <w:r>
        <w:rPr>
          <w:rFonts w:hint="default" w:ascii="Times New Roman" w:hAnsi="Times New Roman" w:eastAsia="宋体" w:cs="Times New Roman"/>
          <w:sz w:val="24"/>
          <w:szCs w:val="24"/>
          <w:lang w:val="en-US" w:eastAsia="zh-CN"/>
        </w:rPr>
        <w:t>项目所在厂区为矩形，出入口与园区道路相邻，交通较为便利。B01号楼建设微晶手机玻璃盖板生产线，厂房共3层，3F主要布置CNC机台、热弯机、抛光机等设备，2F主要布置钢化炉、抛光机、清洗机覆膜一体机、AG蚀刻线等设备，1F主要布置自动丝印机、移印机、脱墨机、平板清洗机、蒸镀机等设备。</w:t>
      </w:r>
      <w:bookmarkEnd w:id="37"/>
    </w:p>
    <w:p w14:paraId="22B244FE">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38" w:name="_Toc10484"/>
      <w:r>
        <w:rPr>
          <w:rFonts w:hint="default" w:ascii="Times New Roman" w:hAnsi="Times New Roman" w:eastAsia="宋体" w:cs="Times New Roman"/>
          <w:sz w:val="24"/>
          <w:szCs w:val="24"/>
          <w:lang w:val="en-US" w:eastAsia="zh-CN"/>
        </w:rPr>
        <w:t>B02号楼建设车载玻璃盖板生产线，厂房共</w:t>
      </w:r>
      <w:r>
        <w:rPr>
          <w:rFonts w:hint="eastAsia" w:cs="Times New Roman"/>
          <w:sz w:val="24"/>
          <w:szCs w:val="24"/>
          <w:lang w:val="en-US" w:eastAsia="zh-CN"/>
        </w:rPr>
        <w:t>2</w:t>
      </w:r>
      <w:r>
        <w:rPr>
          <w:rFonts w:hint="default" w:ascii="Times New Roman" w:hAnsi="Times New Roman" w:eastAsia="宋体" w:cs="Times New Roman"/>
          <w:sz w:val="24"/>
          <w:szCs w:val="24"/>
          <w:lang w:val="en-US" w:eastAsia="zh-CN"/>
        </w:rPr>
        <w:t>层，2F主要布置CNC机台，1F主要布置槽式清洗机、热弯机、钢化炉等设备。</w:t>
      </w:r>
      <w:bookmarkEnd w:id="38"/>
    </w:p>
    <w:p w14:paraId="5A4C0F79">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39" w:name="_Toc9787"/>
      <w:r>
        <w:rPr>
          <w:rFonts w:hint="default" w:ascii="Times New Roman" w:hAnsi="Times New Roman" w:eastAsia="宋体" w:cs="Times New Roman"/>
          <w:sz w:val="24"/>
          <w:szCs w:val="24"/>
          <w:lang w:val="en-US" w:eastAsia="zh-CN"/>
        </w:rPr>
        <w:t>B03号楼建设手机玻璃后盖组装生产线，厂房共</w:t>
      </w:r>
      <w:r>
        <w:rPr>
          <w:rFonts w:hint="eastAsia" w:cs="Times New Roman"/>
          <w:sz w:val="24"/>
          <w:szCs w:val="24"/>
          <w:lang w:val="en-US" w:eastAsia="zh-CN"/>
        </w:rPr>
        <w:t>2</w:t>
      </w:r>
      <w:r>
        <w:rPr>
          <w:rFonts w:hint="default" w:ascii="Times New Roman" w:hAnsi="Times New Roman" w:eastAsia="宋体" w:cs="Times New Roman"/>
          <w:sz w:val="24"/>
          <w:szCs w:val="24"/>
          <w:lang w:val="en-US" w:eastAsia="zh-CN"/>
        </w:rPr>
        <w:t>层，1F主要布置生产设备，2</w:t>
      </w:r>
      <w:r>
        <w:rPr>
          <w:rFonts w:hint="eastAsia" w:cs="Times New Roman"/>
          <w:sz w:val="24"/>
          <w:szCs w:val="24"/>
          <w:lang w:val="en-US" w:eastAsia="zh-CN"/>
        </w:rPr>
        <w:t>F</w:t>
      </w:r>
      <w:r>
        <w:rPr>
          <w:rFonts w:hint="default" w:ascii="Times New Roman" w:hAnsi="Times New Roman" w:eastAsia="宋体" w:cs="Times New Roman"/>
          <w:sz w:val="24"/>
          <w:szCs w:val="24"/>
          <w:lang w:val="en-US" w:eastAsia="zh-CN"/>
        </w:rPr>
        <w:t>为预留用房。</w:t>
      </w:r>
      <w:bookmarkEnd w:id="39"/>
    </w:p>
    <w:p w14:paraId="7E88EE26">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40" w:name="_Toc18417"/>
      <w:r>
        <w:rPr>
          <w:rFonts w:hint="default" w:ascii="Times New Roman" w:hAnsi="Times New Roman" w:eastAsia="宋体" w:cs="Times New Roman"/>
          <w:sz w:val="24"/>
          <w:szCs w:val="24"/>
          <w:lang w:val="en-US" w:eastAsia="zh-CN"/>
        </w:rPr>
        <w:t>2个成品库分别设置在分别位于B01厂房1F西北侧，B02厂房1F东北侧，原材料库房在B02厂房2F中部。</w:t>
      </w:r>
      <w:bookmarkEnd w:id="40"/>
    </w:p>
    <w:p w14:paraId="0B0C080F">
      <w:pPr>
        <w:pStyle w:val="3"/>
      </w:pPr>
      <w:bookmarkStart w:id="41" w:name="_Toc513474951"/>
      <w:bookmarkStart w:id="42" w:name="_Toc520988555"/>
      <w:bookmarkStart w:id="43" w:name="_Toc16665"/>
      <w:r>
        <w:t>3.2建设内容</w:t>
      </w:r>
      <w:bookmarkEnd w:id="41"/>
      <w:bookmarkEnd w:id="42"/>
      <w:bookmarkEnd w:id="43"/>
    </w:p>
    <w:p w14:paraId="679DD082">
      <w:pPr>
        <w:pStyle w:val="4"/>
        <w:spacing w:before="0" w:after="0" w:line="490" w:lineRule="exact"/>
        <w:rPr>
          <w:sz w:val="24"/>
          <w:szCs w:val="24"/>
        </w:rPr>
      </w:pPr>
      <w:bookmarkStart w:id="44" w:name="_Toc513474952"/>
      <w:r>
        <w:rPr>
          <w:sz w:val="24"/>
          <w:szCs w:val="24"/>
        </w:rPr>
        <w:t>3.2.1项目基本情况</w:t>
      </w:r>
      <w:bookmarkEnd w:id="44"/>
    </w:p>
    <w:p w14:paraId="22C7826B">
      <w:pPr>
        <w:spacing w:line="490" w:lineRule="exact"/>
        <w:ind w:firstLine="480" w:firstLineChars="200"/>
        <w:rPr>
          <w:rFonts w:hint="eastAsia" w:eastAsia="宋体"/>
          <w:sz w:val="24"/>
          <w:szCs w:val="24"/>
          <w:lang w:eastAsia="zh-CN"/>
        </w:rPr>
      </w:pPr>
      <w:r>
        <w:rPr>
          <w:rFonts w:hint="eastAsia"/>
          <w:sz w:val="24"/>
          <w:szCs w:val="24"/>
        </w:rPr>
        <w:t>项目名称：</w:t>
      </w:r>
      <w:r>
        <w:rPr>
          <w:rFonts w:hint="eastAsia"/>
          <w:sz w:val="24"/>
          <w:szCs w:val="24"/>
          <w:lang w:eastAsia="zh-CN"/>
        </w:rPr>
        <w:t>年产新型平板显示器件关键部件和材料（玻璃盖板）3840万片项目（二期工程）</w:t>
      </w:r>
    </w:p>
    <w:p w14:paraId="51BDC3F2">
      <w:pPr>
        <w:spacing w:line="490" w:lineRule="exact"/>
        <w:ind w:firstLine="480" w:firstLineChars="200"/>
        <w:rPr>
          <w:rFonts w:hint="eastAsia" w:eastAsia="宋体"/>
          <w:sz w:val="24"/>
          <w:szCs w:val="24"/>
          <w:lang w:eastAsia="zh-CN"/>
        </w:rPr>
      </w:pPr>
      <w:r>
        <w:rPr>
          <w:rFonts w:hint="eastAsia"/>
          <w:sz w:val="24"/>
          <w:szCs w:val="24"/>
        </w:rPr>
        <w:t>建设单位：</w:t>
      </w:r>
      <w:r>
        <w:rPr>
          <w:rFonts w:hint="eastAsia"/>
          <w:sz w:val="24"/>
          <w:szCs w:val="24"/>
          <w:lang w:eastAsia="zh-CN"/>
        </w:rPr>
        <w:t>重庆京东方晶远科技有限公司</w:t>
      </w:r>
    </w:p>
    <w:p w14:paraId="2A9D419D">
      <w:pPr>
        <w:spacing w:line="490" w:lineRule="exact"/>
        <w:ind w:firstLine="480" w:firstLineChars="200"/>
        <w:rPr>
          <w:rFonts w:hint="default"/>
          <w:sz w:val="24"/>
          <w:szCs w:val="24"/>
          <w:highlight w:val="yellow"/>
          <w:lang w:val="en-US"/>
        </w:rPr>
      </w:pPr>
      <w:r>
        <w:rPr>
          <w:rFonts w:hint="eastAsia"/>
          <w:sz w:val="24"/>
          <w:szCs w:val="24"/>
        </w:rPr>
        <w:t>建设地点：</w:t>
      </w:r>
      <w:r>
        <w:rPr>
          <w:rFonts w:hint="eastAsia" w:cs="Times New Roman"/>
          <w:color w:val="auto"/>
          <w:sz w:val="24"/>
          <w:highlight w:val="none"/>
          <w:lang w:eastAsia="zh-CN"/>
        </w:rPr>
        <w:t>重庆高新区西永街道西景大道1号</w:t>
      </w:r>
    </w:p>
    <w:p w14:paraId="4086896B">
      <w:pPr>
        <w:spacing w:line="490" w:lineRule="exact"/>
        <w:ind w:firstLine="480" w:firstLineChars="200"/>
        <w:rPr>
          <w:rFonts w:hint="eastAsia"/>
          <w:sz w:val="24"/>
          <w:szCs w:val="24"/>
        </w:rPr>
      </w:pPr>
      <w:r>
        <w:rPr>
          <w:rFonts w:hint="eastAsia"/>
          <w:sz w:val="24"/>
          <w:szCs w:val="24"/>
        </w:rPr>
        <w:t>地理坐标：106度29分11.2秒，29度35分35秒</w:t>
      </w:r>
    </w:p>
    <w:p w14:paraId="29065B33">
      <w:pPr>
        <w:spacing w:line="490" w:lineRule="exact"/>
        <w:ind w:firstLine="480" w:firstLineChars="200"/>
        <w:rPr>
          <w:rFonts w:hint="eastAsia" w:eastAsia="宋体"/>
          <w:sz w:val="24"/>
          <w:szCs w:val="24"/>
          <w:lang w:eastAsia="zh-CN"/>
        </w:rPr>
      </w:pPr>
      <w:r>
        <w:rPr>
          <w:rFonts w:hint="eastAsia"/>
          <w:sz w:val="24"/>
          <w:szCs w:val="24"/>
        </w:rPr>
        <w:t>建设性质：</w:t>
      </w:r>
      <w:r>
        <w:rPr>
          <w:rFonts w:hint="eastAsia"/>
          <w:sz w:val="24"/>
          <w:szCs w:val="24"/>
          <w:lang w:val="en-US" w:eastAsia="zh-CN"/>
        </w:rPr>
        <w:t>改扩建</w:t>
      </w:r>
    </w:p>
    <w:p w14:paraId="33C23B1B">
      <w:pPr>
        <w:spacing w:line="490" w:lineRule="exact"/>
        <w:ind w:firstLine="480" w:firstLineChars="200"/>
        <w:rPr>
          <w:sz w:val="24"/>
          <w:szCs w:val="24"/>
        </w:rPr>
      </w:pPr>
      <w:r>
        <w:rPr>
          <w:rFonts w:hint="eastAsia"/>
          <w:sz w:val="24"/>
          <w:szCs w:val="24"/>
        </w:rPr>
        <w:t>行业类别：</w:t>
      </w:r>
      <w:r>
        <w:rPr>
          <w:rFonts w:hint="eastAsia" w:ascii="Times New Roman" w:hAnsi="Times New Roman" w:eastAsia="宋体" w:cs="Times New Roman"/>
          <w:color w:val="auto"/>
          <w:sz w:val="24"/>
          <w:lang w:eastAsia="zh-CN"/>
        </w:rPr>
        <w:t>C3974显示器件制造</w:t>
      </w:r>
    </w:p>
    <w:p w14:paraId="6317C638">
      <w:pPr>
        <w:spacing w:line="490" w:lineRule="exact"/>
        <w:ind w:firstLine="480" w:firstLineChars="200"/>
        <w:rPr>
          <w:rFonts w:hint="eastAsia"/>
          <w:color w:val="auto"/>
          <w:sz w:val="24"/>
          <w:szCs w:val="24"/>
          <w:highlight w:val="none"/>
          <w:lang w:val="en-US" w:eastAsia="zh-CN"/>
        </w:rPr>
      </w:pPr>
      <w:r>
        <w:rPr>
          <w:rFonts w:hint="eastAsia"/>
          <w:sz w:val="24"/>
          <w:szCs w:val="24"/>
        </w:rPr>
        <w:t>建设内容：</w:t>
      </w:r>
      <w:r>
        <w:rPr>
          <w:rFonts w:hint="eastAsia"/>
          <w:color w:val="auto"/>
          <w:sz w:val="24"/>
          <w:szCs w:val="24"/>
          <w:highlight w:val="none"/>
        </w:rPr>
        <w:t>重庆京东方晶远科技有限公司</w:t>
      </w:r>
      <w:r>
        <w:rPr>
          <w:rFonts w:hint="eastAsia"/>
          <w:color w:val="auto"/>
          <w:sz w:val="24"/>
          <w:szCs w:val="24"/>
          <w:highlight w:val="none"/>
          <w:lang w:val="en-US" w:eastAsia="zh-CN"/>
        </w:rPr>
        <w:t>在已租用的B01、B03厂房，建设手机后盖玻璃AG蚀刻生产线，并配套建设5条组装线，对原有项目B01厂房中生产的800万件手机玻璃后盖进行延伸加工，实施“</w:t>
      </w:r>
      <w:r>
        <w:rPr>
          <w:rFonts w:hint="eastAsia"/>
          <w:color w:val="auto"/>
          <w:sz w:val="24"/>
          <w:szCs w:val="24"/>
          <w:highlight w:val="none"/>
        </w:rPr>
        <w:t>年产新型平板显示器件关键部件和材料（玻璃盖板）</w:t>
      </w:r>
      <w:r>
        <w:rPr>
          <w:color w:val="auto"/>
          <w:sz w:val="24"/>
          <w:szCs w:val="24"/>
          <w:highlight w:val="none"/>
        </w:rPr>
        <w:t>3840</w:t>
      </w:r>
      <w:r>
        <w:rPr>
          <w:rFonts w:hint="eastAsia"/>
          <w:color w:val="auto"/>
          <w:sz w:val="24"/>
          <w:szCs w:val="24"/>
          <w:highlight w:val="none"/>
        </w:rPr>
        <w:t>万片</w:t>
      </w:r>
      <w:r>
        <w:rPr>
          <w:color w:val="auto"/>
          <w:sz w:val="24"/>
          <w:szCs w:val="24"/>
          <w:highlight w:val="none"/>
        </w:rPr>
        <w:t>项目</w:t>
      </w:r>
      <w:r>
        <w:rPr>
          <w:rFonts w:hint="eastAsia"/>
          <w:color w:val="auto"/>
          <w:sz w:val="24"/>
          <w:szCs w:val="24"/>
          <w:highlight w:val="none"/>
          <w:lang w:eastAsia="zh-CN"/>
        </w:rPr>
        <w:t>（</w:t>
      </w:r>
      <w:r>
        <w:rPr>
          <w:rFonts w:hint="eastAsia"/>
          <w:color w:val="auto"/>
          <w:sz w:val="24"/>
          <w:szCs w:val="24"/>
          <w:highlight w:val="none"/>
          <w:lang w:val="en-US" w:eastAsia="zh-CN"/>
        </w:rPr>
        <w:t>二期工程</w:t>
      </w:r>
      <w:r>
        <w:rPr>
          <w:rFonts w:hint="eastAsia"/>
          <w:color w:val="auto"/>
          <w:sz w:val="24"/>
          <w:szCs w:val="24"/>
          <w:highlight w:val="none"/>
          <w:lang w:eastAsia="zh-CN"/>
        </w:rPr>
        <w:t>）</w:t>
      </w:r>
      <w:r>
        <w:rPr>
          <w:rFonts w:hint="eastAsia"/>
          <w:color w:val="auto"/>
          <w:sz w:val="24"/>
          <w:szCs w:val="24"/>
          <w:highlight w:val="none"/>
          <w:lang w:val="en-US" w:eastAsia="zh-CN"/>
        </w:rPr>
        <w:t>”。</w:t>
      </w:r>
    </w:p>
    <w:p w14:paraId="2875C184">
      <w:pPr>
        <w:spacing w:line="490" w:lineRule="exact"/>
        <w:ind w:firstLine="480" w:firstLineChars="200"/>
        <w:rPr>
          <w:sz w:val="24"/>
          <w:szCs w:val="24"/>
          <w:highlight w:val="none"/>
        </w:rPr>
      </w:pPr>
      <w:r>
        <w:rPr>
          <w:rFonts w:hint="eastAsia"/>
          <w:sz w:val="24"/>
          <w:szCs w:val="24"/>
        </w:rPr>
        <w:t>总投资：</w:t>
      </w:r>
      <w:r>
        <w:rPr>
          <w:rFonts w:hint="eastAsia"/>
          <w:sz w:val="24"/>
          <w:szCs w:val="24"/>
          <w:highlight w:val="none"/>
        </w:rPr>
        <w:t xml:space="preserve">总投资 </w:t>
      </w:r>
      <w:r>
        <w:rPr>
          <w:rFonts w:hint="eastAsia"/>
          <w:sz w:val="24"/>
          <w:szCs w:val="24"/>
          <w:highlight w:val="none"/>
          <w:lang w:val="en-US" w:eastAsia="zh-CN"/>
        </w:rPr>
        <w:t>15000</w:t>
      </w:r>
      <w:r>
        <w:rPr>
          <w:rFonts w:hint="eastAsia"/>
          <w:sz w:val="24"/>
          <w:szCs w:val="24"/>
          <w:highlight w:val="none"/>
        </w:rPr>
        <w:t>万元，其中环保投资</w:t>
      </w:r>
      <w:r>
        <w:rPr>
          <w:rFonts w:hint="eastAsia"/>
          <w:sz w:val="24"/>
          <w:szCs w:val="24"/>
          <w:highlight w:val="none"/>
          <w:lang w:val="en-US" w:eastAsia="zh-CN"/>
        </w:rPr>
        <w:t>155</w:t>
      </w:r>
      <w:r>
        <w:rPr>
          <w:rFonts w:hint="eastAsia"/>
          <w:sz w:val="24"/>
          <w:szCs w:val="24"/>
          <w:highlight w:val="none"/>
        </w:rPr>
        <w:t xml:space="preserve"> 万元，占总投资的</w:t>
      </w:r>
      <w:r>
        <w:rPr>
          <w:rFonts w:hint="eastAsia"/>
          <w:sz w:val="24"/>
          <w:szCs w:val="24"/>
          <w:highlight w:val="none"/>
          <w:lang w:val="en-US" w:eastAsia="zh-CN"/>
        </w:rPr>
        <w:t>1</w:t>
      </w:r>
      <w:r>
        <w:rPr>
          <w:rFonts w:hint="eastAsia"/>
          <w:sz w:val="24"/>
          <w:szCs w:val="24"/>
          <w:highlight w:val="none"/>
        </w:rPr>
        <w:t>%。</w:t>
      </w:r>
    </w:p>
    <w:p w14:paraId="033564B9">
      <w:pPr>
        <w:spacing w:line="490" w:lineRule="exact"/>
        <w:ind w:firstLine="480" w:firstLineChars="200"/>
        <w:rPr>
          <w:rFonts w:hint="eastAsia"/>
          <w:sz w:val="24"/>
          <w:szCs w:val="24"/>
          <w:lang w:val="en-US" w:eastAsia="zh-CN"/>
        </w:rPr>
      </w:pPr>
      <w:bookmarkStart w:id="45" w:name="_Toc513474953"/>
      <w:r>
        <w:rPr>
          <w:rFonts w:hint="eastAsia"/>
          <w:sz w:val="24"/>
          <w:szCs w:val="24"/>
        </w:rPr>
        <w:t>劳动定员及工作制度：</w:t>
      </w:r>
      <w:r>
        <w:rPr>
          <w:rFonts w:hint="eastAsia"/>
          <w:sz w:val="24"/>
          <w:szCs w:val="24"/>
          <w:lang w:val="en-US" w:eastAsia="zh-CN"/>
        </w:rPr>
        <w:t>新增</w:t>
      </w:r>
      <w:r>
        <w:rPr>
          <w:rFonts w:hint="eastAsia"/>
          <w:sz w:val="24"/>
          <w:szCs w:val="24"/>
        </w:rPr>
        <w:t>劳动定员</w:t>
      </w:r>
      <w:r>
        <w:rPr>
          <w:rFonts w:hint="eastAsia"/>
          <w:sz w:val="24"/>
          <w:szCs w:val="24"/>
          <w:lang w:val="en-US" w:eastAsia="zh-CN"/>
        </w:rPr>
        <w:t>200</w:t>
      </w:r>
      <w:r>
        <w:rPr>
          <w:rFonts w:hint="eastAsia"/>
          <w:sz w:val="24"/>
          <w:szCs w:val="24"/>
        </w:rPr>
        <w:t>人，年工作250天，</w:t>
      </w:r>
      <w:r>
        <w:rPr>
          <w:rFonts w:hint="eastAsia"/>
          <w:sz w:val="24"/>
          <w:szCs w:val="24"/>
          <w:lang w:val="en-US" w:eastAsia="zh-CN"/>
        </w:rPr>
        <w:t>本项目</w:t>
      </w:r>
      <w:r>
        <w:rPr>
          <w:rFonts w:hint="eastAsia"/>
          <w:sz w:val="24"/>
          <w:szCs w:val="24"/>
        </w:rPr>
        <w:t>实行</w:t>
      </w:r>
      <w:r>
        <w:rPr>
          <w:rFonts w:hint="eastAsia"/>
          <w:sz w:val="24"/>
          <w:szCs w:val="24"/>
          <w:lang w:val="en-US" w:eastAsia="zh-CN"/>
        </w:rPr>
        <w:t>一</w:t>
      </w:r>
      <w:r>
        <w:rPr>
          <w:rFonts w:hint="eastAsia"/>
          <w:sz w:val="24"/>
          <w:szCs w:val="24"/>
        </w:rPr>
        <w:t>班制，每班8小时，年生产时数为</w:t>
      </w:r>
      <w:r>
        <w:rPr>
          <w:rFonts w:hint="eastAsia"/>
          <w:sz w:val="24"/>
          <w:szCs w:val="24"/>
          <w:lang w:val="en-US" w:eastAsia="zh-CN"/>
        </w:rPr>
        <w:t>2000</w:t>
      </w:r>
      <w:r>
        <w:rPr>
          <w:rFonts w:hint="eastAsia"/>
          <w:sz w:val="24"/>
          <w:szCs w:val="24"/>
        </w:rPr>
        <w:t>小时</w:t>
      </w:r>
      <w:r>
        <w:rPr>
          <w:rFonts w:hint="eastAsia"/>
          <w:sz w:val="24"/>
          <w:szCs w:val="24"/>
          <w:lang w:val="en-US" w:eastAsia="zh-CN"/>
        </w:rPr>
        <w:t>。</w:t>
      </w:r>
    </w:p>
    <w:bookmarkEnd w:id="45"/>
    <w:p w14:paraId="094B90A4">
      <w:pPr>
        <w:pStyle w:val="4"/>
        <w:spacing w:before="0" w:after="0" w:line="490" w:lineRule="exact"/>
        <w:rPr>
          <w:sz w:val="24"/>
          <w:szCs w:val="24"/>
        </w:rPr>
      </w:pPr>
      <w:bookmarkStart w:id="46" w:name="_Toc513474954"/>
      <w:r>
        <w:rPr>
          <w:sz w:val="24"/>
          <w:szCs w:val="24"/>
        </w:rPr>
        <w:t>3.2.2</w:t>
      </w:r>
      <w:bookmarkEnd w:id="46"/>
      <w:r>
        <w:rPr>
          <w:rFonts w:hint="eastAsia"/>
          <w:sz w:val="24"/>
          <w:szCs w:val="24"/>
        </w:rPr>
        <w:t>项目具体建设情况</w:t>
      </w:r>
    </w:p>
    <w:p w14:paraId="32F8A657">
      <w:pPr>
        <w:spacing w:line="490" w:lineRule="exact"/>
        <w:ind w:firstLine="480" w:firstLineChars="200"/>
        <w:rPr>
          <w:sz w:val="24"/>
          <w:szCs w:val="24"/>
        </w:rPr>
      </w:pPr>
      <w:r>
        <w:rPr>
          <w:rFonts w:hint="eastAsia"/>
          <w:sz w:val="24"/>
          <w:szCs w:val="24"/>
        </w:rPr>
        <w:t>项目具体建设情况与环评文件对比情况详</w:t>
      </w:r>
      <w:r>
        <w:rPr>
          <w:sz w:val="24"/>
          <w:szCs w:val="24"/>
        </w:rPr>
        <w:t>见表3-</w:t>
      </w:r>
      <w:r>
        <w:rPr>
          <w:rFonts w:hint="eastAsia"/>
          <w:sz w:val="24"/>
          <w:szCs w:val="24"/>
          <w:lang w:val="en-US" w:eastAsia="zh-CN"/>
        </w:rPr>
        <w:t>3</w:t>
      </w:r>
      <w:r>
        <w:rPr>
          <w:sz w:val="24"/>
          <w:szCs w:val="24"/>
        </w:rPr>
        <w:t>。</w:t>
      </w:r>
    </w:p>
    <w:p w14:paraId="08122B6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宋体" w:hAnsi="宋体"/>
          <w:b/>
          <w:sz w:val="24"/>
          <w:szCs w:val="24"/>
        </w:rPr>
      </w:pPr>
      <w:r>
        <w:rPr>
          <w:b/>
          <w:sz w:val="24"/>
          <w:szCs w:val="24"/>
        </w:rPr>
        <w:t>表3-</w:t>
      </w:r>
      <w:r>
        <w:rPr>
          <w:rFonts w:hint="eastAsia"/>
          <w:b/>
          <w:sz w:val="24"/>
          <w:szCs w:val="24"/>
          <w:lang w:val="en-US" w:eastAsia="zh-CN"/>
        </w:rPr>
        <w:t>3</w:t>
      </w:r>
      <w:r>
        <w:rPr>
          <w:rFonts w:ascii="宋体" w:hAnsi="宋体"/>
          <w:b/>
          <w:sz w:val="24"/>
          <w:szCs w:val="24"/>
        </w:rPr>
        <w:t xml:space="preserve">  </w:t>
      </w:r>
      <w:r>
        <w:rPr>
          <w:rFonts w:hint="eastAsia" w:ascii="宋体" w:hAnsi="宋体"/>
          <w:b/>
          <w:sz w:val="24"/>
          <w:szCs w:val="24"/>
          <w:lang w:eastAsia="zh-CN"/>
        </w:rPr>
        <w:t>扩建项目</w:t>
      </w:r>
      <w:r>
        <w:rPr>
          <w:rFonts w:hint="eastAsia" w:ascii="宋体" w:hAnsi="宋体"/>
          <w:b/>
          <w:sz w:val="24"/>
          <w:szCs w:val="24"/>
        </w:rPr>
        <w:t>建设内容一览表</w:t>
      </w:r>
    </w:p>
    <w:tbl>
      <w:tblPr>
        <w:tblStyle w:val="35"/>
        <w:tblW w:w="91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1105"/>
        <w:gridCol w:w="2673"/>
        <w:gridCol w:w="2573"/>
        <w:gridCol w:w="1120"/>
        <w:gridCol w:w="1063"/>
      </w:tblGrid>
      <w:tr w14:paraId="03E27E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blHeader/>
        </w:trPr>
        <w:tc>
          <w:tcPr>
            <w:tcW w:w="642" w:type="dxa"/>
            <w:noWrap w:val="0"/>
            <w:vAlign w:val="center"/>
          </w:tcPr>
          <w:p w14:paraId="1E369E4D">
            <w:pPr>
              <w:adjustRightInd w:val="0"/>
              <w:snapToGrid w:val="0"/>
              <w:jc w:val="center"/>
              <w:rPr>
                <w:bCs/>
                <w:color w:val="auto"/>
                <w:szCs w:val="21"/>
              </w:rPr>
            </w:pPr>
            <w:r>
              <w:rPr>
                <w:color w:val="auto"/>
                <w:szCs w:val="21"/>
              </w:rPr>
              <w:t>工程分类</w:t>
            </w:r>
          </w:p>
        </w:tc>
        <w:tc>
          <w:tcPr>
            <w:tcW w:w="1105" w:type="dxa"/>
            <w:noWrap w:val="0"/>
            <w:vAlign w:val="center"/>
          </w:tcPr>
          <w:p w14:paraId="4CE42C3F">
            <w:pPr>
              <w:adjustRightInd w:val="0"/>
              <w:snapToGrid w:val="0"/>
              <w:jc w:val="center"/>
              <w:rPr>
                <w:bCs/>
                <w:color w:val="auto"/>
                <w:szCs w:val="21"/>
              </w:rPr>
            </w:pPr>
            <w:r>
              <w:rPr>
                <w:color w:val="auto"/>
                <w:szCs w:val="21"/>
              </w:rPr>
              <w:t>项目组成</w:t>
            </w:r>
          </w:p>
        </w:tc>
        <w:tc>
          <w:tcPr>
            <w:tcW w:w="2673" w:type="dxa"/>
            <w:noWrap w:val="0"/>
            <w:vAlign w:val="center"/>
          </w:tcPr>
          <w:p w14:paraId="11A68DFB">
            <w:pPr>
              <w:adjustRightInd w:val="0"/>
              <w:snapToGrid w:val="0"/>
              <w:jc w:val="center"/>
              <w:rPr>
                <w:bCs/>
                <w:color w:val="auto"/>
                <w:szCs w:val="21"/>
              </w:rPr>
            </w:pPr>
            <w:r>
              <w:rPr>
                <w:rFonts w:hint="eastAsia"/>
                <w:color w:val="auto"/>
                <w:szCs w:val="21"/>
                <w:lang w:val="en-US" w:eastAsia="zh-CN"/>
              </w:rPr>
              <w:t>环评</w:t>
            </w:r>
            <w:r>
              <w:rPr>
                <w:color w:val="auto"/>
                <w:szCs w:val="21"/>
              </w:rPr>
              <w:t>规模及主要内容</w:t>
            </w:r>
          </w:p>
        </w:tc>
        <w:tc>
          <w:tcPr>
            <w:tcW w:w="2573" w:type="dxa"/>
            <w:noWrap w:val="0"/>
            <w:vAlign w:val="center"/>
          </w:tcPr>
          <w:p w14:paraId="4FE7B19B">
            <w:pPr>
              <w:adjustRightInd w:val="0"/>
              <w:snapToGrid w:val="0"/>
              <w:jc w:val="center"/>
              <w:rPr>
                <w:color w:val="auto"/>
                <w:szCs w:val="21"/>
              </w:rPr>
            </w:pPr>
            <w:r>
              <w:rPr>
                <w:rFonts w:hint="eastAsia"/>
                <w:color w:val="000000"/>
                <w:szCs w:val="21"/>
              </w:rPr>
              <w:t>实际建设情况</w:t>
            </w:r>
          </w:p>
        </w:tc>
        <w:tc>
          <w:tcPr>
            <w:tcW w:w="1120" w:type="dxa"/>
            <w:noWrap w:val="0"/>
            <w:vAlign w:val="center"/>
          </w:tcPr>
          <w:p w14:paraId="5B6D851A">
            <w:pPr>
              <w:adjustRightInd w:val="0"/>
              <w:snapToGrid w:val="0"/>
              <w:jc w:val="center"/>
              <w:rPr>
                <w:rFonts w:hint="default" w:eastAsia="宋体"/>
                <w:color w:val="000000"/>
                <w:szCs w:val="21"/>
                <w:lang w:val="en-US" w:eastAsia="zh-CN"/>
              </w:rPr>
            </w:pPr>
            <w:r>
              <w:rPr>
                <w:rFonts w:hint="eastAsia"/>
                <w:color w:val="000000"/>
                <w:szCs w:val="21"/>
                <w:lang w:val="en-US" w:eastAsia="zh-CN"/>
              </w:rPr>
              <w:t>与原有工程关系</w:t>
            </w:r>
          </w:p>
        </w:tc>
        <w:tc>
          <w:tcPr>
            <w:tcW w:w="1063" w:type="dxa"/>
            <w:noWrap w:val="0"/>
            <w:vAlign w:val="center"/>
          </w:tcPr>
          <w:p w14:paraId="334A3B8F">
            <w:pPr>
              <w:adjustRightInd w:val="0"/>
              <w:snapToGrid w:val="0"/>
              <w:jc w:val="center"/>
              <w:rPr>
                <w:bCs/>
                <w:color w:val="auto"/>
                <w:szCs w:val="21"/>
              </w:rPr>
            </w:pPr>
            <w:r>
              <w:rPr>
                <w:rFonts w:hint="eastAsia"/>
                <w:color w:val="000000"/>
                <w:szCs w:val="21"/>
              </w:rPr>
              <w:t>变更情况</w:t>
            </w:r>
          </w:p>
        </w:tc>
      </w:tr>
      <w:tr w14:paraId="6E2FC6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restart"/>
            <w:noWrap w:val="0"/>
            <w:vAlign w:val="center"/>
          </w:tcPr>
          <w:p w14:paraId="4A6A44FC">
            <w:pPr>
              <w:adjustRightInd w:val="0"/>
              <w:snapToGrid w:val="0"/>
              <w:jc w:val="center"/>
              <w:rPr>
                <w:bCs/>
                <w:color w:val="auto"/>
                <w:szCs w:val="21"/>
              </w:rPr>
            </w:pPr>
            <w:r>
              <w:rPr>
                <w:bCs/>
                <w:color w:val="auto"/>
                <w:szCs w:val="21"/>
              </w:rPr>
              <w:t>主体工程</w:t>
            </w:r>
          </w:p>
        </w:tc>
        <w:tc>
          <w:tcPr>
            <w:tcW w:w="1105" w:type="dxa"/>
            <w:noWrap w:val="0"/>
            <w:vAlign w:val="center"/>
          </w:tcPr>
          <w:p w14:paraId="145FE5E8">
            <w:pPr>
              <w:adjustRightInd w:val="0"/>
              <w:snapToGrid w:val="0"/>
              <w:jc w:val="center"/>
              <w:rPr>
                <w:rFonts w:hint="default" w:eastAsia="宋体"/>
                <w:bCs/>
                <w:color w:val="auto"/>
                <w:szCs w:val="21"/>
                <w:lang w:val="en-US" w:eastAsia="zh-CN"/>
              </w:rPr>
            </w:pPr>
            <w:r>
              <w:rPr>
                <w:rFonts w:hint="eastAsia"/>
                <w:color w:val="auto"/>
                <w:szCs w:val="21"/>
                <w:lang w:val="en-US" w:eastAsia="zh-CN"/>
              </w:rPr>
              <w:t>手机玻璃后盖蚀刻线</w:t>
            </w:r>
          </w:p>
        </w:tc>
        <w:tc>
          <w:tcPr>
            <w:tcW w:w="2673" w:type="dxa"/>
            <w:noWrap w:val="0"/>
            <w:vAlign w:val="center"/>
          </w:tcPr>
          <w:p w14:paraId="76B7C965">
            <w:pPr>
              <w:jc w:val="both"/>
              <w:rPr>
                <w:bCs/>
                <w:color w:val="auto"/>
                <w:szCs w:val="21"/>
              </w:rPr>
            </w:pPr>
            <w:r>
              <w:rPr>
                <w:rFonts w:hint="eastAsia"/>
                <w:color w:val="auto"/>
                <w:szCs w:val="21"/>
                <w:lang w:val="en-US" w:eastAsia="zh-CN"/>
              </w:rPr>
              <w:t>位于B03厂房1F（层高6m）北侧，建设手机玻璃后盖生产线用作原有项目年产800万件手机玻璃后盖延伸工艺加工，主要布置凹面涂油机、烤箱、凸面光刻胶喷涂机、曝光机、清洗机、</w:t>
            </w:r>
            <w:r>
              <w:rPr>
                <w:rFonts w:hint="eastAsia"/>
                <w:color w:val="auto"/>
                <w:szCs w:val="21"/>
                <w:highlight w:val="none"/>
                <w:lang w:val="en-US" w:eastAsia="zh-CN"/>
              </w:rPr>
              <w:t>AG蚀刻生产线等设备</w:t>
            </w:r>
            <w:r>
              <w:rPr>
                <w:color w:val="auto"/>
                <w:szCs w:val="21"/>
                <w:highlight w:val="none"/>
              </w:rPr>
              <w:t>。</w:t>
            </w:r>
          </w:p>
        </w:tc>
        <w:tc>
          <w:tcPr>
            <w:tcW w:w="2573" w:type="dxa"/>
            <w:noWrap w:val="0"/>
            <w:vAlign w:val="center"/>
          </w:tcPr>
          <w:p w14:paraId="2216B1B8">
            <w:pPr>
              <w:adjustRightInd w:val="0"/>
              <w:snapToGrid w:val="0"/>
              <w:jc w:val="left"/>
              <w:rPr>
                <w:rFonts w:hint="eastAsia"/>
                <w:bCs/>
                <w:color w:val="auto"/>
                <w:szCs w:val="21"/>
              </w:rPr>
            </w:pPr>
            <w:r>
              <w:rPr>
                <w:rFonts w:hint="eastAsia"/>
                <w:color w:val="auto"/>
                <w:szCs w:val="21"/>
                <w:highlight w:val="none"/>
                <w:lang w:val="en-US" w:eastAsia="zh-CN"/>
              </w:rPr>
              <w:t>AG蚀刻线位于B01厂房2F北侧，</w:t>
            </w:r>
            <w:r>
              <w:rPr>
                <w:rFonts w:hint="eastAsia"/>
                <w:color w:val="auto"/>
                <w:szCs w:val="21"/>
                <w:lang w:val="en-US" w:eastAsia="zh-CN"/>
              </w:rPr>
              <w:t>凹面涂油机、烤箱、凸面光刻胶喷涂机、曝光机、清洗机、等设备位于B03厂房1F北侧</w:t>
            </w:r>
            <w:r>
              <w:rPr>
                <w:color w:val="auto"/>
                <w:szCs w:val="21"/>
              </w:rPr>
              <w:t>。</w:t>
            </w:r>
          </w:p>
        </w:tc>
        <w:tc>
          <w:tcPr>
            <w:tcW w:w="1120" w:type="dxa"/>
            <w:vMerge w:val="restart"/>
            <w:shd w:val="clear" w:color="auto" w:fill="auto"/>
            <w:noWrap w:val="0"/>
            <w:vAlign w:val="center"/>
          </w:tcPr>
          <w:p w14:paraId="74DFD49D">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rPr>
              <w:t>新建</w:t>
            </w:r>
          </w:p>
        </w:tc>
        <w:tc>
          <w:tcPr>
            <w:tcW w:w="1063" w:type="dxa"/>
            <w:noWrap w:val="0"/>
            <w:vAlign w:val="center"/>
          </w:tcPr>
          <w:p w14:paraId="75DFCB77">
            <w:pPr>
              <w:adjustRightInd w:val="0"/>
              <w:snapToGrid w:val="0"/>
              <w:jc w:val="left"/>
              <w:rPr>
                <w:rFonts w:hint="default" w:eastAsia="宋体"/>
                <w:bCs/>
                <w:color w:val="auto"/>
                <w:szCs w:val="21"/>
                <w:lang w:val="en-US" w:eastAsia="zh-CN"/>
              </w:rPr>
            </w:pPr>
            <w:r>
              <w:rPr>
                <w:rFonts w:hint="eastAsia"/>
                <w:bCs/>
                <w:color w:val="auto"/>
                <w:szCs w:val="21"/>
                <w:lang w:val="en-US" w:eastAsia="zh-CN"/>
              </w:rPr>
              <w:t>因生产工艺优化需求，</w:t>
            </w:r>
            <w:r>
              <w:rPr>
                <w:rFonts w:hint="default" w:eastAsia="宋体"/>
                <w:bCs/>
                <w:color w:val="auto"/>
                <w:szCs w:val="21"/>
                <w:lang w:val="en-US" w:eastAsia="zh-CN"/>
              </w:rPr>
              <w:t>AG蚀刻线布局由B03</w:t>
            </w:r>
            <w:r>
              <w:rPr>
                <w:rFonts w:hint="eastAsia"/>
                <w:bCs/>
                <w:color w:val="auto"/>
                <w:szCs w:val="21"/>
                <w:lang w:val="en-US" w:eastAsia="zh-CN"/>
              </w:rPr>
              <w:t>厂房1F</w:t>
            </w:r>
            <w:r>
              <w:rPr>
                <w:rFonts w:hint="default" w:eastAsia="宋体"/>
                <w:bCs/>
                <w:color w:val="auto"/>
                <w:szCs w:val="21"/>
                <w:lang w:val="en-US" w:eastAsia="zh-CN"/>
              </w:rPr>
              <w:t>变更为B01厂房</w:t>
            </w:r>
            <w:r>
              <w:rPr>
                <w:rFonts w:hint="eastAsia"/>
                <w:bCs/>
                <w:color w:val="auto"/>
                <w:szCs w:val="21"/>
                <w:lang w:val="en-US" w:eastAsia="zh-CN"/>
              </w:rPr>
              <w:t>2F</w:t>
            </w:r>
          </w:p>
        </w:tc>
      </w:tr>
      <w:tr w14:paraId="04EE57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noWrap w:val="0"/>
            <w:vAlign w:val="center"/>
          </w:tcPr>
          <w:p w14:paraId="236316E8">
            <w:pPr>
              <w:adjustRightInd w:val="0"/>
              <w:snapToGrid w:val="0"/>
              <w:jc w:val="center"/>
              <w:rPr>
                <w:bCs/>
                <w:color w:val="auto"/>
                <w:szCs w:val="21"/>
              </w:rPr>
            </w:pPr>
          </w:p>
        </w:tc>
        <w:tc>
          <w:tcPr>
            <w:tcW w:w="1105" w:type="dxa"/>
            <w:noWrap w:val="0"/>
            <w:vAlign w:val="center"/>
          </w:tcPr>
          <w:p w14:paraId="1B4805B3">
            <w:pPr>
              <w:adjustRightInd w:val="0"/>
              <w:snapToGrid w:val="0"/>
              <w:jc w:val="center"/>
              <w:rPr>
                <w:rFonts w:hint="eastAsia"/>
                <w:color w:val="auto"/>
                <w:szCs w:val="21"/>
                <w:lang w:val="en-US" w:eastAsia="zh-CN"/>
              </w:rPr>
            </w:pPr>
            <w:r>
              <w:rPr>
                <w:rFonts w:hint="eastAsia"/>
                <w:color w:val="auto"/>
                <w:szCs w:val="21"/>
                <w:lang w:val="en-US" w:eastAsia="zh-CN"/>
              </w:rPr>
              <w:t>手机玻璃后盖装配线</w:t>
            </w:r>
          </w:p>
        </w:tc>
        <w:tc>
          <w:tcPr>
            <w:tcW w:w="2673" w:type="dxa"/>
            <w:noWrap w:val="0"/>
            <w:vAlign w:val="center"/>
          </w:tcPr>
          <w:p w14:paraId="2E8B225D">
            <w:pPr>
              <w:jc w:val="both"/>
              <w:rPr>
                <w:rFonts w:hint="eastAsia"/>
                <w:color w:val="auto"/>
                <w:szCs w:val="21"/>
                <w:lang w:val="en-US" w:eastAsia="zh-CN"/>
              </w:rPr>
            </w:pPr>
            <w:r>
              <w:rPr>
                <w:rFonts w:hint="eastAsia"/>
                <w:color w:val="auto"/>
                <w:szCs w:val="21"/>
                <w:lang w:val="en-US" w:eastAsia="zh-CN"/>
              </w:rPr>
              <w:t>位于B03厂房1F（层高6m）南侧，</w:t>
            </w:r>
            <w:r>
              <w:rPr>
                <w:rFonts w:hint="eastAsia"/>
                <w:color w:val="auto"/>
                <w:szCs w:val="21"/>
                <w:vertAlign w:val="baseline"/>
                <w:lang w:val="en-US" w:eastAsia="zh-CN"/>
              </w:rPr>
              <w:t>主要布置电池盖背胶组装线、Deco用户面组装线、Deco系统面组装线、点胶组装线、镜片组装线等设备</w:t>
            </w:r>
            <w:r>
              <w:rPr>
                <w:rFonts w:hint="eastAsia"/>
                <w:color w:val="auto"/>
                <w:szCs w:val="21"/>
              </w:rPr>
              <w:t>。</w:t>
            </w:r>
          </w:p>
        </w:tc>
        <w:tc>
          <w:tcPr>
            <w:tcW w:w="2573" w:type="dxa"/>
            <w:noWrap w:val="0"/>
            <w:vAlign w:val="center"/>
          </w:tcPr>
          <w:p w14:paraId="2D0CB8A9">
            <w:pPr>
              <w:adjustRightInd w:val="0"/>
              <w:snapToGrid w:val="0"/>
              <w:jc w:val="left"/>
              <w:rPr>
                <w:rFonts w:hint="eastAsia"/>
                <w:bCs/>
                <w:color w:val="auto"/>
                <w:szCs w:val="21"/>
              </w:rPr>
            </w:pPr>
            <w:r>
              <w:rPr>
                <w:rFonts w:hint="eastAsia"/>
                <w:color w:val="auto"/>
                <w:szCs w:val="21"/>
                <w:lang w:val="en-US" w:eastAsia="zh-CN"/>
              </w:rPr>
              <w:t>位于B03厂房1F南侧，</w:t>
            </w:r>
            <w:r>
              <w:rPr>
                <w:rFonts w:hint="eastAsia"/>
                <w:color w:val="auto"/>
                <w:szCs w:val="21"/>
                <w:vertAlign w:val="baseline"/>
                <w:lang w:val="en-US" w:eastAsia="zh-CN"/>
              </w:rPr>
              <w:t>主要布置电池盖背胶组装线、Deco用户面组装线、Deco系统面组装线、点胶组装线、镜片组装线等设备</w:t>
            </w:r>
            <w:r>
              <w:rPr>
                <w:rFonts w:hint="eastAsia"/>
                <w:color w:val="auto"/>
                <w:szCs w:val="21"/>
              </w:rPr>
              <w:t>。</w:t>
            </w:r>
          </w:p>
        </w:tc>
        <w:tc>
          <w:tcPr>
            <w:tcW w:w="1120" w:type="dxa"/>
            <w:vMerge w:val="continue"/>
            <w:noWrap w:val="0"/>
            <w:vAlign w:val="center"/>
          </w:tcPr>
          <w:p w14:paraId="1873F483">
            <w:pPr>
              <w:adjustRightInd w:val="0"/>
              <w:snapToGrid w:val="0"/>
              <w:jc w:val="center"/>
              <w:rPr>
                <w:rFonts w:hint="eastAsia"/>
                <w:bCs/>
                <w:color w:val="000000"/>
                <w:szCs w:val="21"/>
              </w:rPr>
            </w:pPr>
          </w:p>
        </w:tc>
        <w:tc>
          <w:tcPr>
            <w:tcW w:w="1063" w:type="dxa"/>
            <w:noWrap w:val="0"/>
            <w:vAlign w:val="center"/>
          </w:tcPr>
          <w:p w14:paraId="66947F03">
            <w:pPr>
              <w:adjustRightInd w:val="0"/>
              <w:snapToGrid w:val="0"/>
              <w:jc w:val="center"/>
              <w:rPr>
                <w:rFonts w:hint="eastAsia"/>
                <w:bCs/>
                <w:color w:val="auto"/>
                <w:szCs w:val="21"/>
              </w:rPr>
            </w:pPr>
            <w:r>
              <w:rPr>
                <w:rFonts w:hint="eastAsia"/>
                <w:bCs/>
                <w:color w:val="000000"/>
                <w:szCs w:val="21"/>
              </w:rPr>
              <w:t>与环评一致</w:t>
            </w:r>
          </w:p>
        </w:tc>
      </w:tr>
      <w:tr w14:paraId="0A1BCC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noWrap w:val="0"/>
            <w:vAlign w:val="center"/>
          </w:tcPr>
          <w:p w14:paraId="0F8F9587">
            <w:pPr>
              <w:adjustRightInd w:val="0"/>
              <w:snapToGrid w:val="0"/>
              <w:jc w:val="center"/>
              <w:rPr>
                <w:bCs/>
                <w:color w:val="auto"/>
                <w:szCs w:val="21"/>
              </w:rPr>
            </w:pPr>
          </w:p>
        </w:tc>
        <w:tc>
          <w:tcPr>
            <w:tcW w:w="1105" w:type="dxa"/>
            <w:noWrap w:val="0"/>
            <w:vAlign w:val="center"/>
          </w:tcPr>
          <w:p w14:paraId="78DF3CE8">
            <w:pPr>
              <w:adjustRightInd w:val="0"/>
              <w:snapToGrid w:val="0"/>
              <w:jc w:val="center"/>
              <w:rPr>
                <w:rFonts w:hint="default"/>
                <w:color w:val="auto"/>
                <w:szCs w:val="21"/>
                <w:lang w:val="en-US" w:eastAsia="zh-CN"/>
              </w:rPr>
            </w:pPr>
            <w:r>
              <w:rPr>
                <w:rFonts w:hint="eastAsia"/>
                <w:color w:val="auto"/>
                <w:szCs w:val="21"/>
                <w:lang w:val="en-US" w:eastAsia="zh-CN"/>
              </w:rPr>
              <w:t>B03厂房2-3F</w:t>
            </w:r>
          </w:p>
        </w:tc>
        <w:tc>
          <w:tcPr>
            <w:tcW w:w="2673" w:type="dxa"/>
            <w:noWrap w:val="0"/>
            <w:vAlign w:val="center"/>
          </w:tcPr>
          <w:p w14:paraId="6338409C">
            <w:pPr>
              <w:jc w:val="both"/>
              <w:rPr>
                <w:rFonts w:hint="default"/>
                <w:color w:val="auto"/>
                <w:szCs w:val="21"/>
                <w:lang w:val="en-US" w:eastAsia="zh-CN"/>
              </w:rPr>
            </w:pPr>
            <w:r>
              <w:rPr>
                <w:rFonts w:hint="eastAsia"/>
                <w:color w:val="auto"/>
                <w:szCs w:val="21"/>
                <w:lang w:val="en-US" w:eastAsia="zh-CN"/>
              </w:rPr>
              <w:t>预留远期工程项目使用，单层层高6m，总建筑面积13250m</w:t>
            </w:r>
            <w:r>
              <w:rPr>
                <w:rFonts w:hint="eastAsia"/>
                <w:color w:val="auto"/>
                <w:szCs w:val="21"/>
                <w:vertAlign w:val="superscript"/>
                <w:lang w:val="en-US" w:eastAsia="zh-CN"/>
              </w:rPr>
              <w:t>2</w:t>
            </w:r>
            <w:r>
              <w:rPr>
                <w:rFonts w:hint="eastAsia"/>
                <w:color w:val="auto"/>
                <w:szCs w:val="21"/>
                <w:vertAlign w:val="baseline"/>
                <w:lang w:val="en-US" w:eastAsia="zh-CN"/>
              </w:rPr>
              <w:t>。</w:t>
            </w:r>
          </w:p>
        </w:tc>
        <w:tc>
          <w:tcPr>
            <w:tcW w:w="2573" w:type="dxa"/>
            <w:noWrap w:val="0"/>
            <w:vAlign w:val="center"/>
          </w:tcPr>
          <w:p w14:paraId="1C0C578B">
            <w:pPr>
              <w:adjustRightInd w:val="0"/>
              <w:snapToGrid w:val="0"/>
              <w:jc w:val="left"/>
              <w:rPr>
                <w:rFonts w:hint="eastAsia"/>
                <w:bCs/>
                <w:color w:val="auto"/>
                <w:szCs w:val="21"/>
              </w:rPr>
            </w:pPr>
            <w:r>
              <w:rPr>
                <w:rFonts w:hint="eastAsia"/>
                <w:color w:val="auto"/>
                <w:szCs w:val="21"/>
                <w:lang w:val="en-US" w:eastAsia="zh-CN"/>
              </w:rPr>
              <w:t>预留远期工程项目使用，单层层高6m，总建筑面积13250m</w:t>
            </w:r>
            <w:r>
              <w:rPr>
                <w:rFonts w:hint="eastAsia"/>
                <w:color w:val="auto"/>
                <w:szCs w:val="21"/>
                <w:vertAlign w:val="superscript"/>
                <w:lang w:val="en-US" w:eastAsia="zh-CN"/>
              </w:rPr>
              <w:t>2</w:t>
            </w:r>
            <w:r>
              <w:rPr>
                <w:rFonts w:hint="eastAsia"/>
                <w:color w:val="auto"/>
                <w:szCs w:val="21"/>
                <w:vertAlign w:val="baseline"/>
                <w:lang w:val="en-US" w:eastAsia="zh-CN"/>
              </w:rPr>
              <w:t>。</w:t>
            </w:r>
          </w:p>
        </w:tc>
        <w:tc>
          <w:tcPr>
            <w:tcW w:w="1120" w:type="dxa"/>
            <w:vMerge w:val="continue"/>
            <w:noWrap w:val="0"/>
            <w:vAlign w:val="center"/>
          </w:tcPr>
          <w:p w14:paraId="6B08F7CD">
            <w:pPr>
              <w:adjustRightInd w:val="0"/>
              <w:snapToGrid w:val="0"/>
              <w:jc w:val="center"/>
              <w:rPr>
                <w:rFonts w:hint="eastAsia"/>
                <w:bCs/>
                <w:color w:val="000000"/>
                <w:szCs w:val="21"/>
              </w:rPr>
            </w:pPr>
          </w:p>
        </w:tc>
        <w:tc>
          <w:tcPr>
            <w:tcW w:w="1063" w:type="dxa"/>
            <w:noWrap w:val="0"/>
            <w:vAlign w:val="center"/>
          </w:tcPr>
          <w:p w14:paraId="3D4DA05E">
            <w:pPr>
              <w:adjustRightInd w:val="0"/>
              <w:snapToGrid w:val="0"/>
              <w:jc w:val="center"/>
              <w:rPr>
                <w:rFonts w:hint="eastAsia"/>
                <w:bCs/>
                <w:color w:val="auto"/>
                <w:szCs w:val="21"/>
              </w:rPr>
            </w:pPr>
            <w:r>
              <w:rPr>
                <w:rFonts w:hint="eastAsia"/>
                <w:bCs/>
                <w:color w:val="000000"/>
                <w:szCs w:val="21"/>
              </w:rPr>
              <w:t>与环评一致</w:t>
            </w:r>
          </w:p>
        </w:tc>
      </w:tr>
      <w:tr w14:paraId="6E952E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restart"/>
            <w:noWrap w:val="0"/>
            <w:vAlign w:val="center"/>
          </w:tcPr>
          <w:p w14:paraId="7B7CE2AA">
            <w:pPr>
              <w:adjustRightInd w:val="0"/>
              <w:snapToGrid w:val="0"/>
              <w:jc w:val="center"/>
              <w:rPr>
                <w:bCs/>
                <w:color w:val="auto"/>
                <w:szCs w:val="21"/>
              </w:rPr>
            </w:pPr>
            <w:r>
              <w:rPr>
                <w:bCs/>
                <w:color w:val="auto"/>
                <w:szCs w:val="21"/>
              </w:rPr>
              <w:t>辅助工程</w:t>
            </w:r>
          </w:p>
        </w:tc>
        <w:tc>
          <w:tcPr>
            <w:tcW w:w="1105" w:type="dxa"/>
            <w:noWrap w:val="0"/>
            <w:vAlign w:val="center"/>
          </w:tcPr>
          <w:p w14:paraId="091C29A4">
            <w:pPr>
              <w:pStyle w:val="127"/>
              <w:rPr>
                <w:bCs w:val="0"/>
                <w:color w:val="auto"/>
                <w:szCs w:val="21"/>
              </w:rPr>
            </w:pPr>
            <w:r>
              <w:rPr>
                <w:color w:val="auto"/>
                <w:sz w:val="21"/>
                <w:szCs w:val="21"/>
              </w:rPr>
              <w:t>办公场所</w:t>
            </w:r>
          </w:p>
        </w:tc>
        <w:tc>
          <w:tcPr>
            <w:tcW w:w="2673" w:type="dxa"/>
            <w:noWrap w:val="0"/>
            <w:vAlign w:val="center"/>
          </w:tcPr>
          <w:p w14:paraId="705D23CF">
            <w:pPr>
              <w:pStyle w:val="127"/>
              <w:jc w:val="both"/>
              <w:rPr>
                <w:bCs w:val="0"/>
                <w:color w:val="auto"/>
                <w:szCs w:val="21"/>
              </w:rPr>
            </w:pPr>
            <w:r>
              <w:rPr>
                <w:color w:val="auto"/>
                <w:sz w:val="21"/>
                <w:szCs w:val="21"/>
              </w:rPr>
              <w:t>位于</w:t>
            </w:r>
            <w:r>
              <w:rPr>
                <w:rFonts w:hint="eastAsia"/>
                <w:color w:val="auto"/>
                <w:sz w:val="21"/>
                <w:szCs w:val="21"/>
              </w:rPr>
              <w:t>B02厂房的2F西南侧，建筑面积约650</w:t>
            </w:r>
            <w:r>
              <w:rPr>
                <w:rFonts w:hint="eastAsia"/>
                <w:color w:val="auto"/>
                <w:szCs w:val="21"/>
                <w:lang w:val="en-US" w:eastAsia="zh-CN"/>
              </w:rPr>
              <w:t>m</w:t>
            </w:r>
            <w:r>
              <w:rPr>
                <w:rFonts w:hint="eastAsia"/>
                <w:color w:val="auto"/>
                <w:szCs w:val="21"/>
                <w:vertAlign w:val="superscript"/>
                <w:lang w:val="en-US" w:eastAsia="zh-CN"/>
              </w:rPr>
              <w:t>2</w:t>
            </w:r>
            <w:r>
              <w:rPr>
                <w:color w:val="auto"/>
                <w:sz w:val="21"/>
                <w:szCs w:val="21"/>
              </w:rPr>
              <w:t>。</w:t>
            </w:r>
          </w:p>
        </w:tc>
        <w:tc>
          <w:tcPr>
            <w:tcW w:w="2573" w:type="dxa"/>
            <w:shd w:val="clear" w:color="auto" w:fill="auto"/>
            <w:noWrap w:val="0"/>
            <w:vAlign w:val="center"/>
          </w:tcPr>
          <w:p w14:paraId="2AED57AC">
            <w:pPr>
              <w:pStyle w:val="127"/>
              <w:jc w:val="left"/>
              <w:rPr>
                <w:rFonts w:hint="eastAsia" w:ascii="Times New Roman" w:hAnsi="Times New Roman" w:eastAsia="宋体" w:cs="Times New Roman"/>
                <w:bCs w:val="0"/>
                <w:color w:val="auto"/>
                <w:kern w:val="22"/>
                <w:sz w:val="22"/>
                <w:szCs w:val="21"/>
                <w:lang w:val="en-US" w:eastAsia="zh-CN" w:bidi="ar-SA"/>
              </w:rPr>
            </w:pPr>
            <w:r>
              <w:rPr>
                <w:color w:val="auto"/>
                <w:sz w:val="21"/>
                <w:szCs w:val="21"/>
              </w:rPr>
              <w:t>位于</w:t>
            </w:r>
            <w:r>
              <w:rPr>
                <w:rFonts w:hint="eastAsia"/>
                <w:color w:val="auto"/>
                <w:sz w:val="21"/>
                <w:szCs w:val="21"/>
              </w:rPr>
              <w:t>B02厂房的2F西南侧，建筑面积约650</w:t>
            </w:r>
            <w:r>
              <w:rPr>
                <w:rFonts w:hint="eastAsia"/>
                <w:color w:val="auto"/>
                <w:szCs w:val="21"/>
                <w:lang w:val="en-US" w:eastAsia="zh-CN"/>
              </w:rPr>
              <w:t>m</w:t>
            </w:r>
            <w:r>
              <w:rPr>
                <w:rFonts w:hint="eastAsia"/>
                <w:color w:val="auto"/>
                <w:szCs w:val="21"/>
                <w:vertAlign w:val="superscript"/>
                <w:lang w:val="en-US" w:eastAsia="zh-CN"/>
              </w:rPr>
              <w:t>2</w:t>
            </w:r>
            <w:r>
              <w:rPr>
                <w:color w:val="auto"/>
                <w:sz w:val="21"/>
                <w:szCs w:val="21"/>
              </w:rPr>
              <w:t>。</w:t>
            </w:r>
          </w:p>
        </w:tc>
        <w:tc>
          <w:tcPr>
            <w:tcW w:w="1120" w:type="dxa"/>
            <w:shd w:val="clear" w:color="auto" w:fill="auto"/>
            <w:noWrap w:val="0"/>
            <w:vAlign w:val="center"/>
          </w:tcPr>
          <w:p w14:paraId="09C28ADF">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rPr>
              <w:t>依托</w:t>
            </w:r>
          </w:p>
        </w:tc>
        <w:tc>
          <w:tcPr>
            <w:tcW w:w="1063" w:type="dxa"/>
            <w:noWrap w:val="0"/>
            <w:vAlign w:val="center"/>
          </w:tcPr>
          <w:p w14:paraId="5AAFFD09">
            <w:pPr>
              <w:adjustRightInd w:val="0"/>
              <w:snapToGrid w:val="0"/>
              <w:jc w:val="center"/>
              <w:rPr>
                <w:rFonts w:hint="eastAsia"/>
                <w:bCs/>
                <w:color w:val="auto"/>
                <w:szCs w:val="21"/>
              </w:rPr>
            </w:pPr>
            <w:r>
              <w:rPr>
                <w:rFonts w:hint="eastAsia"/>
                <w:bCs/>
                <w:color w:val="000000"/>
                <w:szCs w:val="21"/>
              </w:rPr>
              <w:t>与环评一致</w:t>
            </w:r>
          </w:p>
        </w:tc>
      </w:tr>
      <w:tr w14:paraId="14B46B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noWrap w:val="0"/>
            <w:vAlign w:val="center"/>
          </w:tcPr>
          <w:p w14:paraId="3E89224E">
            <w:pPr>
              <w:adjustRightInd w:val="0"/>
              <w:snapToGrid w:val="0"/>
              <w:jc w:val="center"/>
              <w:rPr>
                <w:bCs/>
                <w:color w:val="auto"/>
                <w:szCs w:val="21"/>
              </w:rPr>
            </w:pPr>
          </w:p>
        </w:tc>
        <w:tc>
          <w:tcPr>
            <w:tcW w:w="1105" w:type="dxa"/>
            <w:noWrap w:val="0"/>
            <w:vAlign w:val="center"/>
          </w:tcPr>
          <w:p w14:paraId="5EA2FD5D">
            <w:pPr>
              <w:pStyle w:val="127"/>
              <w:rPr>
                <w:bCs w:val="0"/>
                <w:color w:val="auto"/>
                <w:szCs w:val="21"/>
              </w:rPr>
            </w:pPr>
            <w:r>
              <w:rPr>
                <w:color w:val="auto"/>
                <w:sz w:val="21"/>
                <w:szCs w:val="21"/>
              </w:rPr>
              <w:t>变配电室</w:t>
            </w:r>
          </w:p>
        </w:tc>
        <w:tc>
          <w:tcPr>
            <w:tcW w:w="2673" w:type="dxa"/>
            <w:noWrap w:val="0"/>
            <w:vAlign w:val="center"/>
          </w:tcPr>
          <w:p w14:paraId="7978557D">
            <w:pPr>
              <w:pStyle w:val="127"/>
              <w:jc w:val="both"/>
              <w:rPr>
                <w:bCs w:val="0"/>
                <w:color w:val="auto"/>
                <w:szCs w:val="21"/>
              </w:rPr>
            </w:pPr>
            <w:r>
              <w:rPr>
                <w:color w:val="auto"/>
                <w:sz w:val="21"/>
                <w:szCs w:val="21"/>
              </w:rPr>
              <w:t>利用现有变配电室及变压器。</w:t>
            </w:r>
          </w:p>
        </w:tc>
        <w:tc>
          <w:tcPr>
            <w:tcW w:w="2573" w:type="dxa"/>
            <w:shd w:val="clear" w:color="auto" w:fill="auto"/>
            <w:noWrap w:val="0"/>
            <w:vAlign w:val="center"/>
          </w:tcPr>
          <w:p w14:paraId="1DA72602">
            <w:pPr>
              <w:pStyle w:val="127"/>
              <w:jc w:val="left"/>
              <w:rPr>
                <w:rFonts w:hint="eastAsia" w:ascii="Times New Roman" w:hAnsi="Times New Roman" w:eastAsia="宋体" w:cs="Times New Roman"/>
                <w:bCs w:val="0"/>
                <w:color w:val="auto"/>
                <w:kern w:val="22"/>
                <w:sz w:val="22"/>
                <w:szCs w:val="21"/>
                <w:lang w:val="en-US" w:eastAsia="zh-CN" w:bidi="ar-SA"/>
              </w:rPr>
            </w:pPr>
            <w:r>
              <w:rPr>
                <w:color w:val="auto"/>
                <w:sz w:val="21"/>
                <w:szCs w:val="21"/>
              </w:rPr>
              <w:t>利用现有变配电室及变压器。</w:t>
            </w:r>
          </w:p>
        </w:tc>
        <w:tc>
          <w:tcPr>
            <w:tcW w:w="1120" w:type="dxa"/>
            <w:shd w:val="clear" w:color="auto" w:fill="auto"/>
            <w:noWrap w:val="0"/>
            <w:vAlign w:val="center"/>
          </w:tcPr>
          <w:p w14:paraId="46C87B44">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rPr>
              <w:t>依托</w:t>
            </w:r>
          </w:p>
        </w:tc>
        <w:tc>
          <w:tcPr>
            <w:tcW w:w="1063" w:type="dxa"/>
            <w:noWrap w:val="0"/>
            <w:vAlign w:val="center"/>
          </w:tcPr>
          <w:p w14:paraId="52744CDC">
            <w:pPr>
              <w:adjustRightInd w:val="0"/>
              <w:snapToGrid w:val="0"/>
              <w:jc w:val="center"/>
              <w:rPr>
                <w:rFonts w:hint="default" w:eastAsia="宋体"/>
                <w:bCs/>
                <w:color w:val="auto"/>
                <w:szCs w:val="21"/>
                <w:lang w:val="en-US" w:eastAsia="zh-CN"/>
              </w:rPr>
            </w:pPr>
            <w:r>
              <w:rPr>
                <w:rFonts w:hint="eastAsia"/>
                <w:bCs/>
                <w:color w:val="000000"/>
                <w:szCs w:val="21"/>
              </w:rPr>
              <w:t>与环评一致</w:t>
            </w:r>
          </w:p>
        </w:tc>
      </w:tr>
      <w:tr w14:paraId="0B5BFC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restart"/>
            <w:noWrap w:val="0"/>
            <w:vAlign w:val="center"/>
          </w:tcPr>
          <w:p w14:paraId="4A190F05">
            <w:pPr>
              <w:adjustRightInd w:val="0"/>
              <w:snapToGrid w:val="0"/>
              <w:jc w:val="center"/>
              <w:rPr>
                <w:bCs/>
                <w:color w:val="auto"/>
                <w:szCs w:val="21"/>
              </w:rPr>
            </w:pPr>
            <w:r>
              <w:rPr>
                <w:bCs/>
                <w:color w:val="auto"/>
                <w:szCs w:val="21"/>
              </w:rPr>
              <w:t>公共工程</w:t>
            </w:r>
          </w:p>
        </w:tc>
        <w:tc>
          <w:tcPr>
            <w:tcW w:w="1105" w:type="dxa"/>
            <w:noWrap w:val="0"/>
            <w:vAlign w:val="center"/>
          </w:tcPr>
          <w:p w14:paraId="2C7D3BAA">
            <w:pPr>
              <w:adjustRightInd w:val="0"/>
              <w:snapToGrid w:val="0"/>
              <w:jc w:val="center"/>
              <w:rPr>
                <w:bCs/>
                <w:color w:val="auto"/>
                <w:szCs w:val="21"/>
              </w:rPr>
            </w:pPr>
            <w:r>
              <w:rPr>
                <w:color w:val="auto"/>
                <w:szCs w:val="21"/>
              </w:rPr>
              <w:t>供电</w:t>
            </w:r>
          </w:p>
        </w:tc>
        <w:tc>
          <w:tcPr>
            <w:tcW w:w="2673" w:type="dxa"/>
            <w:noWrap w:val="0"/>
            <w:vAlign w:val="center"/>
          </w:tcPr>
          <w:p w14:paraId="4764CF30">
            <w:pPr>
              <w:adjustRightInd w:val="0"/>
              <w:snapToGrid w:val="0"/>
              <w:jc w:val="both"/>
              <w:rPr>
                <w:bCs/>
                <w:color w:val="auto"/>
                <w:szCs w:val="21"/>
              </w:rPr>
            </w:pPr>
            <w:r>
              <w:rPr>
                <w:rFonts w:hint="eastAsia"/>
                <w:color w:val="auto"/>
                <w:szCs w:val="21"/>
              </w:rPr>
              <w:t>依托</w:t>
            </w:r>
            <w:r>
              <w:rPr>
                <w:color w:val="auto"/>
                <w:szCs w:val="21"/>
              </w:rPr>
              <w:t>市政供电管网供给。</w:t>
            </w:r>
          </w:p>
        </w:tc>
        <w:tc>
          <w:tcPr>
            <w:tcW w:w="2573" w:type="dxa"/>
            <w:shd w:val="clear" w:color="auto" w:fill="auto"/>
            <w:noWrap w:val="0"/>
            <w:vAlign w:val="center"/>
          </w:tcPr>
          <w:p w14:paraId="2E1C783D">
            <w:pPr>
              <w:adjustRightInd w:val="0"/>
              <w:snapToGrid w:val="0"/>
              <w:jc w:val="left"/>
              <w:rPr>
                <w:rFonts w:ascii="Times New Roman" w:hAnsi="Times New Roman" w:eastAsia="宋体" w:cs="Times New Roman"/>
                <w:bCs/>
                <w:color w:val="auto"/>
                <w:kern w:val="2"/>
                <w:sz w:val="21"/>
                <w:szCs w:val="21"/>
                <w:lang w:val="en-US" w:eastAsia="zh-CN" w:bidi="ar-SA"/>
              </w:rPr>
            </w:pPr>
            <w:r>
              <w:rPr>
                <w:rFonts w:hint="eastAsia"/>
                <w:color w:val="auto"/>
                <w:szCs w:val="21"/>
              </w:rPr>
              <w:t>依托</w:t>
            </w:r>
            <w:r>
              <w:rPr>
                <w:color w:val="auto"/>
                <w:szCs w:val="21"/>
              </w:rPr>
              <w:t>市政供电管网供给。</w:t>
            </w:r>
          </w:p>
        </w:tc>
        <w:tc>
          <w:tcPr>
            <w:tcW w:w="1120" w:type="dxa"/>
            <w:shd w:val="clear" w:color="auto" w:fill="auto"/>
            <w:noWrap w:val="0"/>
            <w:vAlign w:val="center"/>
          </w:tcPr>
          <w:p w14:paraId="0E9A3E6A">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bCs/>
                <w:color w:val="auto"/>
                <w:szCs w:val="21"/>
              </w:rPr>
              <w:t>依托</w:t>
            </w:r>
          </w:p>
        </w:tc>
        <w:tc>
          <w:tcPr>
            <w:tcW w:w="1063" w:type="dxa"/>
            <w:noWrap w:val="0"/>
            <w:vAlign w:val="center"/>
          </w:tcPr>
          <w:p w14:paraId="4BB5B404">
            <w:pPr>
              <w:adjustRightInd w:val="0"/>
              <w:snapToGrid w:val="0"/>
              <w:jc w:val="center"/>
              <w:rPr>
                <w:bCs/>
                <w:color w:val="auto"/>
                <w:szCs w:val="21"/>
              </w:rPr>
            </w:pPr>
            <w:r>
              <w:rPr>
                <w:rFonts w:hint="eastAsia"/>
                <w:bCs/>
                <w:color w:val="000000"/>
                <w:szCs w:val="21"/>
              </w:rPr>
              <w:t>与环评一致</w:t>
            </w:r>
          </w:p>
        </w:tc>
      </w:tr>
      <w:tr w14:paraId="58FA70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noWrap w:val="0"/>
            <w:vAlign w:val="center"/>
          </w:tcPr>
          <w:p w14:paraId="268689D8">
            <w:pPr>
              <w:adjustRightInd w:val="0"/>
              <w:snapToGrid w:val="0"/>
              <w:ind w:firstLine="420"/>
              <w:jc w:val="center"/>
              <w:rPr>
                <w:bCs/>
                <w:color w:val="auto"/>
                <w:szCs w:val="21"/>
              </w:rPr>
            </w:pPr>
          </w:p>
        </w:tc>
        <w:tc>
          <w:tcPr>
            <w:tcW w:w="1105" w:type="dxa"/>
            <w:noWrap w:val="0"/>
            <w:vAlign w:val="center"/>
          </w:tcPr>
          <w:p w14:paraId="0997AB9C">
            <w:pPr>
              <w:adjustRightInd w:val="0"/>
              <w:snapToGrid w:val="0"/>
              <w:jc w:val="center"/>
              <w:rPr>
                <w:bCs/>
                <w:color w:val="auto"/>
                <w:szCs w:val="21"/>
              </w:rPr>
            </w:pPr>
            <w:r>
              <w:rPr>
                <w:color w:val="auto"/>
                <w:szCs w:val="21"/>
              </w:rPr>
              <w:t>给水</w:t>
            </w:r>
          </w:p>
        </w:tc>
        <w:tc>
          <w:tcPr>
            <w:tcW w:w="2673" w:type="dxa"/>
            <w:noWrap w:val="0"/>
            <w:vAlign w:val="center"/>
          </w:tcPr>
          <w:p w14:paraId="0613CB74">
            <w:pPr>
              <w:adjustRightInd w:val="0"/>
              <w:snapToGrid w:val="0"/>
              <w:jc w:val="both"/>
              <w:rPr>
                <w:rFonts w:hint="default" w:eastAsia="宋体"/>
                <w:bCs/>
                <w:color w:val="auto"/>
                <w:szCs w:val="21"/>
                <w:lang w:val="en-US" w:eastAsia="zh-CN"/>
              </w:rPr>
            </w:pPr>
            <w:r>
              <w:rPr>
                <w:rFonts w:hint="eastAsia"/>
                <w:color w:val="auto"/>
                <w:szCs w:val="21"/>
              </w:rPr>
              <w:t>依托</w:t>
            </w:r>
            <w:r>
              <w:rPr>
                <w:color w:val="auto"/>
                <w:szCs w:val="21"/>
              </w:rPr>
              <w:t>市政供水管网供水。</w:t>
            </w:r>
          </w:p>
        </w:tc>
        <w:tc>
          <w:tcPr>
            <w:tcW w:w="2573" w:type="dxa"/>
            <w:shd w:val="clear" w:color="auto" w:fill="auto"/>
            <w:noWrap w:val="0"/>
            <w:vAlign w:val="center"/>
          </w:tcPr>
          <w:p w14:paraId="7967E9B9">
            <w:pPr>
              <w:adjustRightInd w:val="0"/>
              <w:snapToGrid w:val="0"/>
              <w:jc w:val="left"/>
              <w:rPr>
                <w:rFonts w:hint="default" w:ascii="Times New Roman" w:hAnsi="Times New Roman" w:eastAsia="宋体" w:cs="Times New Roman"/>
                <w:bCs/>
                <w:color w:val="auto"/>
                <w:kern w:val="2"/>
                <w:sz w:val="21"/>
                <w:szCs w:val="21"/>
                <w:lang w:val="en-US" w:eastAsia="zh-CN" w:bidi="ar-SA"/>
              </w:rPr>
            </w:pPr>
            <w:r>
              <w:rPr>
                <w:rFonts w:hint="eastAsia"/>
                <w:color w:val="auto"/>
                <w:szCs w:val="21"/>
              </w:rPr>
              <w:t>依托</w:t>
            </w:r>
            <w:r>
              <w:rPr>
                <w:color w:val="auto"/>
                <w:szCs w:val="21"/>
              </w:rPr>
              <w:t>市政供水管网供水。</w:t>
            </w:r>
          </w:p>
        </w:tc>
        <w:tc>
          <w:tcPr>
            <w:tcW w:w="1120" w:type="dxa"/>
            <w:shd w:val="clear" w:color="auto" w:fill="auto"/>
            <w:noWrap w:val="0"/>
            <w:vAlign w:val="center"/>
          </w:tcPr>
          <w:p w14:paraId="14A4C864">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bCs/>
                <w:color w:val="auto"/>
                <w:szCs w:val="21"/>
              </w:rPr>
              <w:t>依托</w:t>
            </w:r>
          </w:p>
        </w:tc>
        <w:tc>
          <w:tcPr>
            <w:tcW w:w="1063" w:type="dxa"/>
            <w:noWrap w:val="0"/>
            <w:vAlign w:val="center"/>
          </w:tcPr>
          <w:p w14:paraId="2B4BC323">
            <w:pPr>
              <w:adjustRightInd w:val="0"/>
              <w:snapToGrid w:val="0"/>
              <w:jc w:val="center"/>
              <w:rPr>
                <w:bCs/>
                <w:color w:val="auto"/>
                <w:szCs w:val="21"/>
              </w:rPr>
            </w:pPr>
            <w:r>
              <w:rPr>
                <w:rFonts w:hint="eastAsia"/>
                <w:bCs/>
                <w:color w:val="000000"/>
                <w:szCs w:val="21"/>
              </w:rPr>
              <w:t>与环评一致</w:t>
            </w:r>
          </w:p>
        </w:tc>
      </w:tr>
      <w:tr w14:paraId="292240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noWrap w:val="0"/>
            <w:vAlign w:val="center"/>
          </w:tcPr>
          <w:p w14:paraId="53C70075">
            <w:pPr>
              <w:adjustRightInd w:val="0"/>
              <w:snapToGrid w:val="0"/>
              <w:jc w:val="center"/>
              <w:rPr>
                <w:bCs/>
                <w:color w:val="auto"/>
                <w:szCs w:val="21"/>
              </w:rPr>
            </w:pPr>
          </w:p>
        </w:tc>
        <w:tc>
          <w:tcPr>
            <w:tcW w:w="1105" w:type="dxa"/>
            <w:noWrap w:val="0"/>
            <w:vAlign w:val="center"/>
          </w:tcPr>
          <w:p w14:paraId="19968914">
            <w:pPr>
              <w:adjustRightInd w:val="0"/>
              <w:snapToGrid w:val="0"/>
              <w:jc w:val="center"/>
              <w:rPr>
                <w:bCs/>
                <w:color w:val="auto"/>
                <w:szCs w:val="21"/>
              </w:rPr>
            </w:pPr>
            <w:r>
              <w:rPr>
                <w:color w:val="auto"/>
                <w:szCs w:val="21"/>
              </w:rPr>
              <w:t>排水</w:t>
            </w:r>
          </w:p>
        </w:tc>
        <w:tc>
          <w:tcPr>
            <w:tcW w:w="2673" w:type="dxa"/>
            <w:noWrap w:val="0"/>
            <w:vAlign w:val="center"/>
          </w:tcPr>
          <w:p w14:paraId="28EEFA40">
            <w:pPr>
              <w:pStyle w:val="127"/>
              <w:jc w:val="both"/>
              <w:rPr>
                <w:color w:val="auto"/>
                <w:sz w:val="21"/>
                <w:szCs w:val="21"/>
              </w:rPr>
            </w:pPr>
            <w:r>
              <w:rPr>
                <w:rFonts w:hint="eastAsia"/>
                <w:color w:val="auto"/>
                <w:sz w:val="21"/>
                <w:szCs w:val="21"/>
              </w:rPr>
              <w:t>厂区</w:t>
            </w:r>
            <w:r>
              <w:rPr>
                <w:color w:val="auto"/>
                <w:sz w:val="21"/>
                <w:szCs w:val="21"/>
              </w:rPr>
              <w:t>雨污分流，雨水进入雨水管网；项目产生的</w:t>
            </w:r>
            <w:r>
              <w:rPr>
                <w:rFonts w:hint="eastAsia"/>
                <w:color w:val="auto"/>
                <w:sz w:val="21"/>
                <w:szCs w:val="21"/>
              </w:rPr>
              <w:t>经厂房周边现有</w:t>
            </w:r>
            <w:r>
              <w:rPr>
                <w:rFonts w:hint="eastAsia"/>
                <w:color w:val="auto"/>
                <w:sz w:val="21"/>
                <w:szCs w:val="21"/>
                <w:lang w:eastAsia="zh-CN"/>
              </w:rPr>
              <w:t>分散式生化池</w:t>
            </w:r>
            <w:r>
              <w:rPr>
                <w:rFonts w:hint="eastAsia"/>
                <w:color w:val="auto"/>
                <w:sz w:val="21"/>
                <w:szCs w:val="21"/>
              </w:rPr>
              <w:t>处理后同纯水制备浓水经园区管网</w:t>
            </w:r>
            <w:r>
              <w:rPr>
                <w:color w:val="auto"/>
                <w:sz w:val="21"/>
                <w:szCs w:val="21"/>
              </w:rPr>
              <w:t>，排至</w:t>
            </w:r>
            <w:r>
              <w:rPr>
                <w:rFonts w:hint="eastAsia"/>
                <w:color w:val="auto"/>
                <w:sz w:val="21"/>
                <w:szCs w:val="21"/>
                <w:lang w:eastAsia="zh-CN"/>
              </w:rPr>
              <w:t>西永污水处理厂</w:t>
            </w:r>
            <w:r>
              <w:rPr>
                <w:color w:val="auto"/>
                <w:sz w:val="21"/>
                <w:szCs w:val="21"/>
              </w:rPr>
              <w:t>处理</w:t>
            </w:r>
            <w:r>
              <w:rPr>
                <w:rFonts w:hint="eastAsia"/>
                <w:color w:val="auto"/>
                <w:sz w:val="21"/>
                <w:szCs w:val="21"/>
              </w:rPr>
              <w:t>达标</w:t>
            </w:r>
            <w:r>
              <w:rPr>
                <w:color w:val="auto"/>
                <w:sz w:val="21"/>
                <w:szCs w:val="21"/>
              </w:rPr>
              <w:t>后排入梁滩河。</w:t>
            </w:r>
          </w:p>
          <w:p w14:paraId="690419CB">
            <w:pPr>
              <w:adjustRightInd w:val="0"/>
              <w:snapToGrid w:val="0"/>
              <w:jc w:val="both"/>
              <w:rPr>
                <w:bCs/>
                <w:color w:val="auto"/>
                <w:szCs w:val="21"/>
              </w:rPr>
            </w:pPr>
            <w:r>
              <w:rPr>
                <w:rFonts w:hint="eastAsia"/>
                <w:color w:val="auto"/>
                <w:sz w:val="21"/>
                <w:szCs w:val="21"/>
              </w:rPr>
              <w:t>生产废水、地面清洁废水、喷淋废水经</w:t>
            </w:r>
            <w:r>
              <w:rPr>
                <w:color w:val="auto"/>
                <w:sz w:val="21"/>
                <w:szCs w:val="21"/>
              </w:rPr>
              <w:t>厂区</w:t>
            </w:r>
            <w:r>
              <w:rPr>
                <w:rFonts w:hint="eastAsia"/>
                <w:color w:val="auto"/>
                <w:sz w:val="21"/>
                <w:szCs w:val="21"/>
                <w:lang w:val="en-US" w:eastAsia="zh-CN"/>
              </w:rPr>
              <w:t>自建</w:t>
            </w:r>
            <w:r>
              <w:rPr>
                <w:rFonts w:hint="eastAsia"/>
                <w:color w:val="auto"/>
                <w:sz w:val="21"/>
                <w:szCs w:val="21"/>
              </w:rPr>
              <w:t>的污水处理站（设计处理能力600</w:t>
            </w:r>
            <w:r>
              <w:rPr>
                <w:rFonts w:hint="eastAsia"/>
                <w:color w:val="auto"/>
                <w:sz w:val="21"/>
                <w:szCs w:val="21"/>
                <w:lang w:eastAsia="zh-CN"/>
              </w:rPr>
              <w:t>m</w:t>
            </w:r>
            <w:r>
              <w:rPr>
                <w:rFonts w:hint="eastAsia"/>
                <w:color w:val="auto"/>
                <w:sz w:val="21"/>
                <w:szCs w:val="21"/>
                <w:vertAlign w:val="superscript"/>
                <w:lang w:val="en-US" w:eastAsia="zh-CN"/>
              </w:rPr>
              <w:t>3</w:t>
            </w:r>
            <w:r>
              <w:rPr>
                <w:rFonts w:hint="eastAsia"/>
                <w:color w:val="auto"/>
                <w:sz w:val="21"/>
                <w:szCs w:val="21"/>
              </w:rPr>
              <w:t>/d）处理达《污水综合排放标准》（GB8978-1996）三级排放</w:t>
            </w:r>
            <w:r>
              <w:rPr>
                <w:color w:val="auto"/>
                <w:sz w:val="21"/>
                <w:szCs w:val="21"/>
              </w:rPr>
              <w:t>标准</w:t>
            </w:r>
            <w:r>
              <w:rPr>
                <w:rFonts w:hint="eastAsia"/>
                <w:color w:val="auto"/>
                <w:sz w:val="21"/>
                <w:szCs w:val="21"/>
              </w:rPr>
              <w:t>后排入园区污水管网进入</w:t>
            </w:r>
            <w:r>
              <w:rPr>
                <w:rFonts w:hint="eastAsia"/>
                <w:color w:val="auto"/>
                <w:sz w:val="21"/>
                <w:szCs w:val="21"/>
                <w:lang w:eastAsia="zh-CN"/>
              </w:rPr>
              <w:t>西永污水处理厂</w:t>
            </w:r>
            <w:r>
              <w:rPr>
                <w:rFonts w:hint="eastAsia"/>
                <w:color w:val="auto"/>
                <w:sz w:val="21"/>
                <w:szCs w:val="21"/>
              </w:rPr>
              <w:t>处理达到《梁滩河流域城镇污水处理厂主要水污染物排放标准》（DB50/963-2020）重点控制区域、《城镇污水处理厂污染物排放标准》（GB18918-2002）一级A标准排入梁滩河。</w:t>
            </w:r>
          </w:p>
        </w:tc>
        <w:tc>
          <w:tcPr>
            <w:tcW w:w="2573" w:type="dxa"/>
            <w:shd w:val="clear" w:color="auto" w:fill="auto"/>
            <w:noWrap w:val="0"/>
            <w:vAlign w:val="center"/>
          </w:tcPr>
          <w:p w14:paraId="352F9292">
            <w:pPr>
              <w:pStyle w:val="127"/>
              <w:jc w:val="left"/>
              <w:rPr>
                <w:color w:val="auto"/>
                <w:sz w:val="21"/>
                <w:szCs w:val="21"/>
                <w:highlight w:val="yellow"/>
              </w:rPr>
            </w:pPr>
            <w:r>
              <w:rPr>
                <w:rFonts w:hint="eastAsia"/>
                <w:color w:val="auto"/>
                <w:sz w:val="21"/>
                <w:szCs w:val="21"/>
                <w:highlight w:val="none"/>
              </w:rPr>
              <w:t>厂区</w:t>
            </w:r>
            <w:r>
              <w:rPr>
                <w:color w:val="auto"/>
                <w:sz w:val="21"/>
                <w:szCs w:val="21"/>
                <w:highlight w:val="none"/>
              </w:rPr>
              <w:t>雨污分流，雨水进入雨水管网；项目产生的</w:t>
            </w:r>
            <w:r>
              <w:rPr>
                <w:rFonts w:hint="eastAsia"/>
                <w:color w:val="auto"/>
                <w:sz w:val="21"/>
                <w:szCs w:val="21"/>
                <w:highlight w:val="none"/>
              </w:rPr>
              <w:t>经厂房周边现有</w:t>
            </w:r>
            <w:r>
              <w:rPr>
                <w:rFonts w:hint="eastAsia"/>
                <w:color w:val="auto"/>
                <w:sz w:val="21"/>
                <w:szCs w:val="21"/>
                <w:highlight w:val="none"/>
                <w:lang w:eastAsia="zh-CN"/>
              </w:rPr>
              <w:t>分散式生化池</w:t>
            </w:r>
            <w:r>
              <w:rPr>
                <w:rFonts w:hint="eastAsia"/>
                <w:color w:val="auto"/>
                <w:sz w:val="21"/>
                <w:szCs w:val="21"/>
                <w:highlight w:val="none"/>
              </w:rPr>
              <w:t>处理后同纯水制备浓水经园区管网</w:t>
            </w:r>
            <w:r>
              <w:rPr>
                <w:color w:val="auto"/>
                <w:sz w:val="21"/>
                <w:szCs w:val="21"/>
                <w:highlight w:val="none"/>
              </w:rPr>
              <w:t>，排至</w:t>
            </w:r>
            <w:r>
              <w:rPr>
                <w:rFonts w:hint="eastAsia"/>
                <w:color w:val="auto"/>
                <w:sz w:val="21"/>
                <w:szCs w:val="21"/>
                <w:highlight w:val="none"/>
                <w:lang w:eastAsia="zh-CN"/>
              </w:rPr>
              <w:t>西永污水处理厂</w:t>
            </w:r>
            <w:r>
              <w:rPr>
                <w:color w:val="auto"/>
                <w:sz w:val="21"/>
                <w:szCs w:val="21"/>
                <w:highlight w:val="none"/>
              </w:rPr>
              <w:t>处理</w:t>
            </w:r>
            <w:r>
              <w:rPr>
                <w:rFonts w:hint="eastAsia"/>
                <w:color w:val="auto"/>
                <w:sz w:val="21"/>
                <w:szCs w:val="21"/>
                <w:highlight w:val="none"/>
              </w:rPr>
              <w:t>达标</w:t>
            </w:r>
            <w:r>
              <w:rPr>
                <w:color w:val="auto"/>
                <w:sz w:val="21"/>
                <w:szCs w:val="21"/>
                <w:highlight w:val="none"/>
              </w:rPr>
              <w:t>后排入梁滩河。</w:t>
            </w:r>
          </w:p>
          <w:p w14:paraId="32769A2D">
            <w:pPr>
              <w:adjustRightInd w:val="0"/>
              <w:snapToGrid w:val="0"/>
              <w:jc w:val="left"/>
              <w:rPr>
                <w:rFonts w:hint="eastAsia" w:ascii="Times New Roman" w:hAnsi="Times New Roman" w:eastAsia="宋体" w:cs="Times New Roman"/>
                <w:bCs/>
                <w:color w:val="auto"/>
                <w:kern w:val="2"/>
                <w:sz w:val="21"/>
                <w:szCs w:val="21"/>
                <w:lang w:val="en-US" w:eastAsia="zh-CN" w:bidi="ar-SA"/>
              </w:rPr>
            </w:pPr>
            <w:r>
              <w:rPr>
                <w:rFonts w:hint="eastAsia"/>
                <w:color w:val="auto"/>
                <w:sz w:val="21"/>
                <w:szCs w:val="21"/>
                <w:highlight w:val="none"/>
              </w:rPr>
              <w:t>生产废水、地面清洁废水、喷淋废水经</w:t>
            </w:r>
            <w:r>
              <w:rPr>
                <w:color w:val="auto"/>
                <w:sz w:val="21"/>
                <w:szCs w:val="21"/>
                <w:highlight w:val="none"/>
              </w:rPr>
              <w:t>厂区</w:t>
            </w:r>
            <w:r>
              <w:rPr>
                <w:rFonts w:hint="eastAsia"/>
                <w:color w:val="auto"/>
                <w:sz w:val="21"/>
                <w:szCs w:val="21"/>
                <w:highlight w:val="none"/>
                <w:lang w:val="en-US" w:eastAsia="zh-CN"/>
              </w:rPr>
              <w:t>自建</w:t>
            </w:r>
            <w:r>
              <w:rPr>
                <w:rFonts w:hint="eastAsia"/>
                <w:color w:val="auto"/>
                <w:sz w:val="21"/>
                <w:szCs w:val="21"/>
                <w:highlight w:val="none"/>
              </w:rPr>
              <w:t>的污水处理站（设计处理能力600</w:t>
            </w:r>
            <w:r>
              <w:rPr>
                <w:rFonts w:hint="eastAsia"/>
                <w:color w:val="auto"/>
                <w:sz w:val="21"/>
                <w:szCs w:val="21"/>
                <w:highlight w:val="none"/>
                <w:lang w:eastAsia="zh-CN"/>
              </w:rPr>
              <w:t>m</w:t>
            </w:r>
            <w:r>
              <w:rPr>
                <w:rFonts w:hint="eastAsia"/>
                <w:color w:val="auto"/>
                <w:sz w:val="21"/>
                <w:szCs w:val="21"/>
                <w:highlight w:val="none"/>
                <w:vertAlign w:val="superscript"/>
                <w:lang w:val="en-US" w:eastAsia="zh-CN"/>
              </w:rPr>
              <w:t>3</w:t>
            </w:r>
            <w:r>
              <w:rPr>
                <w:rFonts w:hint="eastAsia"/>
                <w:color w:val="auto"/>
                <w:sz w:val="21"/>
                <w:szCs w:val="21"/>
                <w:highlight w:val="none"/>
              </w:rPr>
              <w:t>/d）处理达《污水综合排放标准》（GB8978-1996）三级排放</w:t>
            </w:r>
            <w:r>
              <w:rPr>
                <w:color w:val="auto"/>
                <w:sz w:val="21"/>
                <w:szCs w:val="21"/>
                <w:highlight w:val="none"/>
              </w:rPr>
              <w:t>标准</w:t>
            </w:r>
            <w:r>
              <w:rPr>
                <w:rFonts w:hint="eastAsia"/>
                <w:color w:val="auto"/>
                <w:sz w:val="21"/>
                <w:szCs w:val="21"/>
                <w:highlight w:val="none"/>
              </w:rPr>
              <w:t>后排入园区污水管网进入</w:t>
            </w:r>
            <w:r>
              <w:rPr>
                <w:rFonts w:hint="eastAsia"/>
                <w:color w:val="auto"/>
                <w:sz w:val="21"/>
                <w:szCs w:val="21"/>
                <w:highlight w:val="none"/>
                <w:lang w:eastAsia="zh-CN"/>
              </w:rPr>
              <w:t>西永污水处理厂</w:t>
            </w:r>
            <w:r>
              <w:rPr>
                <w:rFonts w:hint="eastAsia"/>
                <w:color w:val="auto"/>
                <w:sz w:val="21"/>
                <w:szCs w:val="21"/>
                <w:highlight w:val="none"/>
              </w:rPr>
              <w:t>处理达到《梁滩河流域城镇污水处理厂主要水污染物排放标准》（DB50/963-2020）重点控制区域、《城镇污水处理厂污染物排放标准》（GB18918-2002）一级A标准排入梁滩河。</w:t>
            </w:r>
          </w:p>
        </w:tc>
        <w:tc>
          <w:tcPr>
            <w:tcW w:w="1120" w:type="dxa"/>
            <w:shd w:val="clear" w:color="auto" w:fill="auto"/>
            <w:noWrap w:val="0"/>
            <w:vAlign w:val="center"/>
          </w:tcPr>
          <w:p w14:paraId="40B9ED2C">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rPr>
              <w:t>依托</w:t>
            </w:r>
          </w:p>
        </w:tc>
        <w:tc>
          <w:tcPr>
            <w:tcW w:w="1063" w:type="dxa"/>
            <w:noWrap w:val="0"/>
            <w:vAlign w:val="center"/>
          </w:tcPr>
          <w:p w14:paraId="19096864">
            <w:pPr>
              <w:adjustRightInd w:val="0"/>
              <w:snapToGrid w:val="0"/>
              <w:jc w:val="center"/>
              <w:rPr>
                <w:bCs/>
                <w:color w:val="auto"/>
                <w:szCs w:val="21"/>
              </w:rPr>
            </w:pPr>
            <w:r>
              <w:rPr>
                <w:rFonts w:hint="eastAsia"/>
                <w:bCs/>
                <w:color w:val="000000"/>
                <w:szCs w:val="21"/>
              </w:rPr>
              <w:t>与环评一致</w:t>
            </w:r>
          </w:p>
        </w:tc>
      </w:tr>
      <w:tr w14:paraId="65844C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noWrap w:val="0"/>
            <w:vAlign w:val="center"/>
          </w:tcPr>
          <w:p w14:paraId="5738CA1E">
            <w:pPr>
              <w:adjustRightInd w:val="0"/>
              <w:snapToGrid w:val="0"/>
              <w:jc w:val="center"/>
              <w:rPr>
                <w:bCs/>
                <w:color w:val="auto"/>
                <w:szCs w:val="21"/>
              </w:rPr>
            </w:pPr>
          </w:p>
        </w:tc>
        <w:tc>
          <w:tcPr>
            <w:tcW w:w="1105" w:type="dxa"/>
            <w:noWrap w:val="0"/>
            <w:vAlign w:val="center"/>
          </w:tcPr>
          <w:p w14:paraId="6C00B2AF">
            <w:pPr>
              <w:adjustRightInd w:val="0"/>
              <w:snapToGrid w:val="0"/>
              <w:jc w:val="center"/>
              <w:rPr>
                <w:bCs/>
                <w:color w:val="auto"/>
                <w:kern w:val="2"/>
                <w:sz w:val="21"/>
                <w:szCs w:val="21"/>
                <w:lang w:val="en-US" w:eastAsia="zh-CN" w:bidi="ar-SA"/>
              </w:rPr>
            </w:pPr>
            <w:r>
              <w:rPr>
                <w:rFonts w:hint="eastAsia"/>
                <w:color w:val="auto"/>
                <w:szCs w:val="21"/>
              </w:rPr>
              <w:t>纯水制备</w:t>
            </w:r>
          </w:p>
        </w:tc>
        <w:tc>
          <w:tcPr>
            <w:tcW w:w="2673" w:type="dxa"/>
            <w:noWrap w:val="0"/>
            <w:vAlign w:val="center"/>
          </w:tcPr>
          <w:p w14:paraId="2DDC084A">
            <w:pPr>
              <w:adjustRightInd w:val="0"/>
              <w:snapToGrid w:val="0"/>
              <w:jc w:val="left"/>
              <w:rPr>
                <w:rFonts w:hint="eastAsia" w:eastAsia="宋体"/>
                <w:bCs/>
                <w:color w:val="auto"/>
                <w:kern w:val="2"/>
                <w:sz w:val="21"/>
                <w:szCs w:val="21"/>
                <w:lang w:val="en-US" w:eastAsia="zh-CN" w:bidi="ar-SA"/>
              </w:rPr>
            </w:pPr>
            <w:r>
              <w:rPr>
                <w:rFonts w:hint="eastAsia"/>
                <w:bCs/>
                <w:color w:val="auto"/>
                <w:szCs w:val="21"/>
                <w:lang w:val="en-US" w:eastAsia="zh-CN"/>
              </w:rPr>
              <w:t>项目纯水制备依托原有项目已建的</w:t>
            </w:r>
            <w:r>
              <w:rPr>
                <w:color w:val="auto"/>
                <w:sz w:val="21"/>
                <w:szCs w:val="21"/>
              </w:rPr>
              <w:t>供水能力为</w:t>
            </w:r>
            <w:r>
              <w:rPr>
                <w:rFonts w:hint="eastAsia"/>
                <w:color w:val="auto"/>
                <w:sz w:val="21"/>
                <w:szCs w:val="21"/>
                <w:lang w:val="en-US" w:eastAsia="zh-CN"/>
              </w:rPr>
              <w:t>7</w:t>
            </w:r>
            <w:r>
              <w:rPr>
                <w:rFonts w:hint="eastAsia"/>
                <w:color w:val="auto"/>
                <w:sz w:val="21"/>
                <w:szCs w:val="21"/>
              </w:rPr>
              <w:t>0</w:t>
            </w:r>
            <w:r>
              <w:rPr>
                <w:color w:val="auto"/>
                <w:sz w:val="21"/>
                <w:szCs w:val="21"/>
              </w:rPr>
              <w:t>t/h设备1套</w:t>
            </w:r>
            <w:r>
              <w:rPr>
                <w:rFonts w:hint="eastAsia"/>
                <w:color w:val="auto"/>
                <w:sz w:val="21"/>
                <w:szCs w:val="21"/>
                <w:lang w:eastAsia="zh-CN"/>
              </w:rPr>
              <w:t>。</w:t>
            </w:r>
          </w:p>
        </w:tc>
        <w:tc>
          <w:tcPr>
            <w:tcW w:w="2573" w:type="dxa"/>
            <w:noWrap w:val="0"/>
            <w:vAlign w:val="center"/>
          </w:tcPr>
          <w:p w14:paraId="75E9BA6B">
            <w:pPr>
              <w:adjustRightInd w:val="0"/>
              <w:snapToGrid w:val="0"/>
              <w:jc w:val="left"/>
              <w:rPr>
                <w:rFonts w:hint="eastAsia" w:eastAsia="宋体"/>
                <w:bCs/>
                <w:color w:val="auto"/>
                <w:szCs w:val="21"/>
                <w:lang w:val="en-US" w:eastAsia="zh-CN"/>
              </w:rPr>
            </w:pPr>
            <w:r>
              <w:rPr>
                <w:rFonts w:hint="eastAsia"/>
                <w:bCs/>
                <w:color w:val="auto"/>
                <w:szCs w:val="21"/>
                <w:lang w:val="en-US" w:eastAsia="zh-CN"/>
              </w:rPr>
              <w:t>项目纯水制备依托原有项目已建的</w:t>
            </w:r>
            <w:r>
              <w:rPr>
                <w:color w:val="auto"/>
                <w:sz w:val="21"/>
                <w:szCs w:val="21"/>
              </w:rPr>
              <w:t>供水能力为</w:t>
            </w:r>
            <w:r>
              <w:rPr>
                <w:rFonts w:hint="eastAsia"/>
                <w:color w:val="auto"/>
                <w:sz w:val="21"/>
                <w:szCs w:val="21"/>
                <w:lang w:val="en-US" w:eastAsia="zh-CN"/>
              </w:rPr>
              <w:t>7</w:t>
            </w:r>
            <w:r>
              <w:rPr>
                <w:rFonts w:hint="eastAsia"/>
                <w:color w:val="auto"/>
                <w:sz w:val="21"/>
                <w:szCs w:val="21"/>
              </w:rPr>
              <w:t>0</w:t>
            </w:r>
            <w:r>
              <w:rPr>
                <w:color w:val="auto"/>
                <w:sz w:val="21"/>
                <w:szCs w:val="21"/>
              </w:rPr>
              <w:t>t/h设备1套</w:t>
            </w:r>
            <w:r>
              <w:rPr>
                <w:rFonts w:hint="eastAsia"/>
                <w:color w:val="auto"/>
                <w:sz w:val="21"/>
                <w:szCs w:val="21"/>
                <w:lang w:eastAsia="zh-CN"/>
              </w:rPr>
              <w:t>。</w:t>
            </w:r>
          </w:p>
        </w:tc>
        <w:tc>
          <w:tcPr>
            <w:tcW w:w="1120" w:type="dxa"/>
            <w:shd w:val="clear" w:color="auto" w:fill="auto"/>
            <w:noWrap w:val="0"/>
            <w:vAlign w:val="center"/>
          </w:tcPr>
          <w:p w14:paraId="6C90DDB7">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依托</w:t>
            </w:r>
          </w:p>
        </w:tc>
        <w:tc>
          <w:tcPr>
            <w:tcW w:w="1063" w:type="dxa"/>
            <w:noWrap w:val="0"/>
            <w:vAlign w:val="center"/>
          </w:tcPr>
          <w:p w14:paraId="53FB7E4E">
            <w:pPr>
              <w:adjustRightInd w:val="0"/>
              <w:snapToGrid w:val="0"/>
              <w:jc w:val="center"/>
              <w:rPr>
                <w:rFonts w:hint="eastAsia" w:eastAsia="宋体"/>
                <w:bCs/>
                <w:color w:val="auto"/>
                <w:kern w:val="2"/>
                <w:sz w:val="21"/>
                <w:szCs w:val="21"/>
                <w:lang w:val="en-US" w:eastAsia="zh-CN" w:bidi="ar-SA"/>
              </w:rPr>
            </w:pPr>
            <w:r>
              <w:rPr>
                <w:rFonts w:hint="eastAsia"/>
                <w:bCs/>
                <w:color w:val="000000"/>
                <w:szCs w:val="21"/>
              </w:rPr>
              <w:t>与环评一致</w:t>
            </w:r>
          </w:p>
        </w:tc>
      </w:tr>
      <w:tr w14:paraId="778D25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noWrap w:val="0"/>
            <w:vAlign w:val="center"/>
          </w:tcPr>
          <w:p w14:paraId="50B164A8">
            <w:pPr>
              <w:adjustRightInd w:val="0"/>
              <w:snapToGrid w:val="0"/>
              <w:jc w:val="center"/>
              <w:rPr>
                <w:bCs/>
                <w:color w:val="auto"/>
                <w:szCs w:val="21"/>
              </w:rPr>
            </w:pPr>
          </w:p>
        </w:tc>
        <w:tc>
          <w:tcPr>
            <w:tcW w:w="1105" w:type="dxa"/>
            <w:noWrap w:val="0"/>
            <w:vAlign w:val="center"/>
          </w:tcPr>
          <w:p w14:paraId="5B80E08C">
            <w:pPr>
              <w:pStyle w:val="127"/>
              <w:rPr>
                <w:color w:val="auto"/>
                <w:szCs w:val="21"/>
              </w:rPr>
            </w:pPr>
            <w:r>
              <w:rPr>
                <w:color w:val="auto"/>
                <w:sz w:val="21"/>
                <w:szCs w:val="21"/>
              </w:rPr>
              <w:t>空压站</w:t>
            </w:r>
          </w:p>
        </w:tc>
        <w:tc>
          <w:tcPr>
            <w:tcW w:w="2673" w:type="dxa"/>
            <w:noWrap w:val="0"/>
            <w:vAlign w:val="center"/>
          </w:tcPr>
          <w:p w14:paraId="310EA5F7">
            <w:pPr>
              <w:pStyle w:val="127"/>
              <w:jc w:val="both"/>
              <w:rPr>
                <w:rFonts w:hint="eastAsia"/>
                <w:color w:val="auto"/>
              </w:rPr>
            </w:pPr>
            <w:r>
              <w:rPr>
                <w:rFonts w:hint="eastAsia"/>
                <w:color w:val="auto"/>
                <w:sz w:val="21"/>
                <w:szCs w:val="21"/>
                <w:lang w:eastAsia="zh-CN"/>
              </w:rPr>
              <w:t>扩建项目</w:t>
            </w:r>
            <w:r>
              <w:rPr>
                <w:color w:val="auto"/>
                <w:sz w:val="21"/>
                <w:szCs w:val="21"/>
              </w:rPr>
              <w:t>空压机利用厂区现有动力站（B21号楼动力站）原有空压机及全套后处理设备，压缩空气通过管道输送至用气点。</w:t>
            </w:r>
          </w:p>
        </w:tc>
        <w:tc>
          <w:tcPr>
            <w:tcW w:w="2573" w:type="dxa"/>
            <w:noWrap w:val="0"/>
            <w:vAlign w:val="center"/>
          </w:tcPr>
          <w:p w14:paraId="644462F8">
            <w:pPr>
              <w:pStyle w:val="127"/>
              <w:jc w:val="left"/>
              <w:rPr>
                <w:rFonts w:hint="eastAsia"/>
                <w:color w:val="auto"/>
                <w:sz w:val="21"/>
                <w:szCs w:val="21"/>
              </w:rPr>
            </w:pPr>
            <w:r>
              <w:rPr>
                <w:rFonts w:hint="eastAsia"/>
                <w:color w:val="auto"/>
                <w:sz w:val="21"/>
                <w:szCs w:val="21"/>
                <w:lang w:eastAsia="zh-CN"/>
              </w:rPr>
              <w:t>项目</w:t>
            </w:r>
            <w:r>
              <w:rPr>
                <w:color w:val="auto"/>
                <w:sz w:val="21"/>
                <w:szCs w:val="21"/>
              </w:rPr>
              <w:t>空压机利用厂区现有动力站（B21号楼动力站）原有空压机及全套后处理设备，压缩空气通过管道输送至用气点。</w:t>
            </w:r>
          </w:p>
        </w:tc>
        <w:tc>
          <w:tcPr>
            <w:tcW w:w="1120" w:type="dxa"/>
            <w:shd w:val="clear" w:color="auto" w:fill="auto"/>
            <w:noWrap w:val="0"/>
            <w:vAlign w:val="center"/>
          </w:tcPr>
          <w:p w14:paraId="035F1DEC">
            <w:pPr>
              <w:pStyle w:val="127"/>
              <w:rPr>
                <w:rFonts w:hint="eastAsia" w:ascii="Times New Roman" w:hAnsi="Times New Roman" w:eastAsia="宋体" w:cs="Times New Roman"/>
                <w:bCs w:val="0"/>
                <w:color w:val="auto"/>
                <w:kern w:val="22"/>
                <w:sz w:val="22"/>
                <w:szCs w:val="21"/>
                <w:lang w:val="en-US" w:eastAsia="zh-CN" w:bidi="ar-SA"/>
              </w:rPr>
            </w:pPr>
            <w:r>
              <w:rPr>
                <w:rFonts w:hint="eastAsia"/>
                <w:color w:val="auto"/>
                <w:sz w:val="21"/>
                <w:szCs w:val="21"/>
              </w:rPr>
              <w:t>依托</w:t>
            </w:r>
          </w:p>
        </w:tc>
        <w:tc>
          <w:tcPr>
            <w:tcW w:w="1063" w:type="dxa"/>
            <w:noWrap w:val="0"/>
            <w:vAlign w:val="center"/>
          </w:tcPr>
          <w:p w14:paraId="65CAC50C">
            <w:pPr>
              <w:jc w:val="center"/>
              <w:rPr>
                <w:rFonts w:hint="eastAsia"/>
                <w:bCs w:val="0"/>
                <w:color w:val="auto"/>
                <w:szCs w:val="21"/>
              </w:rPr>
            </w:pPr>
            <w:r>
              <w:rPr>
                <w:rFonts w:hint="eastAsia"/>
                <w:bCs/>
                <w:color w:val="000000"/>
                <w:szCs w:val="21"/>
              </w:rPr>
              <w:t>与环评一致</w:t>
            </w:r>
          </w:p>
        </w:tc>
      </w:tr>
      <w:tr w14:paraId="3A652D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restart"/>
            <w:noWrap w:val="0"/>
            <w:vAlign w:val="center"/>
          </w:tcPr>
          <w:p w14:paraId="42E7E747">
            <w:pPr>
              <w:adjustRightInd w:val="0"/>
              <w:snapToGrid w:val="0"/>
              <w:jc w:val="center"/>
              <w:rPr>
                <w:bCs/>
                <w:color w:val="auto"/>
                <w:szCs w:val="21"/>
              </w:rPr>
            </w:pPr>
            <w:r>
              <w:rPr>
                <w:bCs/>
                <w:color w:val="auto"/>
                <w:szCs w:val="21"/>
              </w:rPr>
              <w:t>储运工程</w:t>
            </w:r>
          </w:p>
        </w:tc>
        <w:tc>
          <w:tcPr>
            <w:tcW w:w="1105" w:type="dxa"/>
            <w:noWrap w:val="0"/>
            <w:vAlign w:val="center"/>
          </w:tcPr>
          <w:p w14:paraId="6AE53C32">
            <w:pPr>
              <w:jc w:val="center"/>
              <w:rPr>
                <w:rFonts w:hint="default" w:eastAsia="宋体"/>
                <w:bCs/>
                <w:color w:val="auto"/>
                <w:szCs w:val="21"/>
                <w:lang w:val="en-US" w:eastAsia="zh-CN"/>
              </w:rPr>
            </w:pPr>
            <w:r>
              <w:rPr>
                <w:rFonts w:hint="eastAsia"/>
                <w:color w:val="auto"/>
                <w:szCs w:val="21"/>
                <w:lang w:val="en-US" w:eastAsia="zh-CN"/>
              </w:rPr>
              <w:t>1#化学品库</w:t>
            </w:r>
          </w:p>
        </w:tc>
        <w:tc>
          <w:tcPr>
            <w:tcW w:w="2673" w:type="dxa"/>
            <w:noWrap w:val="0"/>
            <w:vAlign w:val="center"/>
          </w:tcPr>
          <w:p w14:paraId="51C77FAA">
            <w:pPr>
              <w:jc w:val="both"/>
              <w:rPr>
                <w:bCs/>
                <w:color w:val="auto"/>
                <w:szCs w:val="21"/>
              </w:rPr>
            </w:pPr>
            <w:r>
              <w:rPr>
                <w:rFonts w:hint="eastAsia"/>
                <w:color w:val="auto"/>
                <w:sz w:val="21"/>
                <w:szCs w:val="21"/>
              </w:rPr>
              <w:t>位于</w:t>
            </w:r>
            <w:r>
              <w:rPr>
                <w:color w:val="auto"/>
                <w:sz w:val="21"/>
                <w:szCs w:val="21"/>
              </w:rPr>
              <w:t>B02厂房</w:t>
            </w:r>
            <w:r>
              <w:rPr>
                <w:rFonts w:hint="eastAsia"/>
                <w:color w:val="auto"/>
                <w:sz w:val="21"/>
                <w:szCs w:val="21"/>
              </w:rPr>
              <w:t>1F东侧，面积约</w:t>
            </w:r>
            <w:r>
              <w:rPr>
                <w:rFonts w:hint="eastAsia"/>
                <w:color w:val="auto"/>
                <w:sz w:val="21"/>
                <w:szCs w:val="21"/>
                <w:lang w:val="en-US" w:eastAsia="zh-CN"/>
              </w:rPr>
              <w:t>800</w:t>
            </w:r>
            <w:r>
              <w:rPr>
                <w:rFonts w:hint="eastAsia"/>
                <w:color w:val="auto"/>
                <w:szCs w:val="21"/>
                <w:lang w:val="en-US" w:eastAsia="zh-CN"/>
              </w:rPr>
              <w:t>m</w:t>
            </w:r>
            <w:r>
              <w:rPr>
                <w:rFonts w:hint="eastAsia"/>
                <w:color w:val="auto"/>
                <w:szCs w:val="21"/>
                <w:vertAlign w:val="superscript"/>
                <w:lang w:val="en-US" w:eastAsia="zh-CN"/>
              </w:rPr>
              <w:t>2</w:t>
            </w:r>
            <w:r>
              <w:rPr>
                <w:rFonts w:hint="eastAsia"/>
                <w:color w:val="auto"/>
                <w:sz w:val="21"/>
                <w:szCs w:val="21"/>
              </w:rPr>
              <w:t>，</w:t>
            </w:r>
            <w:r>
              <w:rPr>
                <w:color w:val="auto"/>
                <w:sz w:val="21"/>
                <w:szCs w:val="21"/>
              </w:rPr>
              <w:t>主要储存</w:t>
            </w:r>
            <w:r>
              <w:rPr>
                <w:rFonts w:hint="eastAsia"/>
                <w:color w:val="auto"/>
                <w:sz w:val="21"/>
                <w:szCs w:val="21"/>
              </w:rPr>
              <w:t>清洗剂、脱墨剂、抛光剂</w:t>
            </w:r>
            <w:r>
              <w:rPr>
                <w:rFonts w:hint="eastAsia"/>
                <w:color w:val="auto"/>
                <w:sz w:val="21"/>
                <w:szCs w:val="21"/>
                <w:lang w:eastAsia="zh-CN"/>
              </w:rPr>
              <w:t>、</w:t>
            </w:r>
            <w:r>
              <w:rPr>
                <w:rFonts w:hint="eastAsia"/>
                <w:color w:val="auto"/>
                <w:sz w:val="21"/>
                <w:szCs w:val="21"/>
              </w:rPr>
              <w:t>清洗剂、</w:t>
            </w:r>
            <w:r>
              <w:rPr>
                <w:rFonts w:hint="eastAsia"/>
                <w:color w:val="auto"/>
                <w:sz w:val="21"/>
                <w:szCs w:val="21"/>
                <w:lang w:val="en-US" w:eastAsia="zh-CN"/>
              </w:rPr>
              <w:t>耐酸保护油、光刻胶、显影液、蒙砂液等化学品。其中蒙砂液采用整体制冷控制0-10摄氏度，制冷剂采用R600a，不使用氟利昂。</w:t>
            </w:r>
          </w:p>
        </w:tc>
        <w:tc>
          <w:tcPr>
            <w:tcW w:w="2573" w:type="dxa"/>
            <w:noWrap w:val="0"/>
            <w:vAlign w:val="center"/>
          </w:tcPr>
          <w:p w14:paraId="77344B75">
            <w:pPr>
              <w:adjustRightInd w:val="0"/>
              <w:snapToGrid w:val="0"/>
              <w:jc w:val="left"/>
              <w:rPr>
                <w:rFonts w:hint="eastAsia"/>
                <w:bCs/>
                <w:color w:val="auto"/>
                <w:szCs w:val="21"/>
                <w:lang w:val="en-US" w:eastAsia="zh-CN"/>
              </w:rPr>
            </w:pPr>
            <w:r>
              <w:rPr>
                <w:rFonts w:hint="eastAsia"/>
                <w:color w:val="auto"/>
                <w:sz w:val="21"/>
                <w:szCs w:val="21"/>
              </w:rPr>
              <w:t>位于</w:t>
            </w:r>
            <w:r>
              <w:rPr>
                <w:color w:val="auto"/>
                <w:sz w:val="21"/>
                <w:szCs w:val="21"/>
              </w:rPr>
              <w:t>B02厂房</w:t>
            </w:r>
            <w:r>
              <w:rPr>
                <w:rFonts w:hint="eastAsia"/>
                <w:color w:val="auto"/>
                <w:sz w:val="21"/>
                <w:szCs w:val="21"/>
              </w:rPr>
              <w:t>1F东侧，面积约</w:t>
            </w:r>
            <w:r>
              <w:rPr>
                <w:rFonts w:hint="eastAsia"/>
                <w:color w:val="auto"/>
                <w:sz w:val="21"/>
                <w:szCs w:val="21"/>
                <w:lang w:val="en-US" w:eastAsia="zh-CN"/>
              </w:rPr>
              <w:t>800</w:t>
            </w:r>
            <w:r>
              <w:rPr>
                <w:rFonts w:hint="eastAsia"/>
                <w:color w:val="auto"/>
                <w:szCs w:val="21"/>
                <w:lang w:val="en-US" w:eastAsia="zh-CN"/>
              </w:rPr>
              <w:t>m</w:t>
            </w:r>
            <w:r>
              <w:rPr>
                <w:rFonts w:hint="eastAsia"/>
                <w:color w:val="auto"/>
                <w:szCs w:val="21"/>
                <w:vertAlign w:val="superscript"/>
                <w:lang w:val="en-US" w:eastAsia="zh-CN"/>
              </w:rPr>
              <w:t>2</w:t>
            </w:r>
            <w:r>
              <w:rPr>
                <w:rFonts w:hint="eastAsia"/>
                <w:color w:val="auto"/>
                <w:sz w:val="21"/>
                <w:szCs w:val="21"/>
              </w:rPr>
              <w:t>，</w:t>
            </w:r>
            <w:r>
              <w:rPr>
                <w:color w:val="auto"/>
                <w:sz w:val="21"/>
                <w:szCs w:val="21"/>
              </w:rPr>
              <w:t>主要储存</w:t>
            </w:r>
            <w:r>
              <w:rPr>
                <w:rFonts w:hint="eastAsia"/>
                <w:color w:val="auto"/>
                <w:sz w:val="21"/>
                <w:szCs w:val="21"/>
              </w:rPr>
              <w:t>清洗剂、脱墨剂、抛光剂</w:t>
            </w:r>
            <w:r>
              <w:rPr>
                <w:rFonts w:hint="eastAsia"/>
                <w:color w:val="auto"/>
                <w:sz w:val="21"/>
                <w:szCs w:val="21"/>
                <w:lang w:eastAsia="zh-CN"/>
              </w:rPr>
              <w:t>、</w:t>
            </w:r>
            <w:r>
              <w:rPr>
                <w:rFonts w:hint="eastAsia"/>
                <w:color w:val="auto"/>
                <w:sz w:val="21"/>
                <w:szCs w:val="21"/>
              </w:rPr>
              <w:t>清洗剂、</w:t>
            </w:r>
            <w:r>
              <w:rPr>
                <w:rFonts w:hint="eastAsia"/>
                <w:color w:val="auto"/>
                <w:sz w:val="21"/>
                <w:szCs w:val="21"/>
                <w:lang w:val="en-US" w:eastAsia="zh-CN"/>
              </w:rPr>
              <w:t>耐酸保护油、光刻胶、显影液、蒙砂液等化学品。其中蒙砂液采用整体制冷控制0-10摄氏度，制冷剂采用R600a，不使用氟利昂。</w:t>
            </w:r>
          </w:p>
        </w:tc>
        <w:tc>
          <w:tcPr>
            <w:tcW w:w="1120" w:type="dxa"/>
            <w:shd w:val="clear" w:color="auto" w:fill="auto"/>
            <w:noWrap w:val="0"/>
            <w:vAlign w:val="center"/>
          </w:tcPr>
          <w:p w14:paraId="644A8752">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依托</w:t>
            </w:r>
          </w:p>
        </w:tc>
        <w:tc>
          <w:tcPr>
            <w:tcW w:w="1063" w:type="dxa"/>
            <w:noWrap w:val="0"/>
            <w:vAlign w:val="center"/>
          </w:tcPr>
          <w:p w14:paraId="226F6767">
            <w:pPr>
              <w:adjustRightInd w:val="0"/>
              <w:snapToGrid w:val="0"/>
              <w:jc w:val="center"/>
              <w:rPr>
                <w:rFonts w:hint="eastAsia" w:eastAsia="宋体"/>
                <w:bCs/>
                <w:color w:val="auto"/>
                <w:szCs w:val="21"/>
                <w:lang w:eastAsia="zh-CN"/>
              </w:rPr>
            </w:pPr>
            <w:r>
              <w:rPr>
                <w:rFonts w:hint="eastAsia"/>
                <w:bCs/>
                <w:color w:val="000000"/>
                <w:szCs w:val="21"/>
              </w:rPr>
              <w:t>与环评一致</w:t>
            </w:r>
          </w:p>
        </w:tc>
      </w:tr>
      <w:tr w14:paraId="3A257A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noWrap w:val="0"/>
            <w:vAlign w:val="center"/>
          </w:tcPr>
          <w:p w14:paraId="37E26D1B">
            <w:pPr>
              <w:adjustRightInd w:val="0"/>
              <w:snapToGrid w:val="0"/>
              <w:jc w:val="center"/>
              <w:rPr>
                <w:bCs/>
                <w:color w:val="auto"/>
                <w:szCs w:val="21"/>
              </w:rPr>
            </w:pPr>
          </w:p>
        </w:tc>
        <w:tc>
          <w:tcPr>
            <w:tcW w:w="1105" w:type="dxa"/>
            <w:noWrap w:val="0"/>
            <w:vAlign w:val="center"/>
          </w:tcPr>
          <w:p w14:paraId="0D8CD2F7">
            <w:pPr>
              <w:jc w:val="center"/>
              <w:rPr>
                <w:rFonts w:hint="eastAsia"/>
                <w:bCs/>
                <w:color w:val="auto"/>
                <w:kern w:val="2"/>
                <w:sz w:val="21"/>
                <w:szCs w:val="21"/>
                <w:lang w:val="en-US" w:eastAsia="zh-CN" w:bidi="ar-SA"/>
              </w:rPr>
            </w:pPr>
            <w:r>
              <w:rPr>
                <w:bCs/>
                <w:color w:val="auto"/>
                <w:kern w:val="0"/>
                <w:sz w:val="21"/>
                <w:szCs w:val="21"/>
              </w:rPr>
              <w:t>2#</w:t>
            </w:r>
            <w:r>
              <w:rPr>
                <w:rFonts w:hint="eastAsia"/>
                <w:bCs/>
                <w:color w:val="auto"/>
                <w:kern w:val="0"/>
                <w:sz w:val="21"/>
                <w:szCs w:val="21"/>
              </w:rPr>
              <w:t>化学品仓库</w:t>
            </w:r>
          </w:p>
        </w:tc>
        <w:tc>
          <w:tcPr>
            <w:tcW w:w="2673" w:type="dxa"/>
            <w:noWrap w:val="0"/>
            <w:vAlign w:val="center"/>
          </w:tcPr>
          <w:p w14:paraId="72600EE3">
            <w:pPr>
              <w:widowControl/>
              <w:jc w:val="both"/>
              <w:rPr>
                <w:rFonts w:hint="eastAsia"/>
                <w:bCs/>
                <w:color w:val="auto"/>
                <w:kern w:val="2"/>
                <w:sz w:val="21"/>
                <w:szCs w:val="21"/>
                <w:lang w:val="en-US" w:eastAsia="zh-CN" w:bidi="ar-SA"/>
              </w:rPr>
            </w:pPr>
            <w:r>
              <w:rPr>
                <w:rFonts w:hint="eastAsia" w:cs="宋体"/>
                <w:bCs/>
                <w:color w:val="auto"/>
                <w:kern w:val="0"/>
                <w:sz w:val="21"/>
                <w:szCs w:val="21"/>
              </w:rPr>
              <w:t>位于B04b厂房，建筑面积约700</w:t>
            </w:r>
            <w:r>
              <w:rPr>
                <w:rFonts w:hint="eastAsia"/>
                <w:color w:val="auto"/>
                <w:szCs w:val="21"/>
                <w:lang w:val="en-US" w:eastAsia="zh-CN"/>
              </w:rPr>
              <w:t>m</w:t>
            </w:r>
            <w:r>
              <w:rPr>
                <w:rFonts w:hint="eastAsia"/>
                <w:color w:val="auto"/>
                <w:szCs w:val="21"/>
                <w:vertAlign w:val="superscript"/>
                <w:lang w:val="en-US" w:eastAsia="zh-CN"/>
              </w:rPr>
              <w:t>2</w:t>
            </w:r>
            <w:r>
              <w:rPr>
                <w:rFonts w:hint="eastAsia" w:cs="宋体"/>
                <w:bCs/>
                <w:color w:val="auto"/>
                <w:kern w:val="0"/>
                <w:sz w:val="21"/>
                <w:szCs w:val="21"/>
              </w:rPr>
              <w:t>，主要储存</w:t>
            </w:r>
            <w:r>
              <w:rPr>
                <w:rFonts w:hint="eastAsia"/>
                <w:color w:val="auto"/>
                <w:szCs w:val="21"/>
                <w:lang w:val="en-US" w:eastAsia="zh-CN"/>
              </w:rPr>
              <w:t>氢氧化钠、</w:t>
            </w:r>
            <w:r>
              <w:rPr>
                <w:rFonts w:hint="eastAsia" w:cs="宋体"/>
                <w:bCs/>
                <w:color w:val="auto"/>
                <w:kern w:val="0"/>
                <w:sz w:val="21"/>
                <w:szCs w:val="21"/>
              </w:rPr>
              <w:t>油墨、</w:t>
            </w:r>
            <w:r>
              <w:rPr>
                <w:rFonts w:hint="eastAsia"/>
                <w:color w:val="auto"/>
                <w:szCs w:val="21"/>
                <w:lang w:val="en-US" w:eastAsia="zh-CN"/>
              </w:rPr>
              <w:t>环保专用胶（反应型聚氨酯热熔胶）</w:t>
            </w:r>
            <w:r>
              <w:rPr>
                <w:rFonts w:hint="eastAsia" w:cs="宋体"/>
                <w:bCs/>
                <w:color w:val="auto"/>
                <w:kern w:val="0"/>
                <w:sz w:val="21"/>
                <w:szCs w:val="21"/>
              </w:rPr>
              <w:t>等化学品。</w:t>
            </w:r>
          </w:p>
        </w:tc>
        <w:tc>
          <w:tcPr>
            <w:tcW w:w="2573" w:type="dxa"/>
            <w:shd w:val="clear" w:color="auto" w:fill="auto"/>
            <w:noWrap w:val="0"/>
            <w:vAlign w:val="center"/>
          </w:tcPr>
          <w:p w14:paraId="6AE8BC89">
            <w:pPr>
              <w:widowControl/>
              <w:jc w:val="left"/>
              <w:rPr>
                <w:rFonts w:hint="eastAsia" w:ascii="Times New Roman" w:hAnsi="Times New Roman" w:eastAsia="宋体" w:cs="Times New Roman"/>
                <w:bCs/>
                <w:color w:val="auto"/>
                <w:kern w:val="2"/>
                <w:sz w:val="21"/>
                <w:szCs w:val="21"/>
                <w:lang w:val="en-US" w:eastAsia="zh-CN" w:bidi="ar-SA"/>
              </w:rPr>
            </w:pPr>
            <w:r>
              <w:rPr>
                <w:rFonts w:hint="eastAsia" w:cs="宋体"/>
                <w:bCs/>
                <w:color w:val="auto"/>
                <w:kern w:val="0"/>
                <w:sz w:val="21"/>
                <w:szCs w:val="21"/>
              </w:rPr>
              <w:t>位于B04b厂房，建筑面积约700</w:t>
            </w:r>
            <w:r>
              <w:rPr>
                <w:rFonts w:hint="eastAsia"/>
                <w:color w:val="auto"/>
                <w:szCs w:val="21"/>
                <w:lang w:val="en-US" w:eastAsia="zh-CN"/>
              </w:rPr>
              <w:t>m</w:t>
            </w:r>
            <w:r>
              <w:rPr>
                <w:rFonts w:hint="eastAsia"/>
                <w:color w:val="auto"/>
                <w:szCs w:val="21"/>
                <w:vertAlign w:val="superscript"/>
                <w:lang w:val="en-US" w:eastAsia="zh-CN"/>
              </w:rPr>
              <w:t>2</w:t>
            </w:r>
            <w:r>
              <w:rPr>
                <w:rFonts w:hint="eastAsia" w:cs="宋体"/>
                <w:bCs/>
                <w:color w:val="auto"/>
                <w:kern w:val="0"/>
                <w:sz w:val="21"/>
                <w:szCs w:val="21"/>
              </w:rPr>
              <w:t>，主要储存</w:t>
            </w:r>
            <w:r>
              <w:rPr>
                <w:rFonts w:hint="eastAsia"/>
                <w:color w:val="auto"/>
                <w:szCs w:val="21"/>
                <w:lang w:val="en-US" w:eastAsia="zh-CN"/>
              </w:rPr>
              <w:t>氢氧化钠、</w:t>
            </w:r>
            <w:r>
              <w:rPr>
                <w:rFonts w:hint="eastAsia" w:cs="宋体"/>
                <w:bCs/>
                <w:color w:val="auto"/>
                <w:kern w:val="0"/>
                <w:sz w:val="21"/>
                <w:szCs w:val="21"/>
              </w:rPr>
              <w:t>油墨、</w:t>
            </w:r>
            <w:r>
              <w:rPr>
                <w:rFonts w:hint="eastAsia"/>
                <w:color w:val="auto"/>
                <w:szCs w:val="21"/>
                <w:lang w:val="en-US" w:eastAsia="zh-CN"/>
              </w:rPr>
              <w:t>环保专用胶（反应型聚氨酯热熔胶）</w:t>
            </w:r>
            <w:r>
              <w:rPr>
                <w:rFonts w:hint="eastAsia" w:cs="宋体"/>
                <w:bCs/>
                <w:color w:val="auto"/>
                <w:kern w:val="0"/>
                <w:sz w:val="21"/>
                <w:szCs w:val="21"/>
              </w:rPr>
              <w:t>等化学品。</w:t>
            </w:r>
          </w:p>
        </w:tc>
        <w:tc>
          <w:tcPr>
            <w:tcW w:w="1120" w:type="dxa"/>
            <w:shd w:val="clear" w:color="auto" w:fill="auto"/>
            <w:noWrap w:val="0"/>
            <w:vAlign w:val="center"/>
          </w:tcPr>
          <w:p w14:paraId="005FFB96">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依托</w:t>
            </w:r>
          </w:p>
        </w:tc>
        <w:tc>
          <w:tcPr>
            <w:tcW w:w="1063" w:type="dxa"/>
            <w:noWrap w:val="0"/>
            <w:vAlign w:val="center"/>
          </w:tcPr>
          <w:p w14:paraId="6AC70BB1">
            <w:pPr>
              <w:adjustRightInd w:val="0"/>
              <w:snapToGrid w:val="0"/>
              <w:jc w:val="center"/>
              <w:rPr>
                <w:rFonts w:hint="eastAsia"/>
                <w:bCs/>
                <w:color w:val="auto"/>
                <w:kern w:val="2"/>
                <w:sz w:val="21"/>
                <w:szCs w:val="21"/>
                <w:lang w:val="en-US" w:eastAsia="zh-CN" w:bidi="ar-SA"/>
              </w:rPr>
            </w:pPr>
            <w:r>
              <w:rPr>
                <w:rFonts w:hint="eastAsia"/>
                <w:bCs/>
                <w:color w:val="000000"/>
                <w:szCs w:val="21"/>
              </w:rPr>
              <w:t>与环评一致</w:t>
            </w:r>
          </w:p>
        </w:tc>
      </w:tr>
      <w:tr w14:paraId="7187F6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noWrap w:val="0"/>
            <w:vAlign w:val="center"/>
          </w:tcPr>
          <w:p w14:paraId="2C4E0DF4">
            <w:pPr>
              <w:adjustRightInd w:val="0"/>
              <w:snapToGrid w:val="0"/>
              <w:jc w:val="center"/>
              <w:rPr>
                <w:bCs/>
                <w:color w:val="auto"/>
                <w:szCs w:val="21"/>
              </w:rPr>
            </w:pPr>
          </w:p>
        </w:tc>
        <w:tc>
          <w:tcPr>
            <w:tcW w:w="1105" w:type="dxa"/>
            <w:noWrap w:val="0"/>
            <w:vAlign w:val="center"/>
          </w:tcPr>
          <w:p w14:paraId="7D9BE516">
            <w:pPr>
              <w:jc w:val="center"/>
              <w:rPr>
                <w:bCs/>
                <w:color w:val="auto"/>
                <w:kern w:val="0"/>
                <w:sz w:val="21"/>
                <w:szCs w:val="21"/>
              </w:rPr>
            </w:pPr>
            <w:r>
              <w:rPr>
                <w:rFonts w:hint="eastAsia" w:cs="宋体"/>
                <w:bCs/>
                <w:color w:val="auto"/>
                <w:kern w:val="0"/>
                <w:sz w:val="21"/>
                <w:szCs w:val="21"/>
              </w:rPr>
              <w:t>原材料库房</w:t>
            </w:r>
          </w:p>
        </w:tc>
        <w:tc>
          <w:tcPr>
            <w:tcW w:w="2673" w:type="dxa"/>
            <w:noWrap w:val="0"/>
            <w:vAlign w:val="center"/>
          </w:tcPr>
          <w:p w14:paraId="0D521873">
            <w:pPr>
              <w:widowControl/>
              <w:jc w:val="both"/>
              <w:textAlignment w:val="center"/>
              <w:rPr>
                <w:rFonts w:hint="eastAsia" w:cs="宋体"/>
                <w:bCs/>
                <w:color w:val="auto"/>
                <w:kern w:val="0"/>
                <w:sz w:val="21"/>
                <w:szCs w:val="21"/>
              </w:rPr>
            </w:pPr>
            <w:r>
              <w:rPr>
                <w:rFonts w:hint="eastAsia" w:cs="宋体"/>
                <w:bCs/>
                <w:color w:val="auto"/>
                <w:kern w:val="0"/>
                <w:sz w:val="21"/>
                <w:szCs w:val="21"/>
              </w:rPr>
              <w:t>原材料库房位于</w:t>
            </w:r>
            <w:r>
              <w:rPr>
                <w:bCs/>
                <w:color w:val="auto"/>
                <w:kern w:val="0"/>
                <w:sz w:val="21"/>
                <w:szCs w:val="21"/>
              </w:rPr>
              <w:t>B02</w:t>
            </w:r>
            <w:r>
              <w:rPr>
                <w:rFonts w:hint="eastAsia" w:cs="宋体"/>
                <w:bCs/>
                <w:color w:val="auto"/>
                <w:kern w:val="0"/>
                <w:sz w:val="21"/>
                <w:szCs w:val="21"/>
              </w:rPr>
              <w:t>厂房</w:t>
            </w:r>
            <w:r>
              <w:rPr>
                <w:bCs/>
                <w:color w:val="auto"/>
                <w:kern w:val="0"/>
                <w:sz w:val="21"/>
                <w:szCs w:val="21"/>
              </w:rPr>
              <w:t>2F</w:t>
            </w:r>
            <w:r>
              <w:rPr>
                <w:rFonts w:hint="eastAsia" w:cs="宋体"/>
                <w:bCs/>
                <w:color w:val="auto"/>
                <w:kern w:val="0"/>
                <w:sz w:val="21"/>
                <w:szCs w:val="21"/>
              </w:rPr>
              <w:t>中部，建筑面积约</w:t>
            </w:r>
            <w:r>
              <w:rPr>
                <w:bCs/>
                <w:color w:val="auto"/>
                <w:kern w:val="0"/>
                <w:sz w:val="21"/>
                <w:szCs w:val="21"/>
              </w:rPr>
              <w:t>480</w:t>
            </w:r>
            <w:r>
              <w:rPr>
                <w:rFonts w:hint="eastAsia"/>
                <w:color w:val="auto"/>
                <w:szCs w:val="21"/>
                <w:lang w:val="en-US" w:eastAsia="zh-CN"/>
              </w:rPr>
              <w:t>m</w:t>
            </w:r>
            <w:r>
              <w:rPr>
                <w:rFonts w:hint="eastAsia"/>
                <w:color w:val="auto"/>
                <w:szCs w:val="21"/>
                <w:vertAlign w:val="superscript"/>
                <w:lang w:val="en-US" w:eastAsia="zh-CN"/>
              </w:rPr>
              <w:t>2</w:t>
            </w:r>
            <w:r>
              <w:rPr>
                <w:rFonts w:hint="eastAsia" w:cs="宋体"/>
                <w:bCs/>
                <w:color w:val="auto"/>
                <w:kern w:val="0"/>
                <w:sz w:val="21"/>
                <w:szCs w:val="21"/>
              </w:rPr>
              <w:t>，用于存放</w:t>
            </w:r>
            <w:r>
              <w:rPr>
                <w:rFonts w:hint="eastAsia"/>
                <w:color w:val="auto"/>
                <w:szCs w:val="21"/>
                <w:lang w:val="en-US" w:eastAsia="zh-CN"/>
              </w:rPr>
              <w:t>电池盖保护膜、电池盖防模印麦拉片（上）、电池盖防模印麦拉片（下）、摄像头支架侧边点胶麦拉片、电池盖缓冲泡棉组件、板材装饰件、大镜片密封泡棉组件、上镜片密封泡棉组件、激光泡棉组件、MIC防尘网组件、闪光灯罩组件、闪光灯FPC泡棉组件、一体式装饰件、镜片、上镜片、下镜片</w:t>
            </w:r>
            <w:r>
              <w:rPr>
                <w:rFonts w:hint="eastAsia" w:cs="宋体"/>
                <w:bCs/>
                <w:color w:val="auto"/>
                <w:kern w:val="0"/>
                <w:sz w:val="21"/>
                <w:szCs w:val="21"/>
              </w:rPr>
              <w:t>等。</w:t>
            </w:r>
          </w:p>
        </w:tc>
        <w:tc>
          <w:tcPr>
            <w:tcW w:w="2573" w:type="dxa"/>
            <w:shd w:val="clear" w:color="auto" w:fill="auto"/>
            <w:noWrap w:val="0"/>
            <w:vAlign w:val="center"/>
          </w:tcPr>
          <w:p w14:paraId="4F41B8D2">
            <w:pPr>
              <w:widowControl/>
              <w:jc w:val="left"/>
              <w:textAlignment w:val="center"/>
              <w:rPr>
                <w:rFonts w:hint="eastAsia" w:ascii="Times New Roman" w:hAnsi="Times New Roman" w:eastAsia="宋体" w:cs="宋体"/>
                <w:bCs/>
                <w:color w:val="auto"/>
                <w:kern w:val="0"/>
                <w:sz w:val="21"/>
                <w:szCs w:val="21"/>
                <w:lang w:val="en-US" w:eastAsia="zh-CN" w:bidi="ar-SA"/>
              </w:rPr>
            </w:pPr>
            <w:r>
              <w:rPr>
                <w:rFonts w:hint="eastAsia" w:cs="宋体"/>
                <w:bCs/>
                <w:color w:val="auto"/>
                <w:kern w:val="0"/>
                <w:sz w:val="21"/>
                <w:szCs w:val="21"/>
              </w:rPr>
              <w:t>原材料库房位于</w:t>
            </w:r>
            <w:r>
              <w:rPr>
                <w:bCs/>
                <w:color w:val="auto"/>
                <w:kern w:val="0"/>
                <w:sz w:val="21"/>
                <w:szCs w:val="21"/>
              </w:rPr>
              <w:t>B02</w:t>
            </w:r>
            <w:r>
              <w:rPr>
                <w:rFonts w:hint="eastAsia" w:cs="宋体"/>
                <w:bCs/>
                <w:color w:val="auto"/>
                <w:kern w:val="0"/>
                <w:sz w:val="21"/>
                <w:szCs w:val="21"/>
              </w:rPr>
              <w:t>厂房</w:t>
            </w:r>
            <w:r>
              <w:rPr>
                <w:bCs/>
                <w:color w:val="auto"/>
                <w:kern w:val="0"/>
                <w:sz w:val="21"/>
                <w:szCs w:val="21"/>
              </w:rPr>
              <w:t>2F</w:t>
            </w:r>
            <w:r>
              <w:rPr>
                <w:rFonts w:hint="eastAsia" w:cs="宋体"/>
                <w:bCs/>
                <w:color w:val="auto"/>
                <w:kern w:val="0"/>
                <w:sz w:val="21"/>
                <w:szCs w:val="21"/>
              </w:rPr>
              <w:t>中部，建筑面积约</w:t>
            </w:r>
            <w:r>
              <w:rPr>
                <w:bCs/>
                <w:color w:val="auto"/>
                <w:kern w:val="0"/>
                <w:sz w:val="21"/>
                <w:szCs w:val="21"/>
              </w:rPr>
              <w:t>480</w:t>
            </w:r>
            <w:r>
              <w:rPr>
                <w:rFonts w:hint="eastAsia"/>
                <w:color w:val="auto"/>
                <w:szCs w:val="21"/>
                <w:lang w:val="en-US" w:eastAsia="zh-CN"/>
              </w:rPr>
              <w:t>m</w:t>
            </w:r>
            <w:r>
              <w:rPr>
                <w:rFonts w:hint="eastAsia"/>
                <w:color w:val="auto"/>
                <w:szCs w:val="21"/>
                <w:vertAlign w:val="superscript"/>
                <w:lang w:val="en-US" w:eastAsia="zh-CN"/>
              </w:rPr>
              <w:t>2</w:t>
            </w:r>
            <w:r>
              <w:rPr>
                <w:rFonts w:hint="eastAsia" w:cs="宋体"/>
                <w:bCs/>
                <w:color w:val="auto"/>
                <w:kern w:val="0"/>
                <w:sz w:val="21"/>
                <w:szCs w:val="21"/>
              </w:rPr>
              <w:t>，用于存放</w:t>
            </w:r>
            <w:r>
              <w:rPr>
                <w:rFonts w:hint="eastAsia"/>
                <w:color w:val="auto"/>
                <w:szCs w:val="21"/>
                <w:lang w:val="en-US" w:eastAsia="zh-CN"/>
              </w:rPr>
              <w:t>电池盖保护膜、电池盖防模印麦拉片（上）、电池盖防模印麦拉片（下）、摄像头支架侧边点胶麦拉片、电池盖缓冲泡棉组件、板材装饰件、大镜片密封泡棉组件、上镜片密封泡棉组件、激光泡棉组件、MIC防尘网组件、闪光灯罩组件、闪光灯FPC泡棉组件、一体式装饰件、镜片、上镜片、下镜片</w:t>
            </w:r>
            <w:r>
              <w:rPr>
                <w:rFonts w:hint="eastAsia" w:cs="宋体"/>
                <w:bCs/>
                <w:color w:val="auto"/>
                <w:kern w:val="0"/>
                <w:sz w:val="21"/>
                <w:szCs w:val="21"/>
              </w:rPr>
              <w:t>等。</w:t>
            </w:r>
          </w:p>
        </w:tc>
        <w:tc>
          <w:tcPr>
            <w:tcW w:w="1120" w:type="dxa"/>
            <w:shd w:val="clear" w:color="auto" w:fill="auto"/>
            <w:noWrap w:val="0"/>
            <w:vAlign w:val="center"/>
          </w:tcPr>
          <w:p w14:paraId="3E79CF48">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依托</w:t>
            </w:r>
          </w:p>
        </w:tc>
        <w:tc>
          <w:tcPr>
            <w:tcW w:w="1063" w:type="dxa"/>
            <w:noWrap w:val="0"/>
            <w:vAlign w:val="center"/>
          </w:tcPr>
          <w:p w14:paraId="3EBC3E8A">
            <w:pPr>
              <w:adjustRightInd w:val="0"/>
              <w:snapToGrid w:val="0"/>
              <w:jc w:val="center"/>
              <w:rPr>
                <w:rFonts w:hint="eastAsia"/>
                <w:bCs/>
                <w:color w:val="auto"/>
                <w:szCs w:val="21"/>
                <w:lang w:val="en-US" w:eastAsia="zh-CN"/>
              </w:rPr>
            </w:pPr>
            <w:r>
              <w:rPr>
                <w:rFonts w:hint="eastAsia"/>
                <w:bCs/>
                <w:color w:val="000000"/>
                <w:szCs w:val="21"/>
              </w:rPr>
              <w:t>与环评一致</w:t>
            </w:r>
          </w:p>
        </w:tc>
      </w:tr>
      <w:tr w14:paraId="66DDB1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noWrap w:val="0"/>
            <w:vAlign w:val="center"/>
          </w:tcPr>
          <w:p w14:paraId="413F05CD">
            <w:pPr>
              <w:adjustRightInd w:val="0"/>
              <w:snapToGrid w:val="0"/>
              <w:jc w:val="center"/>
              <w:rPr>
                <w:bCs/>
                <w:color w:val="auto"/>
                <w:szCs w:val="21"/>
              </w:rPr>
            </w:pPr>
          </w:p>
        </w:tc>
        <w:tc>
          <w:tcPr>
            <w:tcW w:w="1105" w:type="dxa"/>
            <w:noWrap w:val="0"/>
            <w:vAlign w:val="center"/>
          </w:tcPr>
          <w:p w14:paraId="5EDE29E2">
            <w:pPr>
              <w:jc w:val="center"/>
              <w:rPr>
                <w:bCs/>
                <w:color w:val="auto"/>
                <w:szCs w:val="21"/>
              </w:rPr>
            </w:pPr>
            <w:r>
              <w:rPr>
                <w:rFonts w:hint="eastAsia" w:cs="宋体"/>
                <w:bCs/>
                <w:color w:val="auto"/>
                <w:kern w:val="0"/>
                <w:sz w:val="21"/>
                <w:szCs w:val="21"/>
              </w:rPr>
              <w:t>成品库</w:t>
            </w:r>
          </w:p>
        </w:tc>
        <w:tc>
          <w:tcPr>
            <w:tcW w:w="2673" w:type="dxa"/>
            <w:noWrap w:val="0"/>
            <w:vAlign w:val="center"/>
          </w:tcPr>
          <w:p w14:paraId="208B9030">
            <w:pPr>
              <w:widowControl/>
              <w:jc w:val="both"/>
              <w:rPr>
                <w:bCs/>
                <w:color w:val="auto"/>
                <w:szCs w:val="21"/>
              </w:rPr>
            </w:pPr>
            <w:r>
              <w:rPr>
                <w:rFonts w:hint="eastAsia" w:cs="宋体"/>
                <w:bCs/>
                <w:color w:val="auto"/>
                <w:kern w:val="0"/>
                <w:sz w:val="21"/>
                <w:szCs w:val="21"/>
              </w:rPr>
              <w:t>成品库位于B01厂房1F西北侧（面积约300</w:t>
            </w:r>
            <w:r>
              <w:rPr>
                <w:rFonts w:hint="eastAsia"/>
                <w:color w:val="auto"/>
                <w:szCs w:val="21"/>
                <w:lang w:val="en-US" w:eastAsia="zh-CN"/>
              </w:rPr>
              <w:t>m</w:t>
            </w:r>
            <w:r>
              <w:rPr>
                <w:rFonts w:hint="eastAsia"/>
                <w:color w:val="auto"/>
                <w:szCs w:val="21"/>
                <w:vertAlign w:val="superscript"/>
                <w:lang w:val="en-US" w:eastAsia="zh-CN"/>
              </w:rPr>
              <w:t>2</w:t>
            </w:r>
            <w:r>
              <w:rPr>
                <w:rFonts w:hint="eastAsia" w:cs="宋体"/>
                <w:bCs/>
                <w:color w:val="auto"/>
                <w:kern w:val="0"/>
                <w:sz w:val="21"/>
                <w:szCs w:val="21"/>
              </w:rPr>
              <w:t>），用于存放</w:t>
            </w:r>
            <w:r>
              <w:rPr>
                <w:rFonts w:hint="eastAsia" w:cs="宋体"/>
                <w:bCs/>
                <w:color w:val="auto"/>
                <w:kern w:val="0"/>
                <w:sz w:val="21"/>
                <w:szCs w:val="21"/>
                <w:lang w:val="en-US" w:eastAsia="zh-CN"/>
              </w:rPr>
              <w:t>半成品（手机玻璃盖板）和</w:t>
            </w:r>
            <w:r>
              <w:rPr>
                <w:rFonts w:hint="eastAsia" w:cs="宋体"/>
                <w:bCs/>
                <w:color w:val="auto"/>
                <w:kern w:val="0"/>
                <w:sz w:val="21"/>
                <w:szCs w:val="21"/>
              </w:rPr>
              <w:t>成品</w:t>
            </w:r>
            <w:r>
              <w:rPr>
                <w:rFonts w:hint="eastAsia" w:cs="宋体"/>
                <w:bCs/>
                <w:color w:val="auto"/>
                <w:kern w:val="0"/>
                <w:sz w:val="21"/>
                <w:szCs w:val="21"/>
                <w:lang w:eastAsia="zh-CN"/>
              </w:rPr>
              <w:t>（</w:t>
            </w:r>
            <w:r>
              <w:rPr>
                <w:rFonts w:hint="eastAsia" w:cs="宋体"/>
                <w:bCs/>
                <w:color w:val="auto"/>
                <w:kern w:val="0"/>
                <w:sz w:val="21"/>
                <w:szCs w:val="21"/>
                <w:lang w:val="en-US" w:eastAsia="zh-CN"/>
              </w:rPr>
              <w:t>组装后的手机玻璃后盖</w:t>
            </w:r>
            <w:r>
              <w:rPr>
                <w:rFonts w:hint="eastAsia" w:cs="宋体"/>
                <w:bCs/>
                <w:color w:val="auto"/>
                <w:kern w:val="0"/>
                <w:sz w:val="21"/>
                <w:szCs w:val="21"/>
                <w:lang w:eastAsia="zh-CN"/>
              </w:rPr>
              <w:t>）</w:t>
            </w:r>
            <w:r>
              <w:rPr>
                <w:rFonts w:hint="eastAsia" w:cs="宋体"/>
                <w:bCs/>
                <w:color w:val="auto"/>
                <w:kern w:val="0"/>
                <w:sz w:val="21"/>
                <w:szCs w:val="21"/>
              </w:rPr>
              <w:t>。</w:t>
            </w:r>
          </w:p>
        </w:tc>
        <w:tc>
          <w:tcPr>
            <w:tcW w:w="2573" w:type="dxa"/>
            <w:shd w:val="clear" w:color="auto" w:fill="auto"/>
            <w:noWrap w:val="0"/>
            <w:vAlign w:val="center"/>
          </w:tcPr>
          <w:p w14:paraId="577576D8">
            <w:pPr>
              <w:widowControl/>
              <w:jc w:val="left"/>
              <w:rPr>
                <w:rFonts w:hint="eastAsia" w:ascii="Times New Roman" w:hAnsi="Times New Roman" w:eastAsia="宋体" w:cs="Times New Roman"/>
                <w:bCs/>
                <w:color w:val="auto"/>
                <w:kern w:val="2"/>
                <w:sz w:val="21"/>
                <w:szCs w:val="21"/>
                <w:lang w:val="en-US" w:eastAsia="zh-CN" w:bidi="ar-SA"/>
              </w:rPr>
            </w:pPr>
            <w:r>
              <w:rPr>
                <w:rFonts w:hint="eastAsia" w:cs="宋体"/>
                <w:bCs/>
                <w:color w:val="auto"/>
                <w:kern w:val="0"/>
                <w:sz w:val="21"/>
                <w:szCs w:val="21"/>
              </w:rPr>
              <w:t>成品库位于B01厂房1F西北侧（面积约300</w:t>
            </w:r>
            <w:r>
              <w:rPr>
                <w:rFonts w:hint="eastAsia"/>
                <w:color w:val="auto"/>
                <w:szCs w:val="21"/>
                <w:lang w:val="en-US" w:eastAsia="zh-CN"/>
              </w:rPr>
              <w:t>m</w:t>
            </w:r>
            <w:r>
              <w:rPr>
                <w:rFonts w:hint="eastAsia"/>
                <w:color w:val="auto"/>
                <w:szCs w:val="21"/>
                <w:vertAlign w:val="superscript"/>
                <w:lang w:val="en-US" w:eastAsia="zh-CN"/>
              </w:rPr>
              <w:t>2</w:t>
            </w:r>
            <w:r>
              <w:rPr>
                <w:rFonts w:hint="eastAsia" w:cs="宋体"/>
                <w:bCs/>
                <w:color w:val="auto"/>
                <w:kern w:val="0"/>
                <w:sz w:val="21"/>
                <w:szCs w:val="21"/>
              </w:rPr>
              <w:t>），用于存放</w:t>
            </w:r>
            <w:r>
              <w:rPr>
                <w:rFonts w:hint="eastAsia" w:cs="宋体"/>
                <w:bCs/>
                <w:color w:val="auto"/>
                <w:kern w:val="0"/>
                <w:sz w:val="21"/>
                <w:szCs w:val="21"/>
                <w:lang w:val="en-US" w:eastAsia="zh-CN"/>
              </w:rPr>
              <w:t>半成品（手机玻璃盖板）和</w:t>
            </w:r>
            <w:r>
              <w:rPr>
                <w:rFonts w:hint="eastAsia" w:cs="宋体"/>
                <w:bCs/>
                <w:color w:val="auto"/>
                <w:kern w:val="0"/>
                <w:sz w:val="21"/>
                <w:szCs w:val="21"/>
              </w:rPr>
              <w:t>成品</w:t>
            </w:r>
            <w:r>
              <w:rPr>
                <w:rFonts w:hint="eastAsia" w:cs="宋体"/>
                <w:bCs/>
                <w:color w:val="auto"/>
                <w:kern w:val="0"/>
                <w:sz w:val="21"/>
                <w:szCs w:val="21"/>
                <w:lang w:eastAsia="zh-CN"/>
              </w:rPr>
              <w:t>（</w:t>
            </w:r>
            <w:r>
              <w:rPr>
                <w:rFonts w:hint="eastAsia" w:cs="宋体"/>
                <w:bCs/>
                <w:color w:val="auto"/>
                <w:kern w:val="0"/>
                <w:sz w:val="21"/>
                <w:szCs w:val="21"/>
                <w:lang w:val="en-US" w:eastAsia="zh-CN"/>
              </w:rPr>
              <w:t>组装后的手机玻璃后盖</w:t>
            </w:r>
            <w:r>
              <w:rPr>
                <w:rFonts w:hint="eastAsia" w:cs="宋体"/>
                <w:bCs/>
                <w:color w:val="auto"/>
                <w:kern w:val="0"/>
                <w:sz w:val="21"/>
                <w:szCs w:val="21"/>
                <w:lang w:eastAsia="zh-CN"/>
              </w:rPr>
              <w:t>）</w:t>
            </w:r>
            <w:r>
              <w:rPr>
                <w:rFonts w:hint="eastAsia" w:cs="宋体"/>
                <w:bCs/>
                <w:color w:val="auto"/>
                <w:kern w:val="0"/>
                <w:sz w:val="21"/>
                <w:szCs w:val="21"/>
              </w:rPr>
              <w:t>。</w:t>
            </w:r>
          </w:p>
        </w:tc>
        <w:tc>
          <w:tcPr>
            <w:tcW w:w="1120" w:type="dxa"/>
            <w:shd w:val="clear" w:color="auto" w:fill="auto"/>
            <w:noWrap w:val="0"/>
            <w:vAlign w:val="center"/>
          </w:tcPr>
          <w:p w14:paraId="15753674">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依托</w:t>
            </w:r>
          </w:p>
        </w:tc>
        <w:tc>
          <w:tcPr>
            <w:tcW w:w="1063" w:type="dxa"/>
            <w:noWrap w:val="0"/>
            <w:vAlign w:val="center"/>
          </w:tcPr>
          <w:p w14:paraId="059BD9C8">
            <w:pPr>
              <w:adjustRightInd w:val="0"/>
              <w:snapToGrid w:val="0"/>
              <w:jc w:val="center"/>
              <w:rPr>
                <w:rFonts w:hint="eastAsia"/>
                <w:bCs/>
                <w:color w:val="auto"/>
                <w:szCs w:val="21"/>
              </w:rPr>
            </w:pPr>
            <w:r>
              <w:rPr>
                <w:rFonts w:hint="eastAsia"/>
                <w:bCs/>
                <w:color w:val="000000"/>
                <w:szCs w:val="21"/>
              </w:rPr>
              <w:t>与环评一致</w:t>
            </w:r>
          </w:p>
        </w:tc>
      </w:tr>
      <w:tr w14:paraId="39E527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restart"/>
            <w:noWrap w:val="0"/>
            <w:vAlign w:val="center"/>
          </w:tcPr>
          <w:p w14:paraId="1775AB82">
            <w:pPr>
              <w:adjustRightInd w:val="0"/>
              <w:snapToGrid w:val="0"/>
              <w:jc w:val="center"/>
              <w:rPr>
                <w:bCs/>
                <w:color w:val="auto"/>
                <w:szCs w:val="21"/>
              </w:rPr>
            </w:pPr>
            <w:r>
              <w:rPr>
                <w:bCs/>
                <w:color w:val="auto"/>
                <w:szCs w:val="21"/>
              </w:rPr>
              <w:t>环保工程</w:t>
            </w:r>
          </w:p>
        </w:tc>
        <w:tc>
          <w:tcPr>
            <w:tcW w:w="1105" w:type="dxa"/>
            <w:noWrap w:val="0"/>
            <w:vAlign w:val="center"/>
          </w:tcPr>
          <w:p w14:paraId="58E39995">
            <w:pPr>
              <w:jc w:val="center"/>
              <w:rPr>
                <w:bCs/>
                <w:color w:val="auto"/>
                <w:szCs w:val="21"/>
              </w:rPr>
            </w:pPr>
            <w:r>
              <w:rPr>
                <w:color w:val="auto"/>
                <w:szCs w:val="21"/>
              </w:rPr>
              <w:t>废水</w:t>
            </w:r>
          </w:p>
        </w:tc>
        <w:tc>
          <w:tcPr>
            <w:tcW w:w="2673" w:type="dxa"/>
            <w:noWrap w:val="0"/>
            <w:vAlign w:val="center"/>
          </w:tcPr>
          <w:p w14:paraId="00866181">
            <w:pPr>
              <w:pStyle w:val="127"/>
              <w:jc w:val="both"/>
              <w:rPr>
                <w:color w:val="auto"/>
                <w:sz w:val="21"/>
                <w:szCs w:val="21"/>
              </w:rPr>
            </w:pPr>
            <w:r>
              <w:rPr>
                <w:rFonts w:hint="eastAsia"/>
                <w:color w:val="auto"/>
                <w:sz w:val="21"/>
                <w:szCs w:val="21"/>
              </w:rPr>
              <w:t>厂区</w:t>
            </w:r>
            <w:r>
              <w:rPr>
                <w:color w:val="auto"/>
                <w:sz w:val="21"/>
                <w:szCs w:val="21"/>
              </w:rPr>
              <w:t>雨污分流，雨水进入雨水管网；项目产生的</w:t>
            </w:r>
            <w:r>
              <w:rPr>
                <w:rFonts w:hint="eastAsia"/>
                <w:color w:val="auto"/>
                <w:sz w:val="21"/>
                <w:szCs w:val="21"/>
              </w:rPr>
              <w:t>经厂房周边现有</w:t>
            </w:r>
            <w:r>
              <w:rPr>
                <w:rFonts w:hint="eastAsia"/>
                <w:color w:val="auto"/>
                <w:sz w:val="21"/>
                <w:szCs w:val="21"/>
                <w:lang w:eastAsia="zh-CN"/>
              </w:rPr>
              <w:t>分散式生化池</w:t>
            </w:r>
            <w:r>
              <w:rPr>
                <w:rFonts w:hint="eastAsia"/>
                <w:color w:val="auto"/>
                <w:sz w:val="21"/>
                <w:szCs w:val="21"/>
              </w:rPr>
              <w:t>处理后同纯水制备浓水经园区管网</w:t>
            </w:r>
            <w:r>
              <w:rPr>
                <w:color w:val="auto"/>
                <w:sz w:val="21"/>
                <w:szCs w:val="21"/>
              </w:rPr>
              <w:t>，排至</w:t>
            </w:r>
            <w:r>
              <w:rPr>
                <w:rFonts w:hint="eastAsia"/>
                <w:color w:val="auto"/>
                <w:sz w:val="21"/>
                <w:szCs w:val="21"/>
                <w:lang w:eastAsia="zh-CN"/>
              </w:rPr>
              <w:t>西永污水处理厂</w:t>
            </w:r>
            <w:r>
              <w:rPr>
                <w:color w:val="auto"/>
                <w:sz w:val="21"/>
                <w:szCs w:val="21"/>
              </w:rPr>
              <w:t>处理</w:t>
            </w:r>
            <w:r>
              <w:rPr>
                <w:rFonts w:hint="eastAsia"/>
                <w:color w:val="auto"/>
                <w:sz w:val="21"/>
                <w:szCs w:val="21"/>
              </w:rPr>
              <w:t>达标</w:t>
            </w:r>
            <w:r>
              <w:rPr>
                <w:color w:val="auto"/>
                <w:sz w:val="21"/>
                <w:szCs w:val="21"/>
              </w:rPr>
              <w:t>后排入梁滩河。</w:t>
            </w:r>
          </w:p>
          <w:p w14:paraId="6E8BC7C3">
            <w:pPr>
              <w:jc w:val="both"/>
              <w:rPr>
                <w:bCs/>
                <w:color w:val="auto"/>
                <w:szCs w:val="21"/>
              </w:rPr>
            </w:pPr>
            <w:r>
              <w:rPr>
                <w:rFonts w:hint="eastAsia"/>
                <w:color w:val="auto"/>
                <w:sz w:val="21"/>
                <w:szCs w:val="21"/>
              </w:rPr>
              <w:t>生产废水、地面清洁废水、喷淋废水经</w:t>
            </w:r>
            <w:r>
              <w:rPr>
                <w:color w:val="auto"/>
                <w:sz w:val="21"/>
                <w:szCs w:val="21"/>
              </w:rPr>
              <w:t>厂区</w:t>
            </w:r>
            <w:r>
              <w:rPr>
                <w:rFonts w:hint="eastAsia"/>
                <w:color w:val="auto"/>
                <w:sz w:val="21"/>
                <w:szCs w:val="21"/>
                <w:lang w:val="en-US" w:eastAsia="zh-CN"/>
              </w:rPr>
              <w:t>自建</w:t>
            </w:r>
            <w:r>
              <w:rPr>
                <w:rFonts w:hint="eastAsia"/>
                <w:color w:val="auto"/>
                <w:sz w:val="21"/>
                <w:szCs w:val="21"/>
              </w:rPr>
              <w:t>的污水处理站（设计处理能力600</w:t>
            </w:r>
            <w:r>
              <w:rPr>
                <w:rFonts w:hint="eastAsia"/>
                <w:color w:val="auto"/>
                <w:sz w:val="21"/>
                <w:szCs w:val="21"/>
                <w:lang w:eastAsia="zh-CN"/>
              </w:rPr>
              <w:t>m</w:t>
            </w:r>
            <w:r>
              <w:rPr>
                <w:rFonts w:hint="eastAsia"/>
                <w:color w:val="auto"/>
                <w:sz w:val="21"/>
                <w:szCs w:val="21"/>
                <w:vertAlign w:val="superscript"/>
                <w:lang w:val="en-US" w:eastAsia="zh-CN"/>
              </w:rPr>
              <w:t>3</w:t>
            </w:r>
            <w:r>
              <w:rPr>
                <w:rFonts w:hint="eastAsia"/>
                <w:color w:val="auto"/>
                <w:sz w:val="21"/>
                <w:szCs w:val="21"/>
              </w:rPr>
              <w:t>/d）处理达《污水综合排放标准》（GB8978-1996）三级排放</w:t>
            </w:r>
            <w:r>
              <w:rPr>
                <w:color w:val="auto"/>
                <w:sz w:val="21"/>
                <w:szCs w:val="21"/>
              </w:rPr>
              <w:t>标准</w:t>
            </w:r>
            <w:r>
              <w:rPr>
                <w:rFonts w:hint="eastAsia"/>
                <w:color w:val="auto"/>
                <w:sz w:val="21"/>
                <w:szCs w:val="21"/>
              </w:rPr>
              <w:t>后排入园区污水管网进入</w:t>
            </w:r>
            <w:r>
              <w:rPr>
                <w:rFonts w:hint="eastAsia"/>
                <w:color w:val="auto"/>
                <w:sz w:val="21"/>
                <w:szCs w:val="21"/>
                <w:lang w:eastAsia="zh-CN"/>
              </w:rPr>
              <w:t>西永污水处理厂</w:t>
            </w:r>
            <w:r>
              <w:rPr>
                <w:rFonts w:hint="eastAsia"/>
                <w:color w:val="auto"/>
                <w:sz w:val="21"/>
                <w:szCs w:val="21"/>
              </w:rPr>
              <w:t>处理达到《梁滩河流域城镇污水处理厂主要水污染物排放标准》（DB50/963-2020）重点控制区域、《城镇污水处理厂污染物排放标准》（GB18918-2002）一级A标准排入梁滩河。</w:t>
            </w:r>
          </w:p>
        </w:tc>
        <w:tc>
          <w:tcPr>
            <w:tcW w:w="2573" w:type="dxa"/>
            <w:shd w:val="clear" w:color="auto" w:fill="auto"/>
            <w:noWrap w:val="0"/>
            <w:vAlign w:val="center"/>
          </w:tcPr>
          <w:p w14:paraId="4D747AF7">
            <w:pPr>
              <w:pStyle w:val="127"/>
              <w:jc w:val="left"/>
              <w:rPr>
                <w:rFonts w:hint="eastAsia" w:ascii="Times New Roman" w:hAnsi="Times New Roman" w:eastAsia="宋体" w:cs="Times New Roman"/>
                <w:bCs/>
                <w:color w:val="auto"/>
                <w:kern w:val="2"/>
                <w:sz w:val="21"/>
                <w:szCs w:val="21"/>
                <w:highlight w:val="yellow"/>
                <w:lang w:val="en-US" w:eastAsia="zh-CN" w:bidi="ar-SA"/>
              </w:rPr>
            </w:pPr>
            <w:r>
              <w:rPr>
                <w:rFonts w:hint="eastAsia"/>
                <w:color w:val="auto"/>
                <w:sz w:val="21"/>
                <w:szCs w:val="21"/>
                <w:highlight w:val="none"/>
              </w:rPr>
              <w:t>厂区</w:t>
            </w:r>
            <w:r>
              <w:rPr>
                <w:color w:val="auto"/>
                <w:sz w:val="21"/>
                <w:szCs w:val="21"/>
                <w:highlight w:val="none"/>
              </w:rPr>
              <w:t>雨污分流，雨水进入雨水管网；项目产生的</w:t>
            </w:r>
            <w:r>
              <w:rPr>
                <w:rFonts w:hint="eastAsia"/>
                <w:color w:val="auto"/>
                <w:sz w:val="21"/>
                <w:szCs w:val="21"/>
                <w:highlight w:val="none"/>
              </w:rPr>
              <w:t>经厂房周边现有</w:t>
            </w:r>
            <w:r>
              <w:rPr>
                <w:rFonts w:hint="eastAsia"/>
                <w:color w:val="auto"/>
                <w:sz w:val="21"/>
                <w:szCs w:val="21"/>
                <w:highlight w:val="none"/>
                <w:lang w:eastAsia="zh-CN"/>
              </w:rPr>
              <w:t>分散式生化池</w:t>
            </w:r>
            <w:r>
              <w:rPr>
                <w:rFonts w:hint="eastAsia"/>
                <w:color w:val="auto"/>
                <w:sz w:val="21"/>
                <w:szCs w:val="21"/>
                <w:highlight w:val="none"/>
              </w:rPr>
              <w:t>处理后同纯水制备浓水经园区管网</w:t>
            </w:r>
            <w:r>
              <w:rPr>
                <w:color w:val="auto"/>
                <w:sz w:val="21"/>
                <w:szCs w:val="21"/>
                <w:highlight w:val="none"/>
              </w:rPr>
              <w:t>，排至</w:t>
            </w:r>
            <w:r>
              <w:rPr>
                <w:rFonts w:hint="eastAsia"/>
                <w:color w:val="auto"/>
                <w:sz w:val="21"/>
                <w:szCs w:val="21"/>
                <w:highlight w:val="none"/>
                <w:lang w:eastAsia="zh-CN"/>
              </w:rPr>
              <w:t>西永污水处理厂</w:t>
            </w:r>
            <w:r>
              <w:rPr>
                <w:color w:val="auto"/>
                <w:sz w:val="21"/>
                <w:szCs w:val="21"/>
                <w:highlight w:val="none"/>
              </w:rPr>
              <w:t>处理</w:t>
            </w:r>
            <w:r>
              <w:rPr>
                <w:rFonts w:hint="eastAsia"/>
                <w:color w:val="auto"/>
                <w:sz w:val="21"/>
                <w:szCs w:val="21"/>
                <w:highlight w:val="none"/>
              </w:rPr>
              <w:t>达标</w:t>
            </w:r>
            <w:r>
              <w:rPr>
                <w:color w:val="auto"/>
                <w:sz w:val="21"/>
                <w:szCs w:val="21"/>
                <w:highlight w:val="none"/>
              </w:rPr>
              <w:t>后排入梁滩河。</w:t>
            </w:r>
            <w:r>
              <w:rPr>
                <w:rFonts w:hint="default" w:eastAsia="宋体" w:cs="宋体"/>
                <w:color w:val="auto"/>
                <w:sz w:val="21"/>
                <w:szCs w:val="21"/>
                <w:highlight w:val="none"/>
                <w:lang w:val="en-US" w:eastAsia="zh-CN"/>
              </w:rPr>
              <w:t>化抛蚀刻</w:t>
            </w:r>
            <w:r>
              <w:rPr>
                <w:rFonts w:hint="eastAsia" w:eastAsia="宋体" w:cs="宋体"/>
                <w:color w:val="auto"/>
                <w:sz w:val="21"/>
                <w:szCs w:val="21"/>
                <w:highlight w:val="none"/>
                <w:lang w:val="en-US" w:eastAsia="zh-CN"/>
              </w:rPr>
              <w:t>槽</w:t>
            </w:r>
            <w:r>
              <w:rPr>
                <w:rFonts w:hint="eastAsia" w:cs="宋体"/>
                <w:color w:val="auto"/>
                <w:sz w:val="21"/>
                <w:szCs w:val="21"/>
                <w:highlight w:val="none"/>
                <w:lang w:val="en-US" w:eastAsia="zh-CN"/>
              </w:rPr>
              <w:t>液废液收集于防渗储罐中，不外排，暂存于污水综合处理站，定期由有资质的单位收运处置。其余</w:t>
            </w:r>
            <w:r>
              <w:rPr>
                <w:rFonts w:hint="eastAsia"/>
                <w:color w:val="auto"/>
                <w:sz w:val="21"/>
                <w:szCs w:val="21"/>
                <w:highlight w:val="none"/>
              </w:rPr>
              <w:t>生产废水、地面清洁废水、喷淋废水经</w:t>
            </w:r>
            <w:r>
              <w:rPr>
                <w:color w:val="auto"/>
                <w:sz w:val="21"/>
                <w:szCs w:val="21"/>
                <w:highlight w:val="none"/>
              </w:rPr>
              <w:t>厂区</w:t>
            </w:r>
            <w:r>
              <w:rPr>
                <w:rFonts w:hint="eastAsia"/>
                <w:color w:val="auto"/>
                <w:sz w:val="21"/>
                <w:szCs w:val="21"/>
                <w:highlight w:val="none"/>
                <w:lang w:val="en-US" w:eastAsia="zh-CN"/>
              </w:rPr>
              <w:t>自建</w:t>
            </w:r>
            <w:r>
              <w:rPr>
                <w:rFonts w:hint="eastAsia"/>
                <w:color w:val="auto"/>
                <w:sz w:val="21"/>
                <w:szCs w:val="21"/>
                <w:highlight w:val="none"/>
              </w:rPr>
              <w:t>的污水处理站（设计处理能力600</w:t>
            </w:r>
            <w:r>
              <w:rPr>
                <w:rFonts w:hint="eastAsia"/>
                <w:color w:val="auto"/>
                <w:sz w:val="21"/>
                <w:szCs w:val="21"/>
                <w:highlight w:val="none"/>
                <w:lang w:eastAsia="zh-CN"/>
              </w:rPr>
              <w:t>m</w:t>
            </w:r>
            <w:r>
              <w:rPr>
                <w:rFonts w:hint="eastAsia"/>
                <w:color w:val="auto"/>
                <w:sz w:val="21"/>
                <w:szCs w:val="21"/>
                <w:highlight w:val="none"/>
                <w:vertAlign w:val="superscript"/>
                <w:lang w:val="en-US" w:eastAsia="zh-CN"/>
              </w:rPr>
              <w:t>3</w:t>
            </w:r>
            <w:r>
              <w:rPr>
                <w:rFonts w:hint="eastAsia"/>
                <w:color w:val="auto"/>
                <w:sz w:val="21"/>
                <w:szCs w:val="21"/>
                <w:highlight w:val="none"/>
              </w:rPr>
              <w:t>/d）处理达《污水综合排放标准》（GB8978-1996）三级排放</w:t>
            </w:r>
            <w:r>
              <w:rPr>
                <w:color w:val="auto"/>
                <w:sz w:val="21"/>
                <w:szCs w:val="21"/>
                <w:highlight w:val="none"/>
              </w:rPr>
              <w:t>标准</w:t>
            </w:r>
            <w:r>
              <w:rPr>
                <w:rFonts w:hint="eastAsia"/>
                <w:color w:val="auto"/>
                <w:sz w:val="21"/>
                <w:szCs w:val="21"/>
                <w:highlight w:val="none"/>
              </w:rPr>
              <w:t>后排入</w:t>
            </w:r>
            <w:r>
              <w:rPr>
                <w:rFonts w:hint="eastAsia"/>
                <w:color w:val="auto"/>
                <w:sz w:val="21"/>
                <w:szCs w:val="21"/>
                <w:highlight w:val="none"/>
                <w:lang w:eastAsia="zh-CN"/>
              </w:rPr>
              <w:t>西永污水处理厂，</w:t>
            </w:r>
            <w:r>
              <w:rPr>
                <w:rFonts w:hint="eastAsia"/>
                <w:color w:val="auto"/>
                <w:sz w:val="21"/>
                <w:szCs w:val="21"/>
                <w:highlight w:val="none"/>
                <w:lang w:val="en-US" w:eastAsia="zh-CN"/>
              </w:rPr>
              <w:t>处理</w:t>
            </w:r>
            <w:r>
              <w:rPr>
                <w:rFonts w:hint="eastAsia"/>
                <w:color w:val="auto"/>
                <w:sz w:val="21"/>
                <w:szCs w:val="21"/>
                <w:highlight w:val="none"/>
              </w:rPr>
              <w:t>达《梁滩河流域城镇污水处理厂主要水污染物排放标准》（DB50/963-2020）重点控制区域、《城镇污水处理厂污染物排放标准》（GB18918-2002）一级A标准</w:t>
            </w:r>
            <w:r>
              <w:rPr>
                <w:rFonts w:hint="eastAsia"/>
                <w:color w:val="auto"/>
                <w:sz w:val="21"/>
                <w:szCs w:val="21"/>
                <w:highlight w:val="none"/>
                <w:lang w:val="en-US" w:eastAsia="zh-CN"/>
              </w:rPr>
              <w:t>后</w:t>
            </w:r>
            <w:r>
              <w:rPr>
                <w:rFonts w:hint="eastAsia"/>
                <w:color w:val="auto"/>
                <w:sz w:val="21"/>
                <w:szCs w:val="21"/>
                <w:highlight w:val="none"/>
              </w:rPr>
              <w:t>排入梁滩河。</w:t>
            </w:r>
          </w:p>
        </w:tc>
        <w:tc>
          <w:tcPr>
            <w:tcW w:w="1120" w:type="dxa"/>
            <w:shd w:val="clear" w:color="auto" w:fill="auto"/>
            <w:noWrap w:val="0"/>
            <w:vAlign w:val="center"/>
          </w:tcPr>
          <w:p w14:paraId="43604B50">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依托</w:t>
            </w:r>
          </w:p>
        </w:tc>
        <w:tc>
          <w:tcPr>
            <w:tcW w:w="1063" w:type="dxa"/>
            <w:noWrap w:val="0"/>
            <w:vAlign w:val="center"/>
          </w:tcPr>
          <w:p w14:paraId="3AA97F1C">
            <w:pPr>
              <w:adjustRightInd w:val="0"/>
              <w:snapToGrid w:val="0"/>
              <w:jc w:val="center"/>
              <w:rPr>
                <w:rFonts w:hint="default" w:eastAsia="宋体"/>
                <w:bCs/>
                <w:color w:val="auto"/>
                <w:szCs w:val="21"/>
                <w:lang w:val="en-US" w:eastAsia="zh-CN"/>
              </w:rPr>
            </w:pPr>
            <w:r>
              <w:rPr>
                <w:rFonts w:hint="default" w:eastAsia="宋体" w:cs="宋体"/>
                <w:color w:val="auto"/>
                <w:sz w:val="21"/>
                <w:szCs w:val="21"/>
                <w:highlight w:val="none"/>
                <w:lang w:val="en-US" w:eastAsia="zh-CN"/>
              </w:rPr>
              <w:t>化抛蚀刻</w:t>
            </w:r>
            <w:r>
              <w:rPr>
                <w:rFonts w:hint="eastAsia" w:eastAsia="宋体" w:cs="宋体"/>
                <w:color w:val="auto"/>
                <w:sz w:val="21"/>
                <w:szCs w:val="21"/>
                <w:highlight w:val="none"/>
                <w:lang w:val="en-US" w:eastAsia="zh-CN"/>
              </w:rPr>
              <w:t>槽</w:t>
            </w:r>
            <w:r>
              <w:rPr>
                <w:rFonts w:hint="eastAsia" w:cs="宋体"/>
                <w:color w:val="auto"/>
                <w:sz w:val="21"/>
                <w:szCs w:val="21"/>
                <w:highlight w:val="none"/>
                <w:lang w:val="en-US" w:eastAsia="zh-CN"/>
              </w:rPr>
              <w:t>液废液、蒙砂废液由原环评中的“进入现有综合废水处理站处理”变更为“收集于密闭防渗储罐”，暂存于污水综合处理站，定期交由有资质的单位处理，其余与环评一致。</w:t>
            </w:r>
          </w:p>
        </w:tc>
      </w:tr>
      <w:tr w14:paraId="43FB11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noWrap w:val="0"/>
            <w:vAlign w:val="center"/>
          </w:tcPr>
          <w:p w14:paraId="6E72B883">
            <w:pPr>
              <w:adjustRightInd w:val="0"/>
              <w:snapToGrid w:val="0"/>
              <w:jc w:val="center"/>
              <w:rPr>
                <w:bCs/>
                <w:color w:val="auto"/>
                <w:szCs w:val="21"/>
              </w:rPr>
            </w:pPr>
          </w:p>
        </w:tc>
        <w:tc>
          <w:tcPr>
            <w:tcW w:w="1105" w:type="dxa"/>
            <w:noWrap w:val="0"/>
            <w:vAlign w:val="center"/>
          </w:tcPr>
          <w:p w14:paraId="4A2F718D">
            <w:pPr>
              <w:jc w:val="center"/>
              <w:rPr>
                <w:bCs/>
                <w:color w:val="auto"/>
                <w:szCs w:val="21"/>
              </w:rPr>
            </w:pPr>
            <w:r>
              <w:rPr>
                <w:color w:val="auto"/>
                <w:szCs w:val="21"/>
              </w:rPr>
              <w:t>废气</w:t>
            </w:r>
          </w:p>
        </w:tc>
        <w:tc>
          <w:tcPr>
            <w:tcW w:w="2673" w:type="dxa"/>
            <w:noWrap w:val="0"/>
            <w:vAlign w:val="center"/>
          </w:tcPr>
          <w:p w14:paraId="0CB96A84">
            <w:pPr>
              <w:widowControl/>
              <w:adjustRightInd w:val="0"/>
              <w:snapToGrid w:val="0"/>
              <w:jc w:val="both"/>
              <w:rPr>
                <w:rFonts w:hint="eastAsia"/>
                <w:color w:val="auto"/>
                <w:kern w:val="0"/>
                <w:szCs w:val="21"/>
              </w:rPr>
            </w:pPr>
            <w:r>
              <w:rPr>
                <w:rFonts w:hint="eastAsia"/>
                <w:color w:val="auto"/>
                <w:szCs w:val="21"/>
              </w:rPr>
              <w:t>（1）</w:t>
            </w:r>
            <w:r>
              <w:rPr>
                <w:rFonts w:hint="eastAsia"/>
                <w:color w:val="auto"/>
                <w:szCs w:val="21"/>
                <w:lang w:val="en-US" w:eastAsia="zh-CN"/>
              </w:rPr>
              <w:t>油墨喷涂及其后烘烤工序有机废气</w:t>
            </w:r>
            <w:r>
              <w:rPr>
                <w:rFonts w:hint="eastAsia"/>
                <w:color w:val="auto"/>
                <w:szCs w:val="21"/>
              </w:rPr>
              <w:t>：通过风管经</w:t>
            </w:r>
            <w:r>
              <w:rPr>
                <w:rFonts w:hint="eastAsia"/>
                <w:bCs/>
                <w:color w:val="auto"/>
                <w:szCs w:val="21"/>
              </w:rPr>
              <w:t>废气处理装置（工艺：两级活性炭吸附，风量为</w:t>
            </w:r>
            <w:r>
              <w:rPr>
                <w:rFonts w:hint="eastAsia"/>
                <w:bCs/>
                <w:color w:val="auto"/>
                <w:szCs w:val="21"/>
                <w:lang w:val="en-US" w:eastAsia="zh-CN"/>
              </w:rPr>
              <w:t>10000</w:t>
            </w:r>
            <w:r>
              <w:rPr>
                <w:rFonts w:hint="eastAsia"/>
                <w:color w:val="auto"/>
                <w:szCs w:val="21"/>
                <w:lang w:eastAsia="zh-CN"/>
              </w:rPr>
              <w:t>m</w:t>
            </w:r>
            <w:r>
              <w:rPr>
                <w:rFonts w:hint="eastAsia"/>
                <w:color w:val="auto"/>
                <w:szCs w:val="21"/>
                <w:vertAlign w:val="superscript"/>
                <w:lang w:val="en-US" w:eastAsia="zh-CN"/>
              </w:rPr>
              <w:t>3</w:t>
            </w:r>
            <w:r>
              <w:rPr>
                <w:rFonts w:hint="eastAsia"/>
                <w:color w:val="auto"/>
                <w:szCs w:val="21"/>
              </w:rPr>
              <w:t>/h</w:t>
            </w:r>
            <w:r>
              <w:rPr>
                <w:rFonts w:hint="eastAsia"/>
                <w:bCs/>
                <w:color w:val="auto"/>
                <w:szCs w:val="21"/>
              </w:rPr>
              <w:t>）处理达标后经</w:t>
            </w:r>
            <w:r>
              <w:rPr>
                <w:rFonts w:hint="eastAsia"/>
                <w:bCs/>
                <w:color w:val="auto"/>
                <w:szCs w:val="21"/>
                <w:lang w:val="en-US" w:eastAsia="zh-CN"/>
              </w:rPr>
              <w:t>20m排气筒</w:t>
            </w:r>
            <w:r>
              <w:rPr>
                <w:rFonts w:hint="eastAsia"/>
                <w:bCs/>
                <w:color w:val="auto"/>
                <w:szCs w:val="21"/>
              </w:rPr>
              <w:t>排放</w:t>
            </w:r>
            <w:r>
              <w:rPr>
                <w:rFonts w:hint="eastAsia"/>
                <w:color w:val="auto"/>
                <w:kern w:val="0"/>
                <w:szCs w:val="21"/>
              </w:rPr>
              <w:t>；</w:t>
            </w:r>
          </w:p>
          <w:p w14:paraId="659CB6A7">
            <w:pPr>
              <w:widowControl/>
              <w:adjustRightInd w:val="0"/>
              <w:snapToGrid w:val="0"/>
              <w:jc w:val="both"/>
              <w:rPr>
                <w:rFonts w:hint="eastAsia"/>
                <w:bCs/>
                <w:color w:val="auto"/>
                <w:szCs w:val="21"/>
                <w:lang w:eastAsia="zh-CN"/>
              </w:rPr>
            </w:pPr>
            <w:r>
              <w:rPr>
                <w:rFonts w:hint="eastAsia"/>
                <w:color w:val="auto"/>
                <w:szCs w:val="21"/>
              </w:rPr>
              <w:t>（2）</w:t>
            </w:r>
            <w:r>
              <w:rPr>
                <w:rFonts w:hint="eastAsia"/>
                <w:color w:val="auto"/>
                <w:szCs w:val="21"/>
                <w:lang w:val="en-US" w:eastAsia="zh-CN"/>
              </w:rPr>
              <w:t>光刻胶涂抹及其后烘干工序有机</w:t>
            </w:r>
            <w:r>
              <w:rPr>
                <w:rFonts w:hint="eastAsia"/>
                <w:color w:val="auto"/>
                <w:szCs w:val="21"/>
              </w:rPr>
              <w:t>废气：通过风管经</w:t>
            </w:r>
            <w:r>
              <w:rPr>
                <w:rFonts w:hint="eastAsia"/>
                <w:bCs/>
                <w:color w:val="auto"/>
                <w:szCs w:val="21"/>
              </w:rPr>
              <w:t>废气处理装置（工艺：两级活性炭吸附，风量为</w:t>
            </w:r>
            <w:r>
              <w:rPr>
                <w:rFonts w:hint="eastAsia"/>
                <w:bCs/>
                <w:color w:val="auto"/>
                <w:szCs w:val="21"/>
                <w:lang w:val="en-US" w:eastAsia="zh-CN"/>
              </w:rPr>
              <w:t>10000</w:t>
            </w:r>
            <w:r>
              <w:rPr>
                <w:rFonts w:hint="eastAsia"/>
                <w:color w:val="auto"/>
                <w:szCs w:val="21"/>
                <w:lang w:eastAsia="zh-CN"/>
              </w:rPr>
              <w:t>m</w:t>
            </w:r>
            <w:r>
              <w:rPr>
                <w:rFonts w:hint="eastAsia"/>
                <w:color w:val="auto"/>
                <w:szCs w:val="21"/>
                <w:vertAlign w:val="superscript"/>
                <w:lang w:val="en-US" w:eastAsia="zh-CN"/>
              </w:rPr>
              <w:t>3</w:t>
            </w:r>
            <w:r>
              <w:rPr>
                <w:rFonts w:hint="eastAsia"/>
                <w:color w:val="auto"/>
                <w:szCs w:val="21"/>
              </w:rPr>
              <w:t>/h</w:t>
            </w:r>
            <w:r>
              <w:rPr>
                <w:rFonts w:hint="eastAsia"/>
                <w:bCs/>
                <w:color w:val="auto"/>
                <w:szCs w:val="21"/>
              </w:rPr>
              <w:t>）处理达标后经</w:t>
            </w:r>
            <w:r>
              <w:rPr>
                <w:rFonts w:hint="eastAsia"/>
                <w:bCs/>
                <w:color w:val="auto"/>
                <w:szCs w:val="21"/>
                <w:lang w:val="en-US" w:eastAsia="zh-CN"/>
              </w:rPr>
              <w:t>20m排气筒</w:t>
            </w:r>
            <w:r>
              <w:rPr>
                <w:rFonts w:hint="eastAsia"/>
                <w:bCs/>
                <w:color w:val="auto"/>
                <w:szCs w:val="21"/>
              </w:rPr>
              <w:t>排放</w:t>
            </w:r>
            <w:r>
              <w:rPr>
                <w:rFonts w:hint="eastAsia"/>
                <w:bCs/>
                <w:color w:val="auto"/>
                <w:szCs w:val="21"/>
                <w:lang w:eastAsia="zh-CN"/>
              </w:rPr>
              <w:t>；</w:t>
            </w:r>
          </w:p>
          <w:p w14:paraId="094C96A0">
            <w:pPr>
              <w:widowControl/>
              <w:adjustRightInd w:val="0"/>
              <w:snapToGrid w:val="0"/>
              <w:jc w:val="both"/>
              <w:rPr>
                <w:rFonts w:hint="eastAsia"/>
                <w:bCs/>
                <w:color w:val="auto"/>
                <w:szCs w:val="21"/>
                <w:lang w:eastAsia="zh-CN"/>
              </w:rPr>
            </w:pPr>
            <w:r>
              <w:rPr>
                <w:rFonts w:hint="eastAsia"/>
                <w:bCs/>
                <w:color w:val="auto"/>
                <w:szCs w:val="21"/>
                <w:lang w:eastAsia="zh-CN"/>
              </w:rPr>
              <w:t>（</w:t>
            </w:r>
            <w:r>
              <w:rPr>
                <w:rFonts w:hint="eastAsia"/>
                <w:bCs/>
                <w:color w:val="auto"/>
                <w:szCs w:val="21"/>
                <w:lang w:val="en-US" w:eastAsia="zh-CN"/>
              </w:rPr>
              <w:t>3</w:t>
            </w:r>
            <w:r>
              <w:rPr>
                <w:rFonts w:hint="eastAsia"/>
                <w:bCs/>
                <w:color w:val="auto"/>
                <w:szCs w:val="21"/>
                <w:lang w:eastAsia="zh-CN"/>
              </w:rPr>
              <w:t>）</w:t>
            </w:r>
            <w:r>
              <w:rPr>
                <w:rFonts w:hint="eastAsia"/>
                <w:bCs/>
                <w:color w:val="auto"/>
                <w:szCs w:val="21"/>
                <w:lang w:val="en-US" w:eastAsia="zh-CN"/>
              </w:rPr>
              <w:t>AG蚀刻线蒙砂废气</w:t>
            </w:r>
            <w:r>
              <w:rPr>
                <w:rFonts w:hint="eastAsia"/>
                <w:color w:val="auto"/>
                <w:szCs w:val="21"/>
                <w:lang w:eastAsia="zh-CN"/>
              </w:rPr>
              <w:t>、</w:t>
            </w:r>
            <w:r>
              <w:rPr>
                <w:rFonts w:hint="eastAsia"/>
                <w:bCs/>
                <w:color w:val="auto"/>
                <w:szCs w:val="21"/>
                <w:lang w:val="en-US" w:eastAsia="zh-CN"/>
              </w:rPr>
              <w:t>化抛废气：</w:t>
            </w:r>
            <w:r>
              <w:rPr>
                <w:rFonts w:hint="eastAsia"/>
                <w:color w:val="auto"/>
                <w:szCs w:val="21"/>
              </w:rPr>
              <w:t>通过风管经</w:t>
            </w:r>
            <w:r>
              <w:rPr>
                <w:rFonts w:hint="eastAsia"/>
                <w:bCs/>
                <w:color w:val="auto"/>
                <w:szCs w:val="21"/>
              </w:rPr>
              <w:t>废气处理装置（工艺：</w:t>
            </w:r>
            <w:r>
              <w:rPr>
                <w:color w:val="auto"/>
                <w:spacing w:val="-3"/>
              </w:rPr>
              <w:t>碱液喷淋</w:t>
            </w:r>
            <w:r>
              <w:rPr>
                <w:color w:val="auto"/>
                <w:spacing w:val="-4"/>
              </w:rPr>
              <w:t>塔</w:t>
            </w:r>
            <w:r>
              <w:rPr>
                <w:rFonts w:hint="eastAsia"/>
                <w:bCs/>
                <w:color w:val="auto"/>
                <w:szCs w:val="21"/>
              </w:rPr>
              <w:t>，风量为</w:t>
            </w:r>
            <w:r>
              <w:rPr>
                <w:rFonts w:hint="eastAsia"/>
                <w:bCs/>
                <w:color w:val="auto"/>
                <w:szCs w:val="21"/>
                <w:lang w:val="en-US" w:eastAsia="zh-CN"/>
              </w:rPr>
              <w:t>8000</w:t>
            </w:r>
            <w:r>
              <w:rPr>
                <w:rFonts w:hint="eastAsia"/>
                <w:color w:val="auto"/>
                <w:szCs w:val="21"/>
                <w:lang w:eastAsia="zh-CN"/>
              </w:rPr>
              <w:t>m</w:t>
            </w:r>
            <w:r>
              <w:rPr>
                <w:rFonts w:hint="eastAsia"/>
                <w:color w:val="auto"/>
                <w:szCs w:val="21"/>
                <w:vertAlign w:val="superscript"/>
                <w:lang w:val="en-US" w:eastAsia="zh-CN"/>
              </w:rPr>
              <w:t>3</w:t>
            </w:r>
            <w:r>
              <w:rPr>
                <w:rFonts w:hint="eastAsia"/>
                <w:color w:val="auto"/>
                <w:szCs w:val="21"/>
              </w:rPr>
              <w:t>/h</w:t>
            </w:r>
            <w:r>
              <w:rPr>
                <w:rFonts w:hint="eastAsia"/>
                <w:bCs/>
                <w:color w:val="auto"/>
                <w:szCs w:val="21"/>
              </w:rPr>
              <w:t>）处理达标后经</w:t>
            </w:r>
            <w:r>
              <w:rPr>
                <w:rFonts w:hint="eastAsia"/>
                <w:bCs/>
                <w:color w:val="auto"/>
                <w:szCs w:val="21"/>
                <w:lang w:val="en-US" w:eastAsia="zh-CN"/>
              </w:rPr>
              <w:t>20m排气筒</w:t>
            </w:r>
            <w:r>
              <w:rPr>
                <w:rFonts w:hint="eastAsia"/>
                <w:bCs/>
                <w:color w:val="auto"/>
                <w:szCs w:val="21"/>
              </w:rPr>
              <w:t>排放</w:t>
            </w:r>
            <w:r>
              <w:rPr>
                <w:rFonts w:hint="eastAsia"/>
                <w:bCs/>
                <w:color w:val="auto"/>
                <w:szCs w:val="21"/>
                <w:lang w:eastAsia="zh-CN"/>
              </w:rPr>
              <w:t>；</w:t>
            </w:r>
          </w:p>
          <w:p w14:paraId="67CB2058">
            <w:pPr>
              <w:widowControl/>
              <w:adjustRightInd w:val="0"/>
              <w:snapToGrid w:val="0"/>
              <w:jc w:val="both"/>
              <w:rPr>
                <w:rFonts w:hint="eastAsia" w:eastAsia="宋体"/>
                <w:bCs/>
                <w:color w:val="auto"/>
                <w:szCs w:val="21"/>
                <w:lang w:val="en-US" w:eastAsia="zh-CN"/>
              </w:rPr>
            </w:pPr>
            <w:r>
              <w:rPr>
                <w:rFonts w:hint="eastAsia"/>
                <w:bCs/>
                <w:color w:val="auto"/>
                <w:szCs w:val="21"/>
                <w:lang w:eastAsia="zh-CN"/>
              </w:rPr>
              <w:t>（</w:t>
            </w:r>
            <w:r>
              <w:rPr>
                <w:rFonts w:hint="eastAsia"/>
                <w:bCs/>
                <w:color w:val="auto"/>
                <w:szCs w:val="21"/>
                <w:lang w:val="en-US" w:eastAsia="zh-CN"/>
              </w:rPr>
              <w:t>4</w:t>
            </w:r>
            <w:r>
              <w:rPr>
                <w:rFonts w:hint="eastAsia"/>
                <w:bCs/>
                <w:color w:val="auto"/>
                <w:szCs w:val="21"/>
                <w:lang w:eastAsia="zh-CN"/>
              </w:rPr>
              <w:t>）</w:t>
            </w:r>
            <w:r>
              <w:rPr>
                <w:rFonts w:hint="eastAsia"/>
                <w:bCs/>
                <w:color w:val="auto"/>
                <w:szCs w:val="21"/>
                <w:lang w:val="en-US" w:eastAsia="zh-CN"/>
              </w:rPr>
              <w:t>装配工序胶水挥发有机废气：</w:t>
            </w:r>
            <w:r>
              <w:rPr>
                <w:rFonts w:hint="eastAsia"/>
                <w:color w:val="auto"/>
                <w:szCs w:val="21"/>
              </w:rPr>
              <w:t>通过风管经</w:t>
            </w:r>
            <w:r>
              <w:rPr>
                <w:rFonts w:hint="eastAsia"/>
                <w:bCs/>
                <w:color w:val="auto"/>
                <w:szCs w:val="21"/>
              </w:rPr>
              <w:t>废气处理装置（工艺：两级活性炭吸附，风量为</w:t>
            </w:r>
            <w:r>
              <w:rPr>
                <w:rFonts w:hint="eastAsia"/>
                <w:bCs/>
                <w:color w:val="auto"/>
                <w:szCs w:val="21"/>
                <w:lang w:val="en-US" w:eastAsia="zh-CN"/>
              </w:rPr>
              <w:t>5000</w:t>
            </w:r>
            <w:r>
              <w:rPr>
                <w:rFonts w:hint="eastAsia"/>
                <w:color w:val="auto"/>
                <w:szCs w:val="21"/>
                <w:lang w:eastAsia="zh-CN"/>
              </w:rPr>
              <w:t>m</w:t>
            </w:r>
            <w:r>
              <w:rPr>
                <w:rFonts w:hint="eastAsia"/>
                <w:color w:val="auto"/>
                <w:szCs w:val="21"/>
                <w:vertAlign w:val="superscript"/>
                <w:lang w:val="en-US" w:eastAsia="zh-CN"/>
              </w:rPr>
              <w:t>3</w:t>
            </w:r>
            <w:r>
              <w:rPr>
                <w:rFonts w:hint="eastAsia"/>
                <w:color w:val="auto"/>
                <w:szCs w:val="21"/>
              </w:rPr>
              <w:t>/h</w:t>
            </w:r>
            <w:r>
              <w:rPr>
                <w:rFonts w:hint="eastAsia"/>
                <w:bCs/>
                <w:color w:val="auto"/>
                <w:szCs w:val="21"/>
              </w:rPr>
              <w:t>）处理达标后经</w:t>
            </w:r>
            <w:r>
              <w:rPr>
                <w:rFonts w:hint="eastAsia"/>
                <w:bCs/>
                <w:color w:val="auto"/>
                <w:szCs w:val="21"/>
                <w:lang w:val="en-US" w:eastAsia="zh-CN"/>
              </w:rPr>
              <w:t>20m排气筒</w:t>
            </w:r>
            <w:r>
              <w:rPr>
                <w:rFonts w:hint="eastAsia"/>
                <w:bCs/>
                <w:color w:val="auto"/>
                <w:szCs w:val="21"/>
              </w:rPr>
              <w:t>排放</w:t>
            </w:r>
            <w:r>
              <w:rPr>
                <w:rFonts w:hint="eastAsia"/>
                <w:bCs/>
                <w:color w:val="auto"/>
                <w:szCs w:val="21"/>
                <w:lang w:eastAsia="zh-CN"/>
              </w:rPr>
              <w:t>。</w:t>
            </w:r>
          </w:p>
        </w:tc>
        <w:tc>
          <w:tcPr>
            <w:tcW w:w="2573" w:type="dxa"/>
            <w:noWrap w:val="0"/>
            <w:vAlign w:val="center"/>
          </w:tcPr>
          <w:p w14:paraId="10DF4888">
            <w:pPr>
              <w:widowControl/>
              <w:adjustRightInd w:val="0"/>
              <w:snapToGrid w:val="0"/>
              <w:jc w:val="both"/>
              <w:rPr>
                <w:rFonts w:hint="eastAsia"/>
                <w:color w:val="auto"/>
                <w:kern w:val="0"/>
                <w:szCs w:val="21"/>
              </w:rPr>
            </w:pPr>
            <w:r>
              <w:rPr>
                <w:rFonts w:hint="eastAsia"/>
                <w:color w:val="auto"/>
                <w:szCs w:val="21"/>
              </w:rPr>
              <w:t>（1）</w:t>
            </w:r>
            <w:r>
              <w:rPr>
                <w:rFonts w:hint="eastAsia"/>
                <w:color w:val="auto"/>
                <w:szCs w:val="21"/>
                <w:lang w:val="en-US" w:eastAsia="zh-CN"/>
              </w:rPr>
              <w:t>油墨喷涂及其后烘烤工序有机废气、光刻胶涂抹及其后烘干工序有机</w:t>
            </w:r>
            <w:r>
              <w:rPr>
                <w:rFonts w:hint="eastAsia"/>
                <w:color w:val="auto"/>
                <w:szCs w:val="21"/>
              </w:rPr>
              <w:t>废气</w:t>
            </w:r>
            <w:r>
              <w:rPr>
                <w:rFonts w:hint="eastAsia"/>
                <w:color w:val="auto"/>
                <w:szCs w:val="21"/>
                <w:lang w:eastAsia="zh-CN"/>
              </w:rPr>
              <w:t>、</w:t>
            </w:r>
            <w:r>
              <w:rPr>
                <w:rFonts w:hint="eastAsia"/>
                <w:bCs/>
                <w:color w:val="auto"/>
                <w:szCs w:val="21"/>
                <w:lang w:val="en-US" w:eastAsia="zh-CN"/>
              </w:rPr>
              <w:t>装配工序胶水挥发有机废气</w:t>
            </w:r>
            <w:r>
              <w:rPr>
                <w:rFonts w:hint="eastAsia"/>
                <w:color w:val="auto"/>
                <w:szCs w:val="21"/>
              </w:rPr>
              <w:t>：通过风管经</w:t>
            </w:r>
            <w:r>
              <w:rPr>
                <w:rFonts w:hint="eastAsia"/>
                <w:bCs/>
                <w:color w:val="auto"/>
                <w:szCs w:val="21"/>
              </w:rPr>
              <w:t>废气处理装置（工艺：两级活性炭吸附，</w:t>
            </w:r>
            <w:r>
              <w:rPr>
                <w:rFonts w:hint="eastAsia"/>
                <w:bCs/>
                <w:color w:val="auto"/>
                <w:szCs w:val="21"/>
                <w:highlight w:val="none"/>
              </w:rPr>
              <w:t>风量为</w:t>
            </w:r>
            <w:r>
              <w:rPr>
                <w:rFonts w:hint="eastAsia"/>
                <w:bCs/>
                <w:color w:val="auto"/>
                <w:szCs w:val="21"/>
                <w:highlight w:val="none"/>
                <w:lang w:val="en-US" w:eastAsia="zh-CN"/>
              </w:rPr>
              <w:t>10000</w:t>
            </w:r>
            <w:r>
              <w:rPr>
                <w:rFonts w:hint="eastAsia"/>
                <w:color w:val="auto"/>
                <w:szCs w:val="21"/>
                <w:highlight w:val="none"/>
                <w:lang w:eastAsia="zh-CN"/>
              </w:rPr>
              <w:t>m</w:t>
            </w:r>
            <w:r>
              <w:rPr>
                <w:rFonts w:hint="eastAsia"/>
                <w:color w:val="auto"/>
                <w:szCs w:val="21"/>
                <w:highlight w:val="none"/>
                <w:vertAlign w:val="superscript"/>
                <w:lang w:val="en-US" w:eastAsia="zh-CN"/>
              </w:rPr>
              <w:t>3</w:t>
            </w:r>
            <w:r>
              <w:rPr>
                <w:rFonts w:hint="eastAsia"/>
                <w:color w:val="auto"/>
                <w:szCs w:val="21"/>
                <w:highlight w:val="none"/>
              </w:rPr>
              <w:t>/h</w:t>
            </w:r>
            <w:r>
              <w:rPr>
                <w:rFonts w:hint="eastAsia"/>
                <w:bCs/>
                <w:color w:val="auto"/>
                <w:szCs w:val="21"/>
              </w:rPr>
              <w:t>）处理达标后经</w:t>
            </w:r>
            <w:r>
              <w:rPr>
                <w:rFonts w:hint="eastAsia"/>
                <w:bCs/>
                <w:color w:val="auto"/>
                <w:szCs w:val="21"/>
                <w:lang w:val="en-US" w:eastAsia="zh-CN"/>
              </w:rPr>
              <w:t>20m排气筒</w:t>
            </w:r>
            <w:r>
              <w:rPr>
                <w:rFonts w:hint="eastAsia"/>
                <w:bCs/>
                <w:color w:val="auto"/>
                <w:szCs w:val="21"/>
              </w:rPr>
              <w:t>排放</w:t>
            </w:r>
            <w:r>
              <w:rPr>
                <w:rFonts w:hint="eastAsia"/>
                <w:color w:val="auto"/>
                <w:kern w:val="0"/>
                <w:szCs w:val="21"/>
              </w:rPr>
              <w:t>；</w:t>
            </w:r>
          </w:p>
          <w:p w14:paraId="34144DB2">
            <w:pPr>
              <w:widowControl/>
              <w:adjustRightInd w:val="0"/>
              <w:snapToGrid w:val="0"/>
              <w:jc w:val="both"/>
              <w:rPr>
                <w:rFonts w:hint="eastAsia" w:eastAsia="宋体"/>
                <w:bCs/>
                <w:color w:val="auto"/>
                <w:szCs w:val="21"/>
                <w:lang w:eastAsia="zh-CN"/>
              </w:rPr>
            </w:pPr>
            <w:r>
              <w:rPr>
                <w:rFonts w:hint="eastAsia"/>
                <w:color w:val="auto"/>
                <w:szCs w:val="21"/>
              </w:rPr>
              <w:t>（2）</w:t>
            </w:r>
            <w:r>
              <w:rPr>
                <w:rFonts w:hint="eastAsia"/>
                <w:bCs/>
                <w:color w:val="auto"/>
                <w:szCs w:val="21"/>
                <w:lang w:val="en-US" w:eastAsia="zh-CN"/>
              </w:rPr>
              <w:t>AG蚀刻线蒙砂废气</w:t>
            </w:r>
            <w:r>
              <w:rPr>
                <w:rFonts w:hint="eastAsia"/>
                <w:color w:val="auto"/>
                <w:szCs w:val="21"/>
                <w:lang w:eastAsia="zh-CN"/>
              </w:rPr>
              <w:t>、</w:t>
            </w:r>
            <w:r>
              <w:rPr>
                <w:rFonts w:hint="eastAsia"/>
                <w:bCs/>
                <w:color w:val="auto"/>
                <w:szCs w:val="21"/>
                <w:lang w:val="en-US" w:eastAsia="zh-CN"/>
              </w:rPr>
              <w:t>化抛废气：</w:t>
            </w:r>
            <w:r>
              <w:rPr>
                <w:rFonts w:hint="eastAsia"/>
                <w:color w:val="auto"/>
                <w:szCs w:val="21"/>
              </w:rPr>
              <w:t>通过风管经</w:t>
            </w:r>
            <w:r>
              <w:rPr>
                <w:rFonts w:hint="eastAsia"/>
                <w:bCs/>
                <w:color w:val="auto"/>
                <w:szCs w:val="21"/>
              </w:rPr>
              <w:t>废气处理装置（工艺：</w:t>
            </w:r>
            <w:r>
              <w:rPr>
                <w:color w:val="auto"/>
                <w:spacing w:val="-3"/>
              </w:rPr>
              <w:t>碱液喷淋</w:t>
            </w:r>
            <w:r>
              <w:rPr>
                <w:color w:val="auto"/>
                <w:spacing w:val="-4"/>
              </w:rPr>
              <w:t>塔</w:t>
            </w:r>
            <w:r>
              <w:rPr>
                <w:rFonts w:hint="eastAsia"/>
                <w:bCs/>
                <w:color w:val="auto"/>
                <w:szCs w:val="21"/>
              </w:rPr>
              <w:t>，风量为</w:t>
            </w:r>
            <w:r>
              <w:rPr>
                <w:rFonts w:hint="eastAsia"/>
                <w:bCs/>
                <w:color w:val="auto"/>
                <w:szCs w:val="21"/>
                <w:highlight w:val="none"/>
                <w:lang w:val="en-US" w:eastAsia="zh-CN"/>
              </w:rPr>
              <w:t>8000</w:t>
            </w:r>
            <w:r>
              <w:rPr>
                <w:rFonts w:hint="eastAsia"/>
                <w:color w:val="auto"/>
                <w:szCs w:val="21"/>
                <w:highlight w:val="none"/>
                <w:lang w:eastAsia="zh-CN"/>
              </w:rPr>
              <w:t>m</w:t>
            </w:r>
            <w:r>
              <w:rPr>
                <w:rFonts w:hint="eastAsia"/>
                <w:color w:val="auto"/>
                <w:szCs w:val="21"/>
                <w:highlight w:val="none"/>
                <w:vertAlign w:val="superscript"/>
                <w:lang w:val="en-US" w:eastAsia="zh-CN"/>
              </w:rPr>
              <w:t>3</w:t>
            </w:r>
            <w:r>
              <w:rPr>
                <w:rFonts w:hint="eastAsia"/>
                <w:color w:val="auto"/>
                <w:szCs w:val="21"/>
                <w:highlight w:val="none"/>
              </w:rPr>
              <w:t>/h</w:t>
            </w:r>
            <w:r>
              <w:rPr>
                <w:rFonts w:hint="eastAsia"/>
                <w:bCs/>
                <w:color w:val="auto"/>
                <w:szCs w:val="21"/>
              </w:rPr>
              <w:t>）处理达标后经</w:t>
            </w:r>
            <w:r>
              <w:rPr>
                <w:rFonts w:hint="eastAsia"/>
                <w:bCs/>
                <w:color w:val="auto"/>
                <w:szCs w:val="21"/>
                <w:lang w:val="en-US" w:eastAsia="zh-CN"/>
              </w:rPr>
              <w:t>20m排气筒</w:t>
            </w:r>
            <w:r>
              <w:rPr>
                <w:rFonts w:hint="eastAsia"/>
                <w:bCs/>
                <w:color w:val="auto"/>
                <w:szCs w:val="21"/>
              </w:rPr>
              <w:t>排放</w:t>
            </w:r>
            <w:r>
              <w:rPr>
                <w:rFonts w:hint="eastAsia"/>
                <w:bCs/>
                <w:color w:val="auto"/>
                <w:szCs w:val="21"/>
                <w:lang w:eastAsia="zh-CN"/>
              </w:rPr>
              <w:t>。</w:t>
            </w:r>
          </w:p>
        </w:tc>
        <w:tc>
          <w:tcPr>
            <w:tcW w:w="1120" w:type="dxa"/>
            <w:shd w:val="clear" w:color="auto" w:fill="auto"/>
            <w:noWrap w:val="0"/>
            <w:vAlign w:val="center"/>
          </w:tcPr>
          <w:p w14:paraId="78BB61DE">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rPr>
              <w:t>新建</w:t>
            </w:r>
          </w:p>
        </w:tc>
        <w:tc>
          <w:tcPr>
            <w:tcW w:w="1063" w:type="dxa"/>
            <w:noWrap w:val="0"/>
            <w:vAlign w:val="center"/>
          </w:tcPr>
          <w:p w14:paraId="5ACB62BA">
            <w:pPr>
              <w:adjustRightInd w:val="0"/>
              <w:snapToGrid w:val="0"/>
              <w:jc w:val="center"/>
              <w:rPr>
                <w:rFonts w:hint="default"/>
                <w:bCs/>
                <w:color w:val="auto"/>
                <w:szCs w:val="21"/>
                <w:lang w:val="en-US"/>
              </w:rPr>
            </w:pPr>
            <w:r>
              <w:rPr>
                <w:rFonts w:hint="default"/>
                <w:bCs/>
                <w:color w:val="auto"/>
                <w:szCs w:val="21"/>
                <w:lang w:val="en-US" w:eastAsia="zh-CN"/>
              </w:rPr>
              <w:t>油墨喷涂及其后烘烤工序有机废气、光刻胶涂抹及其后烘干工序有机废气、装配工序胶水挥发有机废气由环评中分设三套二级活性炭吸附装置分别处理后经排气筒排放变更为三股废气统一由一套二级活性炭吸附装置处理后经排气筒排放</w:t>
            </w:r>
            <w:r>
              <w:rPr>
                <w:rFonts w:hint="eastAsia"/>
                <w:bCs/>
                <w:color w:val="auto"/>
                <w:szCs w:val="21"/>
                <w:lang w:val="en-US" w:eastAsia="zh-CN"/>
              </w:rPr>
              <w:t>。</w:t>
            </w:r>
          </w:p>
        </w:tc>
      </w:tr>
      <w:tr w14:paraId="254BF8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noWrap w:val="0"/>
            <w:vAlign w:val="center"/>
          </w:tcPr>
          <w:p w14:paraId="66896BE5">
            <w:pPr>
              <w:adjustRightInd w:val="0"/>
              <w:snapToGrid w:val="0"/>
              <w:jc w:val="center"/>
              <w:rPr>
                <w:bCs/>
                <w:color w:val="auto"/>
                <w:szCs w:val="21"/>
              </w:rPr>
            </w:pPr>
          </w:p>
        </w:tc>
        <w:tc>
          <w:tcPr>
            <w:tcW w:w="1105" w:type="dxa"/>
            <w:noWrap w:val="0"/>
            <w:vAlign w:val="center"/>
          </w:tcPr>
          <w:p w14:paraId="24C8C15B">
            <w:pPr>
              <w:jc w:val="center"/>
              <w:rPr>
                <w:bCs/>
                <w:color w:val="auto"/>
                <w:szCs w:val="21"/>
              </w:rPr>
            </w:pPr>
            <w:r>
              <w:rPr>
                <w:color w:val="auto"/>
                <w:szCs w:val="21"/>
              </w:rPr>
              <w:t>固废</w:t>
            </w:r>
          </w:p>
        </w:tc>
        <w:tc>
          <w:tcPr>
            <w:tcW w:w="2673" w:type="dxa"/>
            <w:noWrap w:val="0"/>
            <w:vAlign w:val="center"/>
          </w:tcPr>
          <w:p w14:paraId="3674E20F">
            <w:pPr>
              <w:pStyle w:val="127"/>
              <w:jc w:val="both"/>
              <w:rPr>
                <w:color w:val="auto"/>
                <w:sz w:val="21"/>
                <w:szCs w:val="21"/>
              </w:rPr>
            </w:pPr>
            <w:r>
              <w:rPr>
                <w:color w:val="auto"/>
                <w:sz w:val="21"/>
                <w:szCs w:val="21"/>
              </w:rPr>
              <w:t>危险废物：</w:t>
            </w:r>
            <w:r>
              <w:rPr>
                <w:rFonts w:hint="eastAsia"/>
                <w:color w:val="auto"/>
                <w:sz w:val="21"/>
                <w:szCs w:val="21"/>
                <w:lang w:val="en-US" w:eastAsia="zh-CN"/>
              </w:rPr>
              <w:t>危废暂存间位于</w:t>
            </w:r>
            <w:r>
              <w:rPr>
                <w:color w:val="auto"/>
                <w:sz w:val="21"/>
                <w:szCs w:val="21"/>
              </w:rPr>
              <w:t>B0</w:t>
            </w:r>
            <w:r>
              <w:rPr>
                <w:rFonts w:hint="eastAsia"/>
                <w:color w:val="auto"/>
                <w:sz w:val="21"/>
                <w:szCs w:val="21"/>
              </w:rPr>
              <w:t>4b</w:t>
            </w:r>
            <w:r>
              <w:rPr>
                <w:color w:val="auto"/>
                <w:sz w:val="21"/>
                <w:szCs w:val="21"/>
              </w:rPr>
              <w:t>厂房，面积约</w:t>
            </w:r>
            <w:r>
              <w:rPr>
                <w:rFonts w:hint="eastAsia"/>
                <w:color w:val="auto"/>
                <w:sz w:val="21"/>
                <w:szCs w:val="21"/>
                <w:lang w:val="en-US" w:eastAsia="zh-CN"/>
              </w:rPr>
              <w:t>1</w:t>
            </w:r>
            <w:r>
              <w:rPr>
                <w:rFonts w:hint="eastAsia"/>
                <w:color w:val="auto"/>
                <w:sz w:val="21"/>
                <w:szCs w:val="21"/>
              </w:rPr>
              <w:t>0</w:t>
            </w:r>
            <w:r>
              <w:rPr>
                <w:color w:val="auto"/>
                <w:sz w:val="21"/>
                <w:szCs w:val="21"/>
              </w:rPr>
              <w:t>0</w:t>
            </w:r>
            <w:r>
              <w:rPr>
                <w:rFonts w:hint="eastAsia"/>
                <w:color w:val="auto"/>
                <w:szCs w:val="21"/>
                <w:lang w:val="en-US" w:eastAsia="zh-CN"/>
              </w:rPr>
              <w:t>m</w:t>
            </w:r>
            <w:r>
              <w:rPr>
                <w:rFonts w:hint="eastAsia"/>
                <w:color w:val="auto"/>
                <w:szCs w:val="21"/>
                <w:vertAlign w:val="superscript"/>
                <w:lang w:val="en-US" w:eastAsia="zh-CN"/>
              </w:rPr>
              <w:t>2</w:t>
            </w:r>
            <w:r>
              <w:rPr>
                <w:color w:val="auto"/>
                <w:sz w:val="21"/>
                <w:szCs w:val="21"/>
              </w:rPr>
              <w:t>，用于存</w:t>
            </w:r>
            <w:r>
              <w:rPr>
                <w:rFonts w:hint="eastAsia"/>
                <w:color w:val="auto"/>
                <w:sz w:val="21"/>
                <w:szCs w:val="21"/>
              </w:rPr>
              <w:t>放</w:t>
            </w:r>
            <w:r>
              <w:rPr>
                <w:color w:val="auto"/>
                <w:sz w:val="21"/>
                <w:szCs w:val="21"/>
              </w:rPr>
              <w:t>危险废物。</w:t>
            </w:r>
            <w:r>
              <w:rPr>
                <w:rFonts w:hint="eastAsia"/>
                <w:color w:val="auto"/>
                <w:sz w:val="21"/>
                <w:szCs w:val="21"/>
              </w:rPr>
              <w:t>危险废物贮存库</w:t>
            </w:r>
            <w:r>
              <w:rPr>
                <w:color w:val="auto"/>
                <w:sz w:val="21"/>
                <w:szCs w:val="21"/>
              </w:rPr>
              <w:t>采取</w:t>
            </w:r>
            <w:r>
              <w:rPr>
                <w:rFonts w:hint="eastAsia"/>
                <w:color w:val="auto"/>
                <w:sz w:val="21"/>
                <w:szCs w:val="21"/>
                <w:lang w:eastAsia="zh-CN"/>
              </w:rPr>
              <w:t>“</w:t>
            </w:r>
            <w:r>
              <w:rPr>
                <w:color w:val="auto"/>
                <w:sz w:val="21"/>
                <w:szCs w:val="21"/>
              </w:rPr>
              <w:t>六防</w:t>
            </w:r>
            <w:r>
              <w:rPr>
                <w:rFonts w:hint="eastAsia"/>
                <w:color w:val="auto"/>
                <w:sz w:val="21"/>
                <w:szCs w:val="21"/>
                <w:lang w:eastAsia="zh-CN"/>
              </w:rPr>
              <w:t>”</w:t>
            </w:r>
            <w:r>
              <w:rPr>
                <w:color w:val="auto"/>
                <w:sz w:val="21"/>
                <w:szCs w:val="21"/>
              </w:rPr>
              <w:t>措施分类暂存，危废定期交由有资质单位处理；</w:t>
            </w:r>
          </w:p>
          <w:p w14:paraId="236A4D7E">
            <w:pPr>
              <w:pStyle w:val="127"/>
              <w:jc w:val="both"/>
              <w:rPr>
                <w:color w:val="auto"/>
                <w:sz w:val="21"/>
                <w:szCs w:val="21"/>
              </w:rPr>
            </w:pPr>
            <w:r>
              <w:rPr>
                <w:color w:val="auto"/>
                <w:sz w:val="21"/>
                <w:szCs w:val="21"/>
              </w:rPr>
              <w:t>一般固废：一般固废</w:t>
            </w:r>
            <w:r>
              <w:rPr>
                <w:rFonts w:hint="eastAsia"/>
                <w:color w:val="auto"/>
                <w:sz w:val="21"/>
                <w:szCs w:val="21"/>
                <w:lang w:val="en-US" w:eastAsia="zh-CN"/>
              </w:rPr>
              <w:t>暂存间位于</w:t>
            </w:r>
            <w:r>
              <w:rPr>
                <w:color w:val="auto"/>
                <w:sz w:val="21"/>
                <w:szCs w:val="21"/>
              </w:rPr>
              <w:t>B0</w:t>
            </w:r>
            <w:r>
              <w:rPr>
                <w:rFonts w:hint="eastAsia"/>
                <w:color w:val="auto"/>
                <w:sz w:val="21"/>
                <w:szCs w:val="21"/>
              </w:rPr>
              <w:t>4b</w:t>
            </w:r>
            <w:r>
              <w:rPr>
                <w:color w:val="auto"/>
                <w:sz w:val="21"/>
                <w:szCs w:val="21"/>
              </w:rPr>
              <w:t>厂房，紧邻</w:t>
            </w:r>
            <w:r>
              <w:rPr>
                <w:rFonts w:hint="eastAsia"/>
                <w:color w:val="auto"/>
                <w:sz w:val="21"/>
                <w:szCs w:val="21"/>
              </w:rPr>
              <w:t>危险废物贮存库</w:t>
            </w:r>
            <w:r>
              <w:rPr>
                <w:color w:val="auto"/>
                <w:sz w:val="21"/>
                <w:szCs w:val="21"/>
              </w:rPr>
              <w:t>，建筑面积约10</w:t>
            </w:r>
            <w:r>
              <w:rPr>
                <w:rFonts w:hint="eastAsia"/>
                <w:color w:val="auto"/>
                <w:sz w:val="21"/>
                <w:szCs w:val="21"/>
              </w:rPr>
              <w:t>0</w:t>
            </w:r>
            <w:r>
              <w:rPr>
                <w:rFonts w:hint="eastAsia"/>
                <w:color w:val="auto"/>
                <w:szCs w:val="21"/>
                <w:lang w:val="en-US" w:eastAsia="zh-CN"/>
              </w:rPr>
              <w:t>m</w:t>
            </w:r>
            <w:r>
              <w:rPr>
                <w:rFonts w:hint="eastAsia"/>
                <w:color w:val="auto"/>
                <w:szCs w:val="21"/>
                <w:vertAlign w:val="superscript"/>
                <w:lang w:val="en-US" w:eastAsia="zh-CN"/>
              </w:rPr>
              <w:t>2</w:t>
            </w:r>
            <w:r>
              <w:rPr>
                <w:color w:val="auto"/>
                <w:sz w:val="21"/>
                <w:szCs w:val="21"/>
              </w:rPr>
              <w:t>，用于存放一般固废。一般固废外售或交废品回收站综合利用。</w:t>
            </w:r>
          </w:p>
          <w:p w14:paraId="0502D3A4">
            <w:pPr>
              <w:adjustRightInd w:val="0"/>
              <w:snapToGrid w:val="0"/>
              <w:jc w:val="both"/>
              <w:rPr>
                <w:bCs/>
                <w:color w:val="auto"/>
                <w:szCs w:val="21"/>
              </w:rPr>
            </w:pPr>
            <w:r>
              <w:rPr>
                <w:rFonts w:hint="eastAsia"/>
                <w:color w:val="auto"/>
                <w:sz w:val="21"/>
                <w:szCs w:val="21"/>
              </w:rPr>
              <w:t>生活垃圾：统一收集后交市政环卫部门进行处置。</w:t>
            </w:r>
          </w:p>
        </w:tc>
        <w:tc>
          <w:tcPr>
            <w:tcW w:w="2573" w:type="dxa"/>
            <w:shd w:val="clear" w:color="auto" w:fill="auto"/>
            <w:noWrap w:val="0"/>
            <w:vAlign w:val="center"/>
          </w:tcPr>
          <w:p w14:paraId="132EBB2C">
            <w:pPr>
              <w:pStyle w:val="127"/>
              <w:jc w:val="both"/>
              <w:rPr>
                <w:color w:val="auto"/>
                <w:sz w:val="21"/>
                <w:szCs w:val="21"/>
              </w:rPr>
            </w:pPr>
            <w:r>
              <w:rPr>
                <w:color w:val="auto"/>
                <w:sz w:val="21"/>
                <w:szCs w:val="21"/>
              </w:rPr>
              <w:t>危险废物：</w:t>
            </w:r>
            <w:r>
              <w:rPr>
                <w:rFonts w:hint="eastAsia"/>
                <w:color w:val="auto"/>
                <w:sz w:val="21"/>
                <w:szCs w:val="21"/>
                <w:lang w:val="en-US" w:eastAsia="zh-CN"/>
              </w:rPr>
              <w:t>危废暂存间位于</w:t>
            </w:r>
            <w:r>
              <w:rPr>
                <w:color w:val="auto"/>
                <w:sz w:val="21"/>
                <w:szCs w:val="21"/>
              </w:rPr>
              <w:t>B0</w:t>
            </w:r>
            <w:r>
              <w:rPr>
                <w:rFonts w:hint="eastAsia"/>
                <w:color w:val="auto"/>
                <w:sz w:val="21"/>
                <w:szCs w:val="21"/>
              </w:rPr>
              <w:t>4b</w:t>
            </w:r>
            <w:r>
              <w:rPr>
                <w:color w:val="auto"/>
                <w:sz w:val="21"/>
                <w:szCs w:val="21"/>
              </w:rPr>
              <w:t>厂房，面积约</w:t>
            </w:r>
            <w:r>
              <w:rPr>
                <w:rFonts w:hint="eastAsia"/>
                <w:color w:val="auto"/>
                <w:sz w:val="21"/>
                <w:szCs w:val="21"/>
                <w:lang w:val="en-US" w:eastAsia="zh-CN"/>
              </w:rPr>
              <w:t>1</w:t>
            </w:r>
            <w:r>
              <w:rPr>
                <w:rFonts w:hint="eastAsia"/>
                <w:color w:val="auto"/>
                <w:sz w:val="21"/>
                <w:szCs w:val="21"/>
              </w:rPr>
              <w:t>0</w:t>
            </w:r>
            <w:r>
              <w:rPr>
                <w:color w:val="auto"/>
                <w:sz w:val="21"/>
                <w:szCs w:val="21"/>
              </w:rPr>
              <w:t>0</w:t>
            </w:r>
            <w:r>
              <w:rPr>
                <w:rFonts w:hint="eastAsia"/>
                <w:color w:val="auto"/>
                <w:szCs w:val="21"/>
                <w:lang w:val="en-US" w:eastAsia="zh-CN"/>
              </w:rPr>
              <w:t>m</w:t>
            </w:r>
            <w:r>
              <w:rPr>
                <w:rFonts w:hint="eastAsia"/>
                <w:color w:val="auto"/>
                <w:szCs w:val="21"/>
                <w:vertAlign w:val="superscript"/>
                <w:lang w:val="en-US" w:eastAsia="zh-CN"/>
              </w:rPr>
              <w:t>2</w:t>
            </w:r>
            <w:r>
              <w:rPr>
                <w:color w:val="auto"/>
                <w:sz w:val="21"/>
                <w:szCs w:val="21"/>
              </w:rPr>
              <w:t>，用于存</w:t>
            </w:r>
            <w:r>
              <w:rPr>
                <w:rFonts w:hint="eastAsia"/>
                <w:color w:val="auto"/>
                <w:sz w:val="21"/>
                <w:szCs w:val="21"/>
              </w:rPr>
              <w:t>放</w:t>
            </w:r>
            <w:r>
              <w:rPr>
                <w:color w:val="auto"/>
                <w:sz w:val="21"/>
                <w:szCs w:val="21"/>
              </w:rPr>
              <w:t>危险废物。</w:t>
            </w:r>
            <w:r>
              <w:rPr>
                <w:rFonts w:hint="eastAsia"/>
                <w:color w:val="auto"/>
                <w:sz w:val="21"/>
                <w:szCs w:val="21"/>
              </w:rPr>
              <w:t>危险废物贮存库</w:t>
            </w:r>
            <w:r>
              <w:rPr>
                <w:color w:val="auto"/>
                <w:sz w:val="21"/>
                <w:szCs w:val="21"/>
              </w:rPr>
              <w:t>采取</w:t>
            </w:r>
            <w:r>
              <w:rPr>
                <w:rFonts w:hint="eastAsia"/>
                <w:color w:val="auto"/>
                <w:sz w:val="21"/>
                <w:szCs w:val="21"/>
                <w:lang w:eastAsia="zh-CN"/>
              </w:rPr>
              <w:t>“</w:t>
            </w:r>
            <w:r>
              <w:rPr>
                <w:color w:val="auto"/>
                <w:sz w:val="21"/>
                <w:szCs w:val="21"/>
              </w:rPr>
              <w:t>六防</w:t>
            </w:r>
            <w:r>
              <w:rPr>
                <w:rFonts w:hint="eastAsia"/>
                <w:color w:val="auto"/>
                <w:sz w:val="21"/>
                <w:szCs w:val="21"/>
                <w:lang w:eastAsia="zh-CN"/>
              </w:rPr>
              <w:t>”</w:t>
            </w:r>
            <w:r>
              <w:rPr>
                <w:color w:val="auto"/>
                <w:sz w:val="21"/>
                <w:szCs w:val="21"/>
              </w:rPr>
              <w:t>措施分类暂存，危废定期交由有资质单位处理；</w:t>
            </w:r>
          </w:p>
          <w:p w14:paraId="45CB8243">
            <w:pPr>
              <w:pStyle w:val="127"/>
              <w:jc w:val="both"/>
              <w:rPr>
                <w:color w:val="auto"/>
                <w:sz w:val="21"/>
                <w:szCs w:val="21"/>
              </w:rPr>
            </w:pPr>
            <w:r>
              <w:rPr>
                <w:color w:val="auto"/>
                <w:sz w:val="21"/>
                <w:szCs w:val="21"/>
              </w:rPr>
              <w:t>一般固废：一般固废</w:t>
            </w:r>
            <w:r>
              <w:rPr>
                <w:rFonts w:hint="eastAsia"/>
                <w:color w:val="auto"/>
                <w:sz w:val="21"/>
                <w:szCs w:val="21"/>
                <w:lang w:val="en-US" w:eastAsia="zh-CN"/>
              </w:rPr>
              <w:t>暂存间位于</w:t>
            </w:r>
            <w:r>
              <w:rPr>
                <w:color w:val="auto"/>
                <w:sz w:val="21"/>
                <w:szCs w:val="21"/>
              </w:rPr>
              <w:t>B0</w:t>
            </w:r>
            <w:r>
              <w:rPr>
                <w:rFonts w:hint="eastAsia"/>
                <w:color w:val="auto"/>
                <w:sz w:val="21"/>
                <w:szCs w:val="21"/>
              </w:rPr>
              <w:t>4b</w:t>
            </w:r>
            <w:r>
              <w:rPr>
                <w:color w:val="auto"/>
                <w:sz w:val="21"/>
                <w:szCs w:val="21"/>
              </w:rPr>
              <w:t>厂房，紧邻</w:t>
            </w:r>
            <w:r>
              <w:rPr>
                <w:rFonts w:hint="eastAsia"/>
                <w:color w:val="auto"/>
                <w:sz w:val="21"/>
                <w:szCs w:val="21"/>
              </w:rPr>
              <w:t>危险废物贮存库</w:t>
            </w:r>
            <w:r>
              <w:rPr>
                <w:color w:val="auto"/>
                <w:sz w:val="21"/>
                <w:szCs w:val="21"/>
              </w:rPr>
              <w:t>，建筑面积约10</w:t>
            </w:r>
            <w:r>
              <w:rPr>
                <w:rFonts w:hint="eastAsia"/>
                <w:color w:val="auto"/>
                <w:sz w:val="21"/>
                <w:szCs w:val="21"/>
              </w:rPr>
              <w:t>0</w:t>
            </w:r>
            <w:r>
              <w:rPr>
                <w:rFonts w:hint="eastAsia"/>
                <w:color w:val="auto"/>
                <w:szCs w:val="21"/>
                <w:lang w:val="en-US" w:eastAsia="zh-CN"/>
              </w:rPr>
              <w:t>m</w:t>
            </w:r>
            <w:r>
              <w:rPr>
                <w:rFonts w:hint="eastAsia"/>
                <w:color w:val="auto"/>
                <w:szCs w:val="21"/>
                <w:vertAlign w:val="superscript"/>
                <w:lang w:val="en-US" w:eastAsia="zh-CN"/>
              </w:rPr>
              <w:t>2</w:t>
            </w:r>
            <w:r>
              <w:rPr>
                <w:color w:val="auto"/>
                <w:sz w:val="21"/>
                <w:szCs w:val="21"/>
              </w:rPr>
              <w:t>，用于存放一般固废。一般固废外售或交废品回收站综合利用。</w:t>
            </w:r>
          </w:p>
          <w:p w14:paraId="50C696C2">
            <w:pPr>
              <w:adjustRightInd w:val="0"/>
              <w:snapToGrid w:val="0"/>
              <w:jc w:val="both"/>
              <w:rPr>
                <w:rFonts w:hint="eastAsia" w:ascii="Times New Roman" w:hAnsi="Times New Roman" w:eastAsia="宋体" w:cs="Times New Roman"/>
                <w:bCs/>
                <w:color w:val="auto"/>
                <w:kern w:val="2"/>
                <w:sz w:val="21"/>
                <w:szCs w:val="21"/>
                <w:lang w:val="en-US" w:eastAsia="zh-CN" w:bidi="ar-SA"/>
              </w:rPr>
            </w:pPr>
            <w:r>
              <w:rPr>
                <w:rFonts w:hint="eastAsia"/>
                <w:color w:val="auto"/>
                <w:sz w:val="21"/>
                <w:szCs w:val="21"/>
              </w:rPr>
              <w:t>生活垃圾：统一收集后交市政环卫部门进行处置。</w:t>
            </w:r>
          </w:p>
        </w:tc>
        <w:tc>
          <w:tcPr>
            <w:tcW w:w="1120" w:type="dxa"/>
            <w:shd w:val="clear" w:color="auto" w:fill="auto"/>
            <w:noWrap w:val="0"/>
            <w:vAlign w:val="center"/>
          </w:tcPr>
          <w:p w14:paraId="48887414">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rPr>
              <w:t>依托</w:t>
            </w:r>
          </w:p>
        </w:tc>
        <w:tc>
          <w:tcPr>
            <w:tcW w:w="1063" w:type="dxa"/>
            <w:noWrap w:val="0"/>
            <w:vAlign w:val="center"/>
          </w:tcPr>
          <w:p w14:paraId="2BC7E76C">
            <w:pPr>
              <w:adjustRightInd w:val="0"/>
              <w:snapToGrid w:val="0"/>
              <w:jc w:val="center"/>
              <w:rPr>
                <w:rFonts w:hint="eastAsia"/>
                <w:bCs/>
                <w:color w:val="auto"/>
                <w:szCs w:val="21"/>
              </w:rPr>
            </w:pPr>
            <w:r>
              <w:rPr>
                <w:rFonts w:hint="eastAsia"/>
                <w:bCs/>
                <w:color w:val="000000"/>
                <w:szCs w:val="21"/>
              </w:rPr>
              <w:t>与环评一致</w:t>
            </w:r>
          </w:p>
        </w:tc>
      </w:tr>
      <w:tr w14:paraId="0654B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2" w:type="dxa"/>
            <w:vMerge w:val="continue"/>
            <w:noWrap w:val="0"/>
            <w:vAlign w:val="center"/>
          </w:tcPr>
          <w:p w14:paraId="4478B69A">
            <w:pPr>
              <w:adjustRightInd w:val="0"/>
              <w:snapToGrid w:val="0"/>
              <w:jc w:val="center"/>
              <w:rPr>
                <w:bCs/>
                <w:color w:val="auto"/>
                <w:szCs w:val="21"/>
              </w:rPr>
            </w:pPr>
          </w:p>
        </w:tc>
        <w:tc>
          <w:tcPr>
            <w:tcW w:w="1105" w:type="dxa"/>
            <w:noWrap w:val="0"/>
            <w:vAlign w:val="center"/>
          </w:tcPr>
          <w:p w14:paraId="409F1F1B">
            <w:pPr>
              <w:jc w:val="center"/>
              <w:rPr>
                <w:bCs/>
                <w:color w:val="auto"/>
                <w:szCs w:val="21"/>
              </w:rPr>
            </w:pPr>
            <w:r>
              <w:rPr>
                <w:color w:val="auto"/>
                <w:szCs w:val="21"/>
              </w:rPr>
              <w:t>噪声</w:t>
            </w:r>
          </w:p>
        </w:tc>
        <w:tc>
          <w:tcPr>
            <w:tcW w:w="2673" w:type="dxa"/>
            <w:noWrap w:val="0"/>
            <w:vAlign w:val="center"/>
          </w:tcPr>
          <w:p w14:paraId="10779B11">
            <w:pPr>
              <w:pStyle w:val="127"/>
              <w:jc w:val="both"/>
              <w:rPr>
                <w:bCs w:val="0"/>
                <w:color w:val="auto"/>
                <w:szCs w:val="21"/>
              </w:rPr>
            </w:pPr>
            <w:r>
              <w:rPr>
                <w:color w:val="auto"/>
                <w:sz w:val="21"/>
                <w:szCs w:val="21"/>
              </w:rPr>
              <w:t>采用低噪声设备、设备采取基础减振处理、采用隔声措施。</w:t>
            </w:r>
          </w:p>
        </w:tc>
        <w:tc>
          <w:tcPr>
            <w:tcW w:w="2573" w:type="dxa"/>
            <w:shd w:val="clear" w:color="auto" w:fill="auto"/>
            <w:noWrap w:val="0"/>
            <w:vAlign w:val="center"/>
          </w:tcPr>
          <w:p w14:paraId="6EF3DB0D">
            <w:pPr>
              <w:pStyle w:val="127"/>
              <w:jc w:val="both"/>
              <w:rPr>
                <w:rFonts w:hint="eastAsia" w:ascii="Times New Roman" w:hAnsi="Times New Roman" w:eastAsia="宋体" w:cs="Times New Roman"/>
                <w:bCs w:val="0"/>
                <w:color w:val="auto"/>
                <w:kern w:val="22"/>
                <w:sz w:val="22"/>
                <w:szCs w:val="21"/>
                <w:lang w:val="en-US" w:eastAsia="zh-CN" w:bidi="ar-SA"/>
              </w:rPr>
            </w:pPr>
            <w:r>
              <w:rPr>
                <w:color w:val="auto"/>
                <w:sz w:val="21"/>
                <w:szCs w:val="21"/>
              </w:rPr>
              <w:t>采用低噪声设备、设备采取基础减振处理、采用隔声措施。</w:t>
            </w:r>
          </w:p>
        </w:tc>
        <w:tc>
          <w:tcPr>
            <w:tcW w:w="1120" w:type="dxa"/>
            <w:shd w:val="clear" w:color="auto" w:fill="auto"/>
            <w:noWrap w:val="0"/>
            <w:vAlign w:val="center"/>
          </w:tcPr>
          <w:p w14:paraId="77F3C9EB">
            <w:pPr>
              <w:pStyle w:val="127"/>
              <w:rPr>
                <w:rFonts w:hint="eastAsia" w:ascii="Times New Roman" w:hAnsi="Times New Roman" w:eastAsia="宋体" w:cs="Times New Roman"/>
                <w:bCs w:val="0"/>
                <w:color w:val="auto"/>
                <w:kern w:val="22"/>
                <w:sz w:val="22"/>
                <w:szCs w:val="21"/>
                <w:lang w:val="en-US" w:eastAsia="zh-CN" w:bidi="ar-SA"/>
              </w:rPr>
            </w:pPr>
            <w:r>
              <w:rPr>
                <w:rFonts w:hint="eastAsia"/>
                <w:color w:val="auto"/>
                <w:sz w:val="21"/>
                <w:szCs w:val="21"/>
              </w:rPr>
              <w:t>新建</w:t>
            </w:r>
          </w:p>
        </w:tc>
        <w:tc>
          <w:tcPr>
            <w:tcW w:w="1063" w:type="dxa"/>
            <w:noWrap w:val="0"/>
            <w:vAlign w:val="center"/>
          </w:tcPr>
          <w:p w14:paraId="1055EC3A">
            <w:pPr>
              <w:jc w:val="center"/>
              <w:rPr>
                <w:rFonts w:hint="eastAsia"/>
                <w:bCs w:val="0"/>
                <w:color w:val="auto"/>
                <w:szCs w:val="21"/>
              </w:rPr>
            </w:pPr>
            <w:r>
              <w:rPr>
                <w:rFonts w:hint="eastAsia"/>
                <w:bCs/>
                <w:color w:val="000000"/>
                <w:szCs w:val="21"/>
              </w:rPr>
              <w:t>与环评一致</w:t>
            </w:r>
          </w:p>
        </w:tc>
      </w:tr>
    </w:tbl>
    <w:p w14:paraId="3783E8B1">
      <w:pPr>
        <w:spacing w:line="490" w:lineRule="exact"/>
        <w:ind w:firstLine="480" w:firstLineChars="200"/>
        <w:rPr>
          <w:sz w:val="24"/>
          <w:szCs w:val="24"/>
          <w:highlight w:val="yellow"/>
        </w:rPr>
      </w:pPr>
      <w:bookmarkStart w:id="47" w:name="_Toc520988556"/>
      <w:bookmarkStart w:id="48" w:name="_Toc513474955"/>
      <w:r>
        <w:rPr>
          <w:sz w:val="24"/>
          <w:szCs w:val="24"/>
        </w:rPr>
        <w:t>由表</w:t>
      </w:r>
      <w:r>
        <w:rPr>
          <w:rFonts w:hint="eastAsia"/>
          <w:sz w:val="24"/>
          <w:szCs w:val="24"/>
        </w:rPr>
        <w:t>3</w:t>
      </w:r>
      <w:r>
        <w:rPr>
          <w:sz w:val="24"/>
          <w:szCs w:val="24"/>
        </w:rPr>
        <w:t>-</w:t>
      </w:r>
      <w:r>
        <w:rPr>
          <w:rFonts w:hint="eastAsia"/>
          <w:sz w:val="24"/>
          <w:szCs w:val="24"/>
          <w:lang w:val="en-US" w:eastAsia="zh-CN"/>
        </w:rPr>
        <w:t>3</w:t>
      </w:r>
      <w:r>
        <w:rPr>
          <w:rFonts w:hint="eastAsia"/>
          <w:sz w:val="24"/>
          <w:szCs w:val="24"/>
        </w:rPr>
        <w:t>可知</w:t>
      </w:r>
      <w:r>
        <w:rPr>
          <w:rFonts w:hint="eastAsia"/>
          <w:sz w:val="24"/>
          <w:szCs w:val="24"/>
          <w:lang w:val="en-US" w:eastAsia="zh-CN"/>
        </w:rPr>
        <w:t>，AG蚀刻线因生产工艺优化需求，布局由B03厂房1F变更为B01厂房2F；化抛蚀刻槽液废液、蒙砂废液由原环评中的“进入现有综合废水处理站处理”变更为“收集于密闭防渗储罐”，暂存于污水处理站，定期交由有资质的单位处理；油墨喷涂及其后烘烤工序有机废气、光刻胶涂抹及其后烘干工序有机废气、装配工序胶水挥发有机废气由环评中分设三套二级活性炭吸附装置分别处理后经排气筒排放变更为三股废气统一由一套二级活性炭吸附装置处理后经排气筒排放</w:t>
      </w:r>
      <w:r>
        <w:rPr>
          <w:rFonts w:hint="eastAsia"/>
          <w:sz w:val="24"/>
          <w:szCs w:val="24"/>
          <w:highlight w:val="none"/>
        </w:rPr>
        <w:t>。</w:t>
      </w:r>
    </w:p>
    <w:p w14:paraId="5A82A823">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sz w:val="24"/>
          <w:szCs w:val="24"/>
        </w:rPr>
      </w:pPr>
      <w:r>
        <w:rPr>
          <w:sz w:val="24"/>
          <w:szCs w:val="24"/>
        </w:rPr>
        <w:t>3.2.3</w:t>
      </w:r>
      <w:bookmarkEnd w:id="47"/>
      <w:r>
        <w:rPr>
          <w:rFonts w:hint="eastAsia"/>
          <w:sz w:val="24"/>
          <w:szCs w:val="24"/>
        </w:rPr>
        <w:t>项目产品方案</w:t>
      </w:r>
    </w:p>
    <w:p w14:paraId="3FC3AF14">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sz w:val="24"/>
          <w:szCs w:val="24"/>
        </w:rPr>
      </w:pPr>
      <w:bookmarkStart w:id="49" w:name="_Toc23530"/>
      <w:r>
        <w:rPr>
          <w:sz w:val="24"/>
          <w:szCs w:val="24"/>
        </w:rPr>
        <w:t>项目产品方案及产能</w:t>
      </w:r>
      <w:r>
        <w:rPr>
          <w:rFonts w:hint="eastAsia"/>
          <w:sz w:val="24"/>
          <w:szCs w:val="24"/>
        </w:rPr>
        <w:t>与环评文件对比情况</w:t>
      </w:r>
      <w:r>
        <w:rPr>
          <w:rFonts w:hint="eastAsia"/>
          <w:sz w:val="24"/>
          <w:szCs w:val="24"/>
          <w:lang w:val="en-US" w:eastAsia="zh-CN"/>
        </w:rPr>
        <w:t>见下表</w:t>
      </w:r>
      <w:r>
        <w:rPr>
          <w:sz w:val="24"/>
          <w:szCs w:val="24"/>
        </w:rPr>
        <w:t>。</w:t>
      </w:r>
      <w:bookmarkEnd w:id="49"/>
    </w:p>
    <w:p w14:paraId="6205B16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b/>
          <w:sz w:val="24"/>
          <w:szCs w:val="24"/>
        </w:rPr>
      </w:pPr>
      <w:r>
        <w:rPr>
          <w:b/>
          <w:sz w:val="24"/>
          <w:szCs w:val="24"/>
        </w:rPr>
        <w:t>表3-</w:t>
      </w:r>
      <w:r>
        <w:rPr>
          <w:rFonts w:hint="eastAsia"/>
          <w:b/>
          <w:sz w:val="24"/>
          <w:szCs w:val="24"/>
          <w:lang w:val="en-US" w:eastAsia="zh-CN"/>
        </w:rPr>
        <w:t>4</w:t>
      </w:r>
      <w:r>
        <w:rPr>
          <w:b/>
          <w:sz w:val="24"/>
          <w:szCs w:val="24"/>
        </w:rPr>
        <w:t xml:space="preserve"> 项目产品方案一览表</w:t>
      </w:r>
    </w:p>
    <w:tbl>
      <w:tblPr>
        <w:tblStyle w:val="3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1675"/>
        <w:gridCol w:w="978"/>
        <w:gridCol w:w="1322"/>
        <w:gridCol w:w="1651"/>
        <w:gridCol w:w="995"/>
        <w:gridCol w:w="1311"/>
      </w:tblGrid>
      <w:tr w14:paraId="4CFA74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blHeader/>
        </w:trPr>
        <w:tc>
          <w:tcPr>
            <w:tcW w:w="2144" w:type="pct"/>
            <w:gridSpan w:val="3"/>
            <w:vAlign w:val="center"/>
          </w:tcPr>
          <w:p w14:paraId="0F741B42">
            <w:pPr>
              <w:jc w:val="center"/>
              <w:rPr>
                <w:color w:val="000000"/>
                <w:szCs w:val="21"/>
              </w:rPr>
            </w:pPr>
            <w:r>
              <w:rPr>
                <w:color w:val="000000"/>
                <w:szCs w:val="21"/>
              </w:rPr>
              <w:t>环评及批复</w:t>
            </w:r>
          </w:p>
        </w:tc>
        <w:tc>
          <w:tcPr>
            <w:tcW w:w="2146" w:type="pct"/>
            <w:gridSpan w:val="3"/>
            <w:vAlign w:val="center"/>
          </w:tcPr>
          <w:p w14:paraId="74466E18">
            <w:pPr>
              <w:jc w:val="center"/>
              <w:rPr>
                <w:color w:val="000000"/>
                <w:szCs w:val="21"/>
              </w:rPr>
            </w:pPr>
            <w:r>
              <w:rPr>
                <w:color w:val="000000"/>
                <w:szCs w:val="21"/>
              </w:rPr>
              <w:t>实际设计生产能力</w:t>
            </w:r>
          </w:p>
        </w:tc>
        <w:tc>
          <w:tcPr>
            <w:tcW w:w="709" w:type="pct"/>
            <w:vAlign w:val="center"/>
          </w:tcPr>
          <w:p w14:paraId="08218EBD">
            <w:pPr>
              <w:jc w:val="center"/>
              <w:rPr>
                <w:color w:val="000000"/>
                <w:szCs w:val="21"/>
              </w:rPr>
            </w:pPr>
            <w:r>
              <w:rPr>
                <w:color w:val="000000"/>
                <w:szCs w:val="21"/>
              </w:rPr>
              <w:t>变更情况</w:t>
            </w:r>
          </w:p>
        </w:tc>
      </w:tr>
      <w:tr w14:paraId="6E79D9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709" w:type="pct"/>
            <w:vAlign w:val="center"/>
          </w:tcPr>
          <w:p w14:paraId="3F58D2CD">
            <w:pPr>
              <w:jc w:val="center"/>
              <w:rPr>
                <w:color w:val="000000"/>
                <w:szCs w:val="21"/>
              </w:rPr>
            </w:pPr>
            <w:r>
              <w:rPr>
                <w:color w:val="000000"/>
                <w:szCs w:val="21"/>
              </w:rPr>
              <w:t>产品名称</w:t>
            </w:r>
          </w:p>
        </w:tc>
        <w:tc>
          <w:tcPr>
            <w:tcW w:w="906" w:type="pct"/>
            <w:vAlign w:val="center"/>
          </w:tcPr>
          <w:p w14:paraId="4D9BD08C">
            <w:pPr>
              <w:pStyle w:val="127"/>
              <w:rPr>
                <w:color w:val="000000"/>
                <w:szCs w:val="21"/>
              </w:rPr>
            </w:pPr>
            <w:r>
              <w:rPr>
                <w:rFonts w:hint="eastAsia"/>
                <w:color w:val="auto"/>
                <w:sz w:val="21"/>
                <w:szCs w:val="21"/>
              </w:rPr>
              <w:t>规格</w:t>
            </w:r>
          </w:p>
        </w:tc>
        <w:tc>
          <w:tcPr>
            <w:tcW w:w="528" w:type="pct"/>
            <w:vAlign w:val="center"/>
          </w:tcPr>
          <w:p w14:paraId="0E50AA24">
            <w:pPr>
              <w:pStyle w:val="127"/>
              <w:rPr>
                <w:color w:val="000000"/>
                <w:spacing w:val="-10"/>
                <w:kern w:val="0"/>
                <w:szCs w:val="21"/>
              </w:rPr>
            </w:pPr>
            <w:r>
              <w:rPr>
                <w:color w:val="auto"/>
                <w:sz w:val="21"/>
                <w:szCs w:val="21"/>
              </w:rPr>
              <w:t>年产量</w:t>
            </w:r>
            <w:r>
              <w:rPr>
                <w:rFonts w:hint="eastAsia"/>
                <w:color w:val="auto"/>
                <w:sz w:val="21"/>
                <w:szCs w:val="21"/>
              </w:rPr>
              <w:t>（万片）</w:t>
            </w:r>
          </w:p>
        </w:tc>
        <w:tc>
          <w:tcPr>
            <w:tcW w:w="715" w:type="pct"/>
            <w:vAlign w:val="center"/>
          </w:tcPr>
          <w:p w14:paraId="6D9C6F09">
            <w:pPr>
              <w:jc w:val="center"/>
              <w:rPr>
                <w:color w:val="000000"/>
                <w:spacing w:val="-10"/>
                <w:kern w:val="0"/>
                <w:szCs w:val="21"/>
              </w:rPr>
            </w:pPr>
            <w:r>
              <w:rPr>
                <w:color w:val="000000"/>
                <w:szCs w:val="21"/>
              </w:rPr>
              <w:t>产品名称</w:t>
            </w:r>
          </w:p>
        </w:tc>
        <w:tc>
          <w:tcPr>
            <w:tcW w:w="893" w:type="pct"/>
            <w:vAlign w:val="center"/>
          </w:tcPr>
          <w:p w14:paraId="255CA6DB">
            <w:pPr>
              <w:pStyle w:val="127"/>
              <w:rPr>
                <w:color w:val="000000"/>
                <w:spacing w:val="-10"/>
                <w:kern w:val="0"/>
                <w:szCs w:val="21"/>
              </w:rPr>
            </w:pPr>
            <w:r>
              <w:rPr>
                <w:rFonts w:hint="eastAsia"/>
                <w:color w:val="auto"/>
                <w:sz w:val="21"/>
                <w:szCs w:val="21"/>
              </w:rPr>
              <w:t>规格</w:t>
            </w:r>
          </w:p>
        </w:tc>
        <w:tc>
          <w:tcPr>
            <w:tcW w:w="537" w:type="pct"/>
            <w:vAlign w:val="center"/>
          </w:tcPr>
          <w:p w14:paraId="72144088">
            <w:pPr>
              <w:pStyle w:val="127"/>
              <w:rPr>
                <w:color w:val="000000"/>
                <w:spacing w:val="-10"/>
                <w:kern w:val="0"/>
                <w:szCs w:val="21"/>
              </w:rPr>
            </w:pPr>
            <w:r>
              <w:rPr>
                <w:color w:val="auto"/>
                <w:sz w:val="21"/>
                <w:szCs w:val="21"/>
              </w:rPr>
              <w:t>年产量</w:t>
            </w:r>
            <w:r>
              <w:rPr>
                <w:rFonts w:hint="eastAsia"/>
                <w:color w:val="auto"/>
                <w:sz w:val="21"/>
                <w:szCs w:val="21"/>
              </w:rPr>
              <w:t>（万片）</w:t>
            </w:r>
          </w:p>
        </w:tc>
        <w:tc>
          <w:tcPr>
            <w:tcW w:w="709" w:type="pct"/>
            <w:vAlign w:val="center"/>
          </w:tcPr>
          <w:p w14:paraId="28D82A3A">
            <w:pPr>
              <w:jc w:val="center"/>
              <w:rPr>
                <w:color w:val="000000"/>
                <w:spacing w:val="0"/>
                <w:kern w:val="0"/>
                <w:sz w:val="21"/>
                <w:szCs w:val="21"/>
              </w:rPr>
            </w:pPr>
            <w:r>
              <w:rPr>
                <w:color w:val="000000"/>
                <w:spacing w:val="0"/>
                <w:kern w:val="0"/>
                <w:sz w:val="21"/>
                <w:szCs w:val="21"/>
              </w:rPr>
              <w:t>与环评一致</w:t>
            </w:r>
          </w:p>
        </w:tc>
      </w:tr>
      <w:tr w14:paraId="1C6384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709" w:type="pct"/>
            <w:vAlign w:val="center"/>
          </w:tcPr>
          <w:p w14:paraId="53934714">
            <w:pPr>
              <w:widowControl/>
              <w:snapToGrid w:val="0"/>
              <w:jc w:val="center"/>
              <w:rPr>
                <w:color w:val="7030A0"/>
                <w:kern w:val="0"/>
                <w:szCs w:val="21"/>
              </w:rPr>
            </w:pPr>
            <w:r>
              <w:rPr>
                <w:rFonts w:hint="eastAsia"/>
                <w:color w:val="auto"/>
                <w:sz w:val="21"/>
                <w:szCs w:val="21"/>
              </w:rPr>
              <w:t>手机玻璃</w:t>
            </w:r>
            <w:r>
              <w:rPr>
                <w:rFonts w:hint="eastAsia"/>
                <w:color w:val="auto"/>
                <w:sz w:val="21"/>
                <w:szCs w:val="21"/>
                <w:lang w:val="en-US" w:eastAsia="zh-CN"/>
              </w:rPr>
              <w:t>后盖</w:t>
            </w:r>
          </w:p>
        </w:tc>
        <w:tc>
          <w:tcPr>
            <w:tcW w:w="906" w:type="pct"/>
            <w:vAlign w:val="center"/>
          </w:tcPr>
          <w:p w14:paraId="541AA2E8">
            <w:pPr>
              <w:pStyle w:val="127"/>
              <w:rPr>
                <w:color w:val="7030A0"/>
                <w:szCs w:val="21"/>
              </w:rPr>
            </w:pPr>
            <w:r>
              <w:rPr>
                <w:rFonts w:hint="eastAsia"/>
                <w:color w:val="auto"/>
                <w:sz w:val="21"/>
                <w:szCs w:val="21"/>
                <w:lang w:val="en-US" w:eastAsia="zh-CN"/>
              </w:rPr>
              <w:t>3</w:t>
            </w:r>
            <w:r>
              <w:rPr>
                <w:color w:val="auto"/>
                <w:sz w:val="21"/>
                <w:szCs w:val="21"/>
              </w:rPr>
              <w:t>D</w:t>
            </w:r>
            <w:r>
              <w:rPr>
                <w:rFonts w:hint="eastAsia"/>
                <w:color w:val="auto"/>
                <w:sz w:val="21"/>
                <w:szCs w:val="21"/>
              </w:rPr>
              <w:t>玻璃盖板</w:t>
            </w:r>
            <w:r>
              <w:rPr>
                <w:rFonts w:hint="eastAsia"/>
                <w:color w:val="auto"/>
                <w:sz w:val="21"/>
                <w:szCs w:val="21"/>
                <w:lang w:eastAsia="zh-CN"/>
              </w:rPr>
              <w:t>（</w:t>
            </w:r>
            <w:r>
              <w:rPr>
                <w:rFonts w:hint="eastAsia"/>
                <w:color w:val="auto"/>
                <w:sz w:val="21"/>
                <w:szCs w:val="21"/>
                <w:lang w:val="en-US" w:eastAsia="zh-CN"/>
              </w:rPr>
              <w:t>含其他配件</w:t>
            </w:r>
            <w:r>
              <w:rPr>
                <w:rFonts w:hint="eastAsia"/>
                <w:color w:val="auto"/>
                <w:sz w:val="21"/>
                <w:szCs w:val="21"/>
                <w:lang w:eastAsia="zh-CN"/>
              </w:rPr>
              <w:t>）</w:t>
            </w:r>
          </w:p>
        </w:tc>
        <w:tc>
          <w:tcPr>
            <w:tcW w:w="528" w:type="pct"/>
            <w:vAlign w:val="center"/>
          </w:tcPr>
          <w:p w14:paraId="6A080D53">
            <w:pPr>
              <w:pStyle w:val="127"/>
            </w:pPr>
            <w:r>
              <w:rPr>
                <w:rFonts w:hint="eastAsia"/>
                <w:color w:val="auto"/>
                <w:sz w:val="21"/>
                <w:szCs w:val="21"/>
                <w:lang w:val="en-US" w:eastAsia="zh-CN"/>
              </w:rPr>
              <w:t>800</w:t>
            </w:r>
          </w:p>
        </w:tc>
        <w:tc>
          <w:tcPr>
            <w:tcW w:w="715" w:type="pct"/>
            <w:vAlign w:val="center"/>
          </w:tcPr>
          <w:p w14:paraId="1CE8738D">
            <w:pPr>
              <w:widowControl/>
              <w:snapToGrid w:val="0"/>
              <w:jc w:val="center"/>
              <w:rPr>
                <w:color w:val="7030A0"/>
                <w:szCs w:val="21"/>
              </w:rPr>
            </w:pPr>
            <w:r>
              <w:rPr>
                <w:rFonts w:hint="eastAsia"/>
                <w:color w:val="auto"/>
                <w:sz w:val="21"/>
                <w:szCs w:val="21"/>
              </w:rPr>
              <w:t>手机玻璃</w:t>
            </w:r>
            <w:r>
              <w:rPr>
                <w:rFonts w:hint="eastAsia"/>
                <w:color w:val="auto"/>
                <w:sz w:val="21"/>
                <w:szCs w:val="21"/>
                <w:lang w:val="en-US" w:eastAsia="zh-CN"/>
              </w:rPr>
              <w:t>后盖</w:t>
            </w:r>
          </w:p>
        </w:tc>
        <w:tc>
          <w:tcPr>
            <w:tcW w:w="893" w:type="pct"/>
            <w:vAlign w:val="center"/>
          </w:tcPr>
          <w:p w14:paraId="1CA5B6D3">
            <w:pPr>
              <w:pStyle w:val="127"/>
              <w:rPr>
                <w:color w:val="7030A0"/>
                <w:szCs w:val="21"/>
              </w:rPr>
            </w:pPr>
            <w:r>
              <w:rPr>
                <w:rFonts w:hint="eastAsia"/>
                <w:color w:val="auto"/>
                <w:sz w:val="21"/>
                <w:szCs w:val="21"/>
                <w:lang w:val="en-US" w:eastAsia="zh-CN"/>
              </w:rPr>
              <w:t>3</w:t>
            </w:r>
            <w:r>
              <w:rPr>
                <w:color w:val="auto"/>
                <w:sz w:val="21"/>
                <w:szCs w:val="21"/>
              </w:rPr>
              <w:t>D</w:t>
            </w:r>
            <w:r>
              <w:rPr>
                <w:rFonts w:hint="eastAsia"/>
                <w:color w:val="auto"/>
                <w:sz w:val="21"/>
                <w:szCs w:val="21"/>
              </w:rPr>
              <w:t>玻璃盖板</w:t>
            </w:r>
            <w:r>
              <w:rPr>
                <w:rFonts w:hint="eastAsia"/>
                <w:color w:val="auto"/>
                <w:sz w:val="21"/>
                <w:szCs w:val="21"/>
                <w:lang w:eastAsia="zh-CN"/>
              </w:rPr>
              <w:t>（</w:t>
            </w:r>
            <w:r>
              <w:rPr>
                <w:rFonts w:hint="eastAsia"/>
                <w:color w:val="auto"/>
                <w:sz w:val="21"/>
                <w:szCs w:val="21"/>
                <w:lang w:val="en-US" w:eastAsia="zh-CN"/>
              </w:rPr>
              <w:t>含其他配件</w:t>
            </w:r>
            <w:r>
              <w:rPr>
                <w:rFonts w:hint="eastAsia"/>
                <w:color w:val="auto"/>
                <w:sz w:val="21"/>
                <w:szCs w:val="21"/>
                <w:lang w:eastAsia="zh-CN"/>
              </w:rPr>
              <w:t>）</w:t>
            </w:r>
          </w:p>
        </w:tc>
        <w:tc>
          <w:tcPr>
            <w:tcW w:w="537" w:type="pct"/>
            <w:vAlign w:val="center"/>
          </w:tcPr>
          <w:p w14:paraId="05B5EFAD">
            <w:pPr>
              <w:pStyle w:val="127"/>
            </w:pPr>
            <w:r>
              <w:rPr>
                <w:rFonts w:hint="eastAsia"/>
                <w:color w:val="auto"/>
                <w:sz w:val="21"/>
                <w:szCs w:val="21"/>
                <w:lang w:val="en-US" w:eastAsia="zh-CN"/>
              </w:rPr>
              <w:t>800</w:t>
            </w:r>
          </w:p>
        </w:tc>
        <w:tc>
          <w:tcPr>
            <w:tcW w:w="709" w:type="pct"/>
            <w:vAlign w:val="center"/>
          </w:tcPr>
          <w:p w14:paraId="20401A97">
            <w:pPr>
              <w:widowControl/>
              <w:snapToGrid w:val="0"/>
              <w:jc w:val="center"/>
              <w:rPr>
                <w:color w:val="7030A0"/>
                <w:spacing w:val="0"/>
                <w:sz w:val="21"/>
                <w:szCs w:val="21"/>
              </w:rPr>
            </w:pPr>
            <w:r>
              <w:rPr>
                <w:color w:val="000000"/>
                <w:spacing w:val="0"/>
                <w:kern w:val="0"/>
                <w:sz w:val="21"/>
                <w:szCs w:val="21"/>
              </w:rPr>
              <w:t>与环评一致</w:t>
            </w:r>
          </w:p>
        </w:tc>
      </w:tr>
    </w:tbl>
    <w:p w14:paraId="531E86DD">
      <w:pPr>
        <w:spacing w:line="490" w:lineRule="exact"/>
        <w:ind w:firstLine="480" w:firstLineChars="200"/>
        <w:rPr>
          <w:sz w:val="24"/>
          <w:szCs w:val="24"/>
        </w:rPr>
      </w:pPr>
      <w:r>
        <w:rPr>
          <w:sz w:val="24"/>
          <w:szCs w:val="24"/>
        </w:rPr>
        <w:t>本次</w:t>
      </w:r>
      <w:r>
        <w:rPr>
          <w:rFonts w:hint="eastAsia"/>
          <w:sz w:val="24"/>
          <w:szCs w:val="24"/>
        </w:rPr>
        <w:t>实际生产规模与环评要求一致。</w:t>
      </w:r>
    </w:p>
    <w:p w14:paraId="756BFEA7">
      <w:pPr>
        <w:pStyle w:val="4"/>
        <w:spacing w:before="0" w:after="0" w:line="490" w:lineRule="exact"/>
        <w:rPr>
          <w:sz w:val="24"/>
          <w:szCs w:val="24"/>
          <w:highlight w:val="none"/>
        </w:rPr>
      </w:pPr>
      <w:r>
        <w:rPr>
          <w:sz w:val="24"/>
          <w:szCs w:val="24"/>
          <w:highlight w:val="none"/>
        </w:rPr>
        <w:t>3.2.4</w:t>
      </w:r>
      <w:r>
        <w:rPr>
          <w:rFonts w:hint="eastAsia"/>
          <w:sz w:val="24"/>
          <w:szCs w:val="24"/>
          <w:highlight w:val="none"/>
        </w:rPr>
        <w:t>项目主要生产设备</w:t>
      </w:r>
    </w:p>
    <w:p w14:paraId="61793EC0">
      <w:pPr>
        <w:spacing w:line="360" w:lineRule="auto"/>
        <w:ind w:firstLine="480" w:firstLineChars="200"/>
        <w:rPr>
          <w:sz w:val="24"/>
          <w:szCs w:val="24"/>
        </w:rPr>
      </w:pPr>
      <w:r>
        <w:rPr>
          <w:rFonts w:hint="eastAsia"/>
          <w:sz w:val="24"/>
          <w:szCs w:val="24"/>
          <w:lang w:val="en-US" w:eastAsia="zh-CN"/>
        </w:rPr>
        <w:t>根据建设单位提供的资料，项目</w:t>
      </w:r>
      <w:r>
        <w:rPr>
          <w:sz w:val="24"/>
          <w:szCs w:val="24"/>
        </w:rPr>
        <w:t>实际生产设备</w:t>
      </w:r>
      <w:r>
        <w:rPr>
          <w:rFonts w:hint="eastAsia"/>
          <w:sz w:val="24"/>
          <w:szCs w:val="24"/>
        </w:rPr>
        <w:t>与环评核定</w:t>
      </w:r>
      <w:r>
        <w:rPr>
          <w:sz w:val="24"/>
          <w:szCs w:val="24"/>
        </w:rPr>
        <w:t>情况详见表3-</w:t>
      </w:r>
      <w:r>
        <w:rPr>
          <w:rFonts w:hint="eastAsia"/>
          <w:sz w:val="24"/>
          <w:szCs w:val="24"/>
          <w:lang w:val="en-US" w:eastAsia="zh-CN"/>
        </w:rPr>
        <w:t>5</w:t>
      </w:r>
      <w:r>
        <w:rPr>
          <w:rFonts w:hint="eastAsia"/>
          <w:sz w:val="24"/>
          <w:szCs w:val="24"/>
        </w:rPr>
        <w:t>。</w:t>
      </w:r>
    </w:p>
    <w:p w14:paraId="036925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sz w:val="24"/>
          <w:szCs w:val="24"/>
        </w:rPr>
      </w:pPr>
      <w:r>
        <w:rPr>
          <w:b/>
          <w:sz w:val="24"/>
          <w:szCs w:val="24"/>
        </w:rPr>
        <w:t>表3-</w:t>
      </w:r>
      <w:r>
        <w:rPr>
          <w:rFonts w:hint="eastAsia"/>
          <w:b/>
          <w:sz w:val="24"/>
          <w:szCs w:val="24"/>
          <w:lang w:val="en-US" w:eastAsia="zh-CN"/>
        </w:rPr>
        <w:t>5</w:t>
      </w:r>
      <w:r>
        <w:rPr>
          <w:b/>
          <w:sz w:val="24"/>
          <w:szCs w:val="24"/>
        </w:rPr>
        <w:t xml:space="preserve">  </w:t>
      </w:r>
      <w:r>
        <w:rPr>
          <w:rFonts w:hint="eastAsia"/>
          <w:b/>
          <w:sz w:val="24"/>
          <w:szCs w:val="24"/>
        </w:rPr>
        <w:t>项目</w:t>
      </w:r>
      <w:r>
        <w:rPr>
          <w:b/>
          <w:sz w:val="24"/>
          <w:szCs w:val="24"/>
        </w:rPr>
        <w:t>主要生产设备</w:t>
      </w:r>
      <w:r>
        <w:rPr>
          <w:rFonts w:hint="eastAsia"/>
          <w:b/>
          <w:sz w:val="24"/>
          <w:szCs w:val="24"/>
        </w:rPr>
        <w:t>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3198"/>
        <w:gridCol w:w="764"/>
        <w:gridCol w:w="1576"/>
        <w:gridCol w:w="1596"/>
        <w:gridCol w:w="1396"/>
      </w:tblGrid>
      <w:tr w14:paraId="52ECA5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50C23C56">
            <w:pPr>
              <w:pStyle w:val="32"/>
              <w:widowControl w:val="0"/>
              <w:spacing w:before="0" w:beforeAutospacing="0" w:after="0" w:afterAutospacing="0" w:line="240" w:lineRule="auto"/>
              <w:jc w:val="center"/>
              <w:rPr>
                <w:rFonts w:ascii="Times New Roman" w:hAnsi="Times New Roman"/>
                <w:kern w:val="2"/>
                <w:sz w:val="21"/>
                <w:szCs w:val="21"/>
                <w:lang w:bidi="ar"/>
              </w:rPr>
            </w:pPr>
            <w:r>
              <w:rPr>
                <w:rFonts w:ascii="Times New Roman" w:hAnsi="Times New Roman"/>
                <w:kern w:val="2"/>
                <w:sz w:val="21"/>
                <w:szCs w:val="21"/>
                <w:lang w:bidi="ar"/>
              </w:rPr>
              <w:t>序号</w:t>
            </w:r>
          </w:p>
        </w:tc>
        <w:tc>
          <w:tcPr>
            <w:tcW w:w="1729" w:type="pct"/>
            <w:shd w:val="clear" w:color="auto" w:fill="auto"/>
            <w:vAlign w:val="center"/>
          </w:tcPr>
          <w:p w14:paraId="73C2A44D">
            <w:pPr>
              <w:pStyle w:val="32"/>
              <w:widowControl w:val="0"/>
              <w:spacing w:before="0" w:beforeAutospacing="0" w:after="0" w:afterAutospacing="0" w:line="240" w:lineRule="auto"/>
              <w:jc w:val="center"/>
              <w:rPr>
                <w:rFonts w:ascii="Times New Roman" w:hAnsi="Times New Roman"/>
                <w:kern w:val="2"/>
                <w:sz w:val="21"/>
                <w:szCs w:val="21"/>
                <w:lang w:bidi="ar"/>
              </w:rPr>
            </w:pPr>
            <w:bookmarkStart w:id="50" w:name="_Hlk167870280"/>
            <w:r>
              <w:rPr>
                <w:rFonts w:ascii="Times New Roman" w:hAnsi="Times New Roman"/>
                <w:kern w:val="2"/>
                <w:sz w:val="21"/>
                <w:szCs w:val="21"/>
                <w:lang w:bidi="ar"/>
              </w:rPr>
              <w:t>设备名称</w:t>
            </w:r>
          </w:p>
        </w:tc>
        <w:tc>
          <w:tcPr>
            <w:tcW w:w="413" w:type="pct"/>
            <w:shd w:val="clear" w:color="auto" w:fill="auto"/>
            <w:vAlign w:val="center"/>
          </w:tcPr>
          <w:p w14:paraId="0D261018">
            <w:pPr>
              <w:pStyle w:val="32"/>
              <w:widowControl w:val="0"/>
              <w:spacing w:before="0" w:beforeAutospacing="0" w:after="0" w:afterAutospacing="0" w:line="240" w:lineRule="auto"/>
              <w:jc w:val="center"/>
              <w:rPr>
                <w:rFonts w:hint="eastAsia" w:ascii="Times New Roman" w:hAnsi="Times New Roman" w:eastAsia="宋体"/>
                <w:kern w:val="2"/>
                <w:sz w:val="21"/>
                <w:szCs w:val="21"/>
                <w:lang w:eastAsia="zh-CN" w:bidi="ar"/>
              </w:rPr>
            </w:pPr>
            <w:r>
              <w:rPr>
                <w:rFonts w:hint="eastAsia" w:ascii="Times New Roman" w:hAnsi="Times New Roman"/>
                <w:kern w:val="2"/>
                <w:sz w:val="21"/>
                <w:szCs w:val="21"/>
                <w:lang w:val="en-US" w:eastAsia="zh-CN" w:bidi="ar"/>
              </w:rPr>
              <w:t>单位</w:t>
            </w:r>
          </w:p>
        </w:tc>
        <w:tc>
          <w:tcPr>
            <w:tcW w:w="852" w:type="pct"/>
            <w:shd w:val="clear" w:color="auto" w:fill="auto"/>
            <w:vAlign w:val="center"/>
          </w:tcPr>
          <w:p w14:paraId="08440E69">
            <w:pPr>
              <w:pStyle w:val="32"/>
              <w:widowControl w:val="0"/>
              <w:spacing w:before="0" w:beforeAutospacing="0" w:after="0" w:afterAutospacing="0" w:line="240" w:lineRule="auto"/>
              <w:jc w:val="center"/>
              <w:rPr>
                <w:rFonts w:ascii="Times New Roman" w:hAnsi="Times New Roman"/>
                <w:kern w:val="2"/>
                <w:sz w:val="21"/>
                <w:szCs w:val="21"/>
                <w:lang w:bidi="ar"/>
              </w:rPr>
            </w:pPr>
            <w:r>
              <w:rPr>
                <w:rFonts w:ascii="Times New Roman" w:hAnsi="Times New Roman"/>
                <w:kern w:val="2"/>
                <w:sz w:val="21"/>
                <w:szCs w:val="21"/>
                <w:lang w:bidi="ar"/>
              </w:rPr>
              <w:t>环评核定数量</w:t>
            </w:r>
          </w:p>
        </w:tc>
        <w:tc>
          <w:tcPr>
            <w:tcW w:w="863" w:type="pct"/>
            <w:shd w:val="clear" w:color="auto" w:fill="auto"/>
            <w:vAlign w:val="center"/>
          </w:tcPr>
          <w:p w14:paraId="5CD17E40">
            <w:pPr>
              <w:pStyle w:val="32"/>
              <w:widowControl w:val="0"/>
              <w:spacing w:before="0" w:beforeAutospacing="0" w:after="0" w:afterAutospacing="0" w:line="240" w:lineRule="auto"/>
              <w:jc w:val="center"/>
              <w:rPr>
                <w:rFonts w:ascii="Times New Roman" w:hAnsi="Times New Roman"/>
                <w:kern w:val="2"/>
                <w:sz w:val="21"/>
                <w:szCs w:val="21"/>
                <w:lang w:bidi="ar"/>
              </w:rPr>
            </w:pPr>
            <w:r>
              <w:rPr>
                <w:rFonts w:ascii="Times New Roman" w:hAnsi="Times New Roman"/>
                <w:kern w:val="2"/>
                <w:sz w:val="21"/>
                <w:szCs w:val="21"/>
                <w:lang w:bidi="ar"/>
              </w:rPr>
              <w:t>实际建成数量</w:t>
            </w:r>
          </w:p>
        </w:tc>
        <w:tc>
          <w:tcPr>
            <w:tcW w:w="755" w:type="pct"/>
            <w:shd w:val="clear" w:color="auto" w:fill="auto"/>
            <w:vAlign w:val="center"/>
          </w:tcPr>
          <w:p w14:paraId="6BE53344">
            <w:pPr>
              <w:pStyle w:val="32"/>
              <w:widowControl w:val="0"/>
              <w:spacing w:before="0" w:beforeAutospacing="0" w:after="0" w:afterAutospacing="0" w:line="240" w:lineRule="auto"/>
              <w:jc w:val="center"/>
              <w:rPr>
                <w:rFonts w:ascii="Times New Roman" w:hAnsi="Times New Roman"/>
                <w:kern w:val="2"/>
                <w:sz w:val="21"/>
                <w:szCs w:val="21"/>
                <w:lang w:bidi="ar"/>
              </w:rPr>
            </w:pPr>
            <w:r>
              <w:rPr>
                <w:rFonts w:ascii="Times New Roman" w:hAnsi="Times New Roman"/>
                <w:kern w:val="2"/>
                <w:sz w:val="21"/>
                <w:szCs w:val="21"/>
                <w:lang w:bidi="ar"/>
              </w:rPr>
              <w:t>变更情况</w:t>
            </w:r>
          </w:p>
        </w:tc>
      </w:tr>
      <w:tr w14:paraId="7E849B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5C133075">
            <w:pPr>
              <w:pStyle w:val="115"/>
              <w:numPr>
                <w:ilvl w:val="0"/>
                <w:numId w:val="2"/>
              </w:numPr>
              <w:adjustRightInd w:val="0"/>
              <w:snapToGrid w:val="0"/>
              <w:ind w:firstLineChars="0"/>
              <w:jc w:val="center"/>
              <w:rPr>
                <w:szCs w:val="21"/>
              </w:rPr>
            </w:pPr>
          </w:p>
        </w:tc>
        <w:tc>
          <w:tcPr>
            <w:tcW w:w="1729" w:type="pct"/>
            <w:shd w:val="clear" w:color="auto" w:fill="auto"/>
            <w:vAlign w:val="center"/>
          </w:tcPr>
          <w:p w14:paraId="5B9AB095">
            <w:pPr>
              <w:autoSpaceDE w:val="0"/>
              <w:autoSpaceDN w:val="0"/>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凹面保护油墨喷涂机</w:t>
            </w:r>
          </w:p>
        </w:tc>
        <w:tc>
          <w:tcPr>
            <w:tcW w:w="413" w:type="pct"/>
            <w:shd w:val="clear" w:color="auto" w:fill="auto"/>
            <w:vAlign w:val="center"/>
          </w:tcPr>
          <w:p w14:paraId="58752C94">
            <w:pPr>
              <w:autoSpaceDE w:val="0"/>
              <w:autoSpaceDN w:val="0"/>
              <w:adjustRightInd w:val="0"/>
              <w:snapToGrid w:val="0"/>
              <w:jc w:val="center"/>
              <w:rPr>
                <w:rFonts w:hint="default" w:ascii="Times New Roman" w:hAnsi="Times New Roman"/>
                <w:color w:val="auto"/>
                <w:sz w:val="21"/>
                <w:szCs w:val="21"/>
              </w:rPr>
            </w:pPr>
            <w:r>
              <w:rPr>
                <w:rFonts w:hint="eastAsia"/>
                <w:bCs/>
                <w:color w:val="auto"/>
                <w:szCs w:val="21"/>
              </w:rPr>
              <w:t>台</w:t>
            </w:r>
          </w:p>
        </w:tc>
        <w:tc>
          <w:tcPr>
            <w:tcW w:w="852" w:type="pct"/>
            <w:shd w:val="clear" w:color="auto" w:fill="auto"/>
            <w:vAlign w:val="center"/>
          </w:tcPr>
          <w:p w14:paraId="223C0B8D">
            <w:pPr>
              <w:autoSpaceDE w:val="0"/>
              <w:autoSpaceDN w:val="0"/>
              <w:adjustRightInd w:val="0"/>
              <w:snapToGrid w:val="0"/>
              <w:jc w:val="center"/>
              <w:rPr>
                <w:rFonts w:ascii="Times New Roman" w:hAnsi="Times New Roman"/>
                <w:sz w:val="21"/>
                <w:szCs w:val="21"/>
              </w:rPr>
            </w:pPr>
            <w:r>
              <w:rPr>
                <w:rFonts w:hint="eastAsia"/>
                <w:bCs/>
                <w:color w:val="auto"/>
                <w:szCs w:val="21"/>
                <w:lang w:val="en-US" w:eastAsia="zh-CN"/>
              </w:rPr>
              <w:t>4</w:t>
            </w:r>
          </w:p>
        </w:tc>
        <w:tc>
          <w:tcPr>
            <w:tcW w:w="863" w:type="pct"/>
            <w:shd w:val="clear" w:color="auto" w:fill="auto"/>
            <w:vAlign w:val="center"/>
          </w:tcPr>
          <w:p w14:paraId="7493D545">
            <w:pPr>
              <w:autoSpaceDE w:val="0"/>
              <w:autoSpaceDN w:val="0"/>
              <w:adjustRightInd w:val="0"/>
              <w:snapToGrid w:val="0"/>
              <w:jc w:val="center"/>
              <w:rPr>
                <w:rFonts w:hint="eastAsia" w:ascii="Times New Roman" w:hAnsi="Times New Roman" w:eastAsia="宋体" w:cs="Times New Roman"/>
                <w:kern w:val="2"/>
                <w:sz w:val="21"/>
                <w:szCs w:val="21"/>
                <w:lang w:val="en-US" w:eastAsia="zh-CN" w:bidi="ar-SA"/>
              </w:rPr>
            </w:pPr>
            <w:r>
              <w:rPr>
                <w:rFonts w:hint="eastAsia"/>
                <w:bCs/>
                <w:color w:val="auto"/>
                <w:szCs w:val="21"/>
                <w:lang w:val="en-US" w:eastAsia="zh-CN"/>
              </w:rPr>
              <w:t>4</w:t>
            </w:r>
          </w:p>
        </w:tc>
        <w:tc>
          <w:tcPr>
            <w:tcW w:w="755" w:type="pct"/>
            <w:shd w:val="clear" w:color="auto" w:fill="auto"/>
            <w:vAlign w:val="center"/>
          </w:tcPr>
          <w:p w14:paraId="6669A8FB">
            <w:pPr>
              <w:pStyle w:val="32"/>
              <w:widowControl w:val="0"/>
              <w:spacing w:before="0" w:beforeAutospacing="0" w:after="0" w:afterAutospacing="0" w:line="240" w:lineRule="auto"/>
              <w:jc w:val="center"/>
              <w:rPr>
                <w:rFonts w:ascii="Times New Roman" w:hAnsi="Times New Roman"/>
                <w:kern w:val="2"/>
                <w:sz w:val="21"/>
                <w:szCs w:val="21"/>
              </w:rPr>
            </w:pPr>
            <w:r>
              <w:rPr>
                <w:rFonts w:ascii="Times New Roman" w:hAnsi="Times New Roman"/>
                <w:kern w:val="2"/>
                <w:sz w:val="21"/>
                <w:szCs w:val="21"/>
              </w:rPr>
              <w:t>与环评一致</w:t>
            </w:r>
          </w:p>
        </w:tc>
      </w:tr>
      <w:tr w14:paraId="47D238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407A85C0">
            <w:pPr>
              <w:pStyle w:val="115"/>
              <w:numPr>
                <w:ilvl w:val="0"/>
                <w:numId w:val="2"/>
              </w:numPr>
              <w:adjustRightInd w:val="0"/>
              <w:snapToGrid w:val="0"/>
              <w:ind w:firstLineChars="0"/>
              <w:jc w:val="center"/>
              <w:rPr>
                <w:szCs w:val="21"/>
              </w:rPr>
            </w:pPr>
          </w:p>
        </w:tc>
        <w:tc>
          <w:tcPr>
            <w:tcW w:w="1729" w:type="pct"/>
            <w:shd w:val="clear" w:color="auto" w:fill="auto"/>
            <w:vAlign w:val="center"/>
          </w:tcPr>
          <w:p w14:paraId="4042AA3A">
            <w:pPr>
              <w:autoSpaceDE w:val="0"/>
              <w:autoSpaceDN w:val="0"/>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立式烤箱</w:t>
            </w:r>
          </w:p>
        </w:tc>
        <w:tc>
          <w:tcPr>
            <w:tcW w:w="413" w:type="pct"/>
            <w:shd w:val="clear" w:color="auto" w:fill="auto"/>
            <w:vAlign w:val="center"/>
          </w:tcPr>
          <w:p w14:paraId="58893D9F">
            <w:pPr>
              <w:autoSpaceDE w:val="0"/>
              <w:autoSpaceDN w:val="0"/>
              <w:adjustRightInd w:val="0"/>
              <w:snapToGrid w:val="0"/>
              <w:jc w:val="center"/>
              <w:rPr>
                <w:rFonts w:hint="default" w:ascii="Times New Roman" w:hAnsi="Times New Roman"/>
                <w:color w:val="7030A0"/>
                <w:sz w:val="21"/>
                <w:szCs w:val="21"/>
              </w:rPr>
            </w:pPr>
            <w:r>
              <w:rPr>
                <w:rFonts w:hint="eastAsia"/>
                <w:bCs/>
                <w:color w:val="auto"/>
                <w:szCs w:val="21"/>
              </w:rPr>
              <w:t>台</w:t>
            </w:r>
          </w:p>
        </w:tc>
        <w:tc>
          <w:tcPr>
            <w:tcW w:w="852" w:type="pct"/>
            <w:shd w:val="clear" w:color="auto" w:fill="auto"/>
            <w:vAlign w:val="center"/>
          </w:tcPr>
          <w:p w14:paraId="240DF2B3">
            <w:pPr>
              <w:autoSpaceDE w:val="0"/>
              <w:autoSpaceDN w:val="0"/>
              <w:adjustRightInd w:val="0"/>
              <w:snapToGrid w:val="0"/>
              <w:jc w:val="center"/>
              <w:rPr>
                <w:rFonts w:ascii="Times New Roman" w:hAnsi="Times New Roman"/>
                <w:color w:val="7030A0"/>
                <w:kern w:val="2"/>
                <w:sz w:val="21"/>
                <w:szCs w:val="21"/>
                <w:lang w:bidi="ar"/>
              </w:rPr>
            </w:pPr>
            <w:r>
              <w:rPr>
                <w:rFonts w:hint="eastAsia"/>
                <w:bCs/>
                <w:color w:val="auto"/>
                <w:szCs w:val="21"/>
                <w:lang w:val="en-US" w:eastAsia="zh-CN"/>
              </w:rPr>
              <w:t>4</w:t>
            </w:r>
          </w:p>
        </w:tc>
        <w:tc>
          <w:tcPr>
            <w:tcW w:w="863" w:type="pct"/>
            <w:shd w:val="clear" w:color="auto" w:fill="auto"/>
            <w:vAlign w:val="center"/>
          </w:tcPr>
          <w:p w14:paraId="4624931F">
            <w:pPr>
              <w:autoSpaceDE w:val="0"/>
              <w:autoSpaceDN w:val="0"/>
              <w:adjustRightInd w:val="0"/>
              <w:snapToGrid w:val="0"/>
              <w:jc w:val="center"/>
              <w:rPr>
                <w:rFonts w:hint="eastAsia" w:ascii="Times New Roman" w:hAnsi="Times New Roman" w:eastAsia="宋体" w:cs="Times New Roman"/>
                <w:color w:val="7030A0"/>
                <w:kern w:val="2"/>
                <w:sz w:val="21"/>
                <w:szCs w:val="21"/>
                <w:lang w:val="en-US" w:eastAsia="zh-CN" w:bidi="ar"/>
              </w:rPr>
            </w:pPr>
            <w:r>
              <w:rPr>
                <w:rFonts w:hint="eastAsia"/>
                <w:bCs/>
                <w:color w:val="auto"/>
                <w:szCs w:val="21"/>
                <w:lang w:val="en-US" w:eastAsia="zh-CN"/>
              </w:rPr>
              <w:t>4</w:t>
            </w:r>
          </w:p>
        </w:tc>
        <w:tc>
          <w:tcPr>
            <w:tcW w:w="755" w:type="pct"/>
            <w:shd w:val="clear" w:color="auto" w:fill="auto"/>
            <w:vAlign w:val="center"/>
          </w:tcPr>
          <w:p w14:paraId="042CDACA">
            <w:pPr>
              <w:pStyle w:val="32"/>
              <w:widowControl w:val="0"/>
              <w:spacing w:before="0" w:beforeAutospacing="0" w:after="0" w:afterAutospacing="0" w:line="240" w:lineRule="auto"/>
              <w:jc w:val="center"/>
              <w:rPr>
                <w:rFonts w:ascii="Times New Roman" w:hAnsi="Times New Roman"/>
                <w:color w:val="7030A0"/>
                <w:kern w:val="2"/>
                <w:sz w:val="21"/>
                <w:szCs w:val="21"/>
              </w:rPr>
            </w:pPr>
            <w:r>
              <w:rPr>
                <w:rFonts w:ascii="Times New Roman" w:hAnsi="Times New Roman"/>
                <w:kern w:val="2"/>
                <w:sz w:val="21"/>
                <w:szCs w:val="21"/>
              </w:rPr>
              <w:t>与环评一致</w:t>
            </w:r>
          </w:p>
        </w:tc>
      </w:tr>
      <w:tr w14:paraId="7D64F4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7373E2BA">
            <w:pPr>
              <w:pStyle w:val="115"/>
              <w:numPr>
                <w:ilvl w:val="0"/>
                <w:numId w:val="2"/>
              </w:numPr>
              <w:adjustRightInd w:val="0"/>
              <w:snapToGrid w:val="0"/>
              <w:ind w:firstLineChars="0"/>
              <w:jc w:val="center"/>
              <w:rPr>
                <w:szCs w:val="21"/>
              </w:rPr>
            </w:pPr>
          </w:p>
        </w:tc>
        <w:tc>
          <w:tcPr>
            <w:tcW w:w="1729" w:type="pct"/>
            <w:shd w:val="clear" w:color="auto" w:fill="auto"/>
            <w:vAlign w:val="center"/>
          </w:tcPr>
          <w:p w14:paraId="66D3F3CC">
            <w:pPr>
              <w:autoSpaceDE w:val="0"/>
              <w:autoSpaceDN w:val="0"/>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凸面光刻机</w:t>
            </w:r>
          </w:p>
        </w:tc>
        <w:tc>
          <w:tcPr>
            <w:tcW w:w="413" w:type="pct"/>
            <w:shd w:val="clear" w:color="auto" w:fill="auto"/>
            <w:vAlign w:val="center"/>
          </w:tcPr>
          <w:p w14:paraId="6C3CBB7D">
            <w:pPr>
              <w:autoSpaceDE w:val="0"/>
              <w:autoSpaceDN w:val="0"/>
              <w:adjustRightInd w:val="0"/>
              <w:snapToGrid w:val="0"/>
              <w:jc w:val="center"/>
              <w:rPr>
                <w:rFonts w:hint="default" w:ascii="Times New Roman" w:hAnsi="Times New Roman"/>
                <w:color w:val="7030A0"/>
                <w:sz w:val="21"/>
                <w:szCs w:val="21"/>
              </w:rPr>
            </w:pPr>
            <w:r>
              <w:rPr>
                <w:rFonts w:hint="eastAsia"/>
                <w:bCs/>
                <w:color w:val="auto"/>
                <w:szCs w:val="21"/>
              </w:rPr>
              <w:t>台</w:t>
            </w:r>
          </w:p>
        </w:tc>
        <w:tc>
          <w:tcPr>
            <w:tcW w:w="852" w:type="pct"/>
            <w:shd w:val="clear" w:color="auto" w:fill="auto"/>
            <w:vAlign w:val="center"/>
          </w:tcPr>
          <w:p w14:paraId="70F19734">
            <w:pPr>
              <w:autoSpaceDE w:val="0"/>
              <w:autoSpaceDN w:val="0"/>
              <w:adjustRightInd w:val="0"/>
              <w:snapToGrid w:val="0"/>
              <w:jc w:val="center"/>
              <w:rPr>
                <w:rFonts w:ascii="Times New Roman" w:hAnsi="Times New Roman"/>
                <w:color w:val="7030A0"/>
                <w:kern w:val="2"/>
                <w:sz w:val="21"/>
                <w:szCs w:val="21"/>
                <w:lang w:bidi="ar"/>
              </w:rPr>
            </w:pPr>
            <w:r>
              <w:rPr>
                <w:rFonts w:hint="eastAsia"/>
                <w:bCs/>
                <w:color w:val="auto"/>
                <w:szCs w:val="21"/>
                <w:lang w:val="en-US" w:eastAsia="zh-CN"/>
              </w:rPr>
              <w:t>4</w:t>
            </w:r>
          </w:p>
        </w:tc>
        <w:tc>
          <w:tcPr>
            <w:tcW w:w="863" w:type="pct"/>
            <w:shd w:val="clear" w:color="auto" w:fill="auto"/>
            <w:vAlign w:val="center"/>
          </w:tcPr>
          <w:p w14:paraId="7F429C33">
            <w:pPr>
              <w:autoSpaceDE w:val="0"/>
              <w:autoSpaceDN w:val="0"/>
              <w:adjustRightInd w:val="0"/>
              <w:snapToGrid w:val="0"/>
              <w:jc w:val="center"/>
              <w:rPr>
                <w:rFonts w:hint="eastAsia" w:ascii="Times New Roman" w:hAnsi="Times New Roman" w:eastAsia="宋体" w:cs="Times New Roman"/>
                <w:color w:val="7030A0"/>
                <w:kern w:val="2"/>
                <w:sz w:val="21"/>
                <w:szCs w:val="21"/>
                <w:lang w:val="en-US" w:eastAsia="zh-CN" w:bidi="ar"/>
              </w:rPr>
            </w:pPr>
            <w:r>
              <w:rPr>
                <w:rFonts w:hint="eastAsia"/>
                <w:bCs/>
                <w:color w:val="auto"/>
                <w:szCs w:val="21"/>
                <w:lang w:val="en-US" w:eastAsia="zh-CN"/>
              </w:rPr>
              <w:t>4</w:t>
            </w:r>
          </w:p>
        </w:tc>
        <w:tc>
          <w:tcPr>
            <w:tcW w:w="755" w:type="pct"/>
            <w:shd w:val="clear" w:color="auto" w:fill="auto"/>
            <w:vAlign w:val="center"/>
          </w:tcPr>
          <w:p w14:paraId="396F498A">
            <w:pPr>
              <w:pStyle w:val="32"/>
              <w:widowControl w:val="0"/>
              <w:spacing w:before="0" w:beforeAutospacing="0" w:after="0" w:afterAutospacing="0" w:line="240" w:lineRule="auto"/>
              <w:jc w:val="center"/>
              <w:rPr>
                <w:rFonts w:ascii="Times New Roman" w:hAnsi="Times New Roman"/>
                <w:color w:val="7030A0"/>
                <w:kern w:val="2"/>
                <w:sz w:val="21"/>
                <w:szCs w:val="21"/>
              </w:rPr>
            </w:pPr>
            <w:r>
              <w:rPr>
                <w:rFonts w:ascii="Times New Roman" w:hAnsi="Times New Roman"/>
                <w:kern w:val="2"/>
                <w:sz w:val="21"/>
                <w:szCs w:val="21"/>
              </w:rPr>
              <w:t>与环评一致</w:t>
            </w:r>
          </w:p>
        </w:tc>
      </w:tr>
      <w:tr w14:paraId="797DEB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5A6FE40F">
            <w:pPr>
              <w:pStyle w:val="115"/>
              <w:numPr>
                <w:ilvl w:val="0"/>
                <w:numId w:val="2"/>
              </w:numPr>
              <w:adjustRightInd w:val="0"/>
              <w:snapToGrid w:val="0"/>
              <w:ind w:firstLineChars="0"/>
              <w:jc w:val="center"/>
              <w:rPr>
                <w:szCs w:val="21"/>
              </w:rPr>
            </w:pPr>
          </w:p>
        </w:tc>
        <w:tc>
          <w:tcPr>
            <w:tcW w:w="1729" w:type="pct"/>
            <w:shd w:val="clear" w:color="auto" w:fill="auto"/>
            <w:vAlign w:val="center"/>
          </w:tcPr>
          <w:p w14:paraId="24F52911">
            <w:pPr>
              <w:autoSpaceDE w:val="0"/>
              <w:autoSpaceDN w:val="0"/>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黄光曝光机</w:t>
            </w:r>
          </w:p>
        </w:tc>
        <w:tc>
          <w:tcPr>
            <w:tcW w:w="413" w:type="pct"/>
            <w:shd w:val="clear" w:color="auto" w:fill="auto"/>
            <w:vAlign w:val="center"/>
          </w:tcPr>
          <w:p w14:paraId="6C353DD3">
            <w:pPr>
              <w:autoSpaceDE w:val="0"/>
              <w:autoSpaceDN w:val="0"/>
              <w:adjustRightInd w:val="0"/>
              <w:snapToGrid w:val="0"/>
              <w:jc w:val="center"/>
              <w:rPr>
                <w:rFonts w:hint="default" w:ascii="Times New Roman" w:hAnsi="Times New Roman"/>
                <w:color w:val="7030A0"/>
                <w:sz w:val="21"/>
                <w:szCs w:val="21"/>
              </w:rPr>
            </w:pPr>
            <w:r>
              <w:rPr>
                <w:rFonts w:hint="eastAsia"/>
                <w:bCs/>
                <w:color w:val="auto"/>
                <w:szCs w:val="21"/>
                <w:lang w:val="en-US" w:eastAsia="zh-CN"/>
              </w:rPr>
              <w:t>台</w:t>
            </w:r>
          </w:p>
        </w:tc>
        <w:tc>
          <w:tcPr>
            <w:tcW w:w="852" w:type="pct"/>
            <w:shd w:val="clear" w:color="auto" w:fill="auto"/>
            <w:vAlign w:val="center"/>
          </w:tcPr>
          <w:p w14:paraId="5191C0E3">
            <w:pPr>
              <w:autoSpaceDE w:val="0"/>
              <w:autoSpaceDN w:val="0"/>
              <w:adjustRightInd w:val="0"/>
              <w:snapToGrid w:val="0"/>
              <w:jc w:val="center"/>
              <w:rPr>
                <w:rFonts w:ascii="Times New Roman" w:hAnsi="Times New Roman"/>
                <w:color w:val="7030A0"/>
                <w:kern w:val="2"/>
                <w:sz w:val="21"/>
                <w:szCs w:val="21"/>
                <w:lang w:bidi="ar"/>
              </w:rPr>
            </w:pPr>
            <w:r>
              <w:rPr>
                <w:rFonts w:hint="eastAsia"/>
                <w:bCs/>
                <w:color w:val="auto"/>
                <w:szCs w:val="21"/>
                <w:lang w:val="en-US" w:eastAsia="zh-CN"/>
              </w:rPr>
              <w:t>4</w:t>
            </w:r>
          </w:p>
        </w:tc>
        <w:tc>
          <w:tcPr>
            <w:tcW w:w="863" w:type="pct"/>
            <w:shd w:val="clear" w:color="auto" w:fill="auto"/>
            <w:vAlign w:val="center"/>
          </w:tcPr>
          <w:p w14:paraId="5FA19A68">
            <w:pPr>
              <w:autoSpaceDE w:val="0"/>
              <w:autoSpaceDN w:val="0"/>
              <w:adjustRightInd w:val="0"/>
              <w:snapToGrid w:val="0"/>
              <w:jc w:val="center"/>
              <w:rPr>
                <w:rFonts w:hint="eastAsia" w:ascii="Times New Roman" w:hAnsi="Times New Roman" w:eastAsia="宋体" w:cs="Times New Roman"/>
                <w:color w:val="7030A0"/>
                <w:kern w:val="2"/>
                <w:sz w:val="21"/>
                <w:szCs w:val="21"/>
                <w:lang w:val="en-US" w:eastAsia="zh-CN" w:bidi="ar"/>
              </w:rPr>
            </w:pPr>
            <w:r>
              <w:rPr>
                <w:rFonts w:hint="eastAsia"/>
                <w:bCs/>
                <w:color w:val="auto"/>
                <w:szCs w:val="21"/>
                <w:lang w:val="en-US" w:eastAsia="zh-CN"/>
              </w:rPr>
              <w:t>4</w:t>
            </w:r>
          </w:p>
        </w:tc>
        <w:tc>
          <w:tcPr>
            <w:tcW w:w="755" w:type="pct"/>
            <w:shd w:val="clear" w:color="auto" w:fill="auto"/>
            <w:vAlign w:val="center"/>
          </w:tcPr>
          <w:p w14:paraId="55AD6EBB">
            <w:pPr>
              <w:pStyle w:val="32"/>
              <w:widowControl w:val="0"/>
              <w:spacing w:before="0" w:beforeAutospacing="0" w:after="0" w:afterAutospacing="0" w:line="240" w:lineRule="auto"/>
              <w:jc w:val="center"/>
              <w:rPr>
                <w:rFonts w:ascii="Times New Roman" w:hAnsi="Times New Roman"/>
                <w:color w:val="7030A0"/>
                <w:kern w:val="2"/>
                <w:sz w:val="21"/>
                <w:szCs w:val="21"/>
              </w:rPr>
            </w:pPr>
            <w:r>
              <w:rPr>
                <w:rFonts w:ascii="Times New Roman" w:hAnsi="Times New Roman"/>
                <w:kern w:val="2"/>
                <w:sz w:val="21"/>
                <w:szCs w:val="21"/>
              </w:rPr>
              <w:t>与环评一致</w:t>
            </w:r>
          </w:p>
        </w:tc>
      </w:tr>
      <w:tr w14:paraId="7BCCC6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69498117">
            <w:pPr>
              <w:pStyle w:val="115"/>
              <w:numPr>
                <w:ilvl w:val="0"/>
                <w:numId w:val="2"/>
              </w:numPr>
              <w:adjustRightInd w:val="0"/>
              <w:snapToGrid w:val="0"/>
              <w:ind w:firstLineChars="0"/>
              <w:jc w:val="center"/>
              <w:rPr>
                <w:szCs w:val="21"/>
              </w:rPr>
            </w:pPr>
          </w:p>
        </w:tc>
        <w:tc>
          <w:tcPr>
            <w:tcW w:w="1729" w:type="pct"/>
            <w:shd w:val="clear" w:color="auto" w:fill="auto"/>
            <w:vAlign w:val="center"/>
          </w:tcPr>
          <w:p w14:paraId="6ECBF894">
            <w:pPr>
              <w:autoSpaceDE w:val="0"/>
              <w:autoSpaceDN w:val="0"/>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等离子清洗机</w:t>
            </w:r>
          </w:p>
        </w:tc>
        <w:tc>
          <w:tcPr>
            <w:tcW w:w="413" w:type="pct"/>
            <w:shd w:val="clear" w:color="auto" w:fill="auto"/>
            <w:vAlign w:val="center"/>
          </w:tcPr>
          <w:p w14:paraId="220C2F31">
            <w:pPr>
              <w:autoSpaceDE w:val="0"/>
              <w:autoSpaceDN w:val="0"/>
              <w:adjustRightInd w:val="0"/>
              <w:snapToGrid w:val="0"/>
              <w:jc w:val="center"/>
              <w:rPr>
                <w:rFonts w:hint="default" w:ascii="Times New Roman" w:hAnsi="Times New Roman"/>
                <w:color w:val="7030A0"/>
                <w:sz w:val="21"/>
                <w:szCs w:val="21"/>
              </w:rPr>
            </w:pPr>
            <w:r>
              <w:rPr>
                <w:rFonts w:hint="eastAsia"/>
                <w:bCs/>
                <w:color w:val="auto"/>
                <w:szCs w:val="21"/>
                <w:lang w:val="en-US" w:eastAsia="zh-CN"/>
              </w:rPr>
              <w:t>台</w:t>
            </w:r>
          </w:p>
        </w:tc>
        <w:tc>
          <w:tcPr>
            <w:tcW w:w="852" w:type="pct"/>
            <w:shd w:val="clear" w:color="auto" w:fill="auto"/>
            <w:vAlign w:val="center"/>
          </w:tcPr>
          <w:p w14:paraId="487B3428">
            <w:pPr>
              <w:autoSpaceDE w:val="0"/>
              <w:autoSpaceDN w:val="0"/>
              <w:adjustRightInd w:val="0"/>
              <w:snapToGrid w:val="0"/>
              <w:jc w:val="center"/>
              <w:rPr>
                <w:rFonts w:ascii="Times New Roman" w:hAnsi="Times New Roman"/>
                <w:color w:val="7030A0"/>
                <w:kern w:val="2"/>
                <w:sz w:val="21"/>
                <w:szCs w:val="21"/>
                <w:lang w:bidi="ar"/>
              </w:rPr>
            </w:pPr>
            <w:r>
              <w:rPr>
                <w:rFonts w:hint="eastAsia"/>
                <w:bCs/>
                <w:color w:val="auto"/>
                <w:szCs w:val="21"/>
                <w:lang w:val="en-US" w:eastAsia="zh-CN"/>
              </w:rPr>
              <w:t>4</w:t>
            </w:r>
          </w:p>
        </w:tc>
        <w:tc>
          <w:tcPr>
            <w:tcW w:w="863" w:type="pct"/>
            <w:shd w:val="clear" w:color="auto" w:fill="auto"/>
            <w:vAlign w:val="center"/>
          </w:tcPr>
          <w:p w14:paraId="398CB5B4">
            <w:pPr>
              <w:autoSpaceDE w:val="0"/>
              <w:autoSpaceDN w:val="0"/>
              <w:adjustRightInd w:val="0"/>
              <w:snapToGrid w:val="0"/>
              <w:jc w:val="center"/>
              <w:rPr>
                <w:rFonts w:hint="eastAsia" w:ascii="Times New Roman" w:hAnsi="Times New Roman" w:eastAsia="宋体" w:cs="Times New Roman"/>
                <w:color w:val="7030A0"/>
                <w:kern w:val="2"/>
                <w:sz w:val="21"/>
                <w:szCs w:val="21"/>
                <w:lang w:val="en-US" w:eastAsia="zh-CN" w:bidi="ar"/>
              </w:rPr>
            </w:pPr>
            <w:r>
              <w:rPr>
                <w:rFonts w:hint="eastAsia"/>
                <w:bCs/>
                <w:color w:val="auto"/>
                <w:szCs w:val="21"/>
                <w:lang w:val="en-US" w:eastAsia="zh-CN"/>
              </w:rPr>
              <w:t>4</w:t>
            </w:r>
          </w:p>
        </w:tc>
        <w:tc>
          <w:tcPr>
            <w:tcW w:w="755" w:type="pct"/>
            <w:shd w:val="clear" w:color="auto" w:fill="auto"/>
            <w:vAlign w:val="center"/>
          </w:tcPr>
          <w:p w14:paraId="662385B1">
            <w:pPr>
              <w:pStyle w:val="32"/>
              <w:widowControl w:val="0"/>
              <w:spacing w:before="0" w:beforeAutospacing="0" w:after="0" w:afterAutospacing="0" w:line="240" w:lineRule="auto"/>
              <w:jc w:val="center"/>
              <w:rPr>
                <w:rFonts w:ascii="Times New Roman" w:hAnsi="Times New Roman"/>
                <w:color w:val="7030A0"/>
                <w:kern w:val="2"/>
                <w:sz w:val="21"/>
                <w:szCs w:val="21"/>
              </w:rPr>
            </w:pPr>
            <w:r>
              <w:rPr>
                <w:rFonts w:ascii="Times New Roman" w:hAnsi="Times New Roman"/>
                <w:kern w:val="2"/>
                <w:sz w:val="21"/>
                <w:szCs w:val="21"/>
              </w:rPr>
              <w:t>与环评一致</w:t>
            </w:r>
          </w:p>
        </w:tc>
      </w:tr>
      <w:tr w14:paraId="6E2B67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0F2050F1">
            <w:pPr>
              <w:pStyle w:val="115"/>
              <w:numPr>
                <w:ilvl w:val="0"/>
                <w:numId w:val="2"/>
              </w:numPr>
              <w:adjustRightInd w:val="0"/>
              <w:snapToGrid w:val="0"/>
              <w:ind w:firstLineChars="0"/>
              <w:jc w:val="center"/>
              <w:rPr>
                <w:szCs w:val="21"/>
              </w:rPr>
            </w:pPr>
          </w:p>
        </w:tc>
        <w:tc>
          <w:tcPr>
            <w:tcW w:w="1729" w:type="pct"/>
            <w:shd w:val="clear" w:color="auto" w:fill="auto"/>
            <w:vAlign w:val="center"/>
          </w:tcPr>
          <w:p w14:paraId="79DC3F68">
            <w:pPr>
              <w:autoSpaceDE w:val="0"/>
              <w:autoSpaceDN w:val="0"/>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AG蚀刻生产线</w:t>
            </w:r>
          </w:p>
        </w:tc>
        <w:tc>
          <w:tcPr>
            <w:tcW w:w="413" w:type="pct"/>
            <w:shd w:val="clear" w:color="auto" w:fill="auto"/>
            <w:vAlign w:val="center"/>
          </w:tcPr>
          <w:p w14:paraId="1179717E">
            <w:pPr>
              <w:autoSpaceDE w:val="0"/>
              <w:autoSpaceDN w:val="0"/>
              <w:adjustRightInd w:val="0"/>
              <w:snapToGrid w:val="0"/>
              <w:jc w:val="center"/>
              <w:rPr>
                <w:rFonts w:hint="default" w:ascii="Times New Roman" w:hAnsi="Times New Roman"/>
                <w:color w:val="7030A0"/>
                <w:sz w:val="21"/>
                <w:szCs w:val="21"/>
              </w:rPr>
            </w:pPr>
            <w:r>
              <w:rPr>
                <w:rFonts w:hint="eastAsia"/>
                <w:bCs/>
                <w:color w:val="auto"/>
                <w:szCs w:val="21"/>
                <w:lang w:val="en-US" w:eastAsia="zh-CN"/>
              </w:rPr>
              <w:t>条</w:t>
            </w:r>
          </w:p>
        </w:tc>
        <w:tc>
          <w:tcPr>
            <w:tcW w:w="852" w:type="pct"/>
            <w:shd w:val="clear" w:color="auto" w:fill="auto"/>
            <w:vAlign w:val="center"/>
          </w:tcPr>
          <w:p w14:paraId="7B03BA39">
            <w:pPr>
              <w:autoSpaceDE w:val="0"/>
              <w:autoSpaceDN w:val="0"/>
              <w:adjustRightInd w:val="0"/>
              <w:snapToGrid w:val="0"/>
              <w:jc w:val="center"/>
              <w:rPr>
                <w:rFonts w:ascii="Times New Roman" w:hAnsi="Times New Roman"/>
                <w:color w:val="7030A0"/>
                <w:kern w:val="2"/>
                <w:sz w:val="21"/>
                <w:szCs w:val="21"/>
                <w:lang w:bidi="ar"/>
              </w:rPr>
            </w:pPr>
            <w:r>
              <w:rPr>
                <w:rFonts w:hint="eastAsia"/>
                <w:bCs/>
                <w:color w:val="auto"/>
                <w:szCs w:val="21"/>
                <w:lang w:val="en-US" w:eastAsia="zh-CN"/>
              </w:rPr>
              <w:t>1</w:t>
            </w:r>
          </w:p>
        </w:tc>
        <w:tc>
          <w:tcPr>
            <w:tcW w:w="863" w:type="pct"/>
            <w:shd w:val="clear" w:color="auto" w:fill="auto"/>
            <w:vAlign w:val="center"/>
          </w:tcPr>
          <w:p w14:paraId="590C1989">
            <w:pPr>
              <w:autoSpaceDE w:val="0"/>
              <w:autoSpaceDN w:val="0"/>
              <w:adjustRightInd w:val="0"/>
              <w:snapToGrid w:val="0"/>
              <w:jc w:val="center"/>
              <w:rPr>
                <w:rFonts w:ascii="Times New Roman" w:hAnsi="Times New Roman" w:eastAsia="宋体" w:cs="Times New Roman"/>
                <w:color w:val="7030A0"/>
                <w:kern w:val="2"/>
                <w:sz w:val="21"/>
                <w:szCs w:val="21"/>
                <w:lang w:val="en-US" w:eastAsia="zh-CN" w:bidi="ar"/>
              </w:rPr>
            </w:pPr>
            <w:r>
              <w:rPr>
                <w:rFonts w:hint="eastAsia"/>
                <w:bCs/>
                <w:color w:val="auto"/>
                <w:szCs w:val="21"/>
                <w:lang w:val="en-US" w:eastAsia="zh-CN"/>
              </w:rPr>
              <w:t>1</w:t>
            </w:r>
          </w:p>
        </w:tc>
        <w:tc>
          <w:tcPr>
            <w:tcW w:w="755" w:type="pct"/>
            <w:shd w:val="clear" w:color="auto" w:fill="auto"/>
            <w:vAlign w:val="center"/>
          </w:tcPr>
          <w:p w14:paraId="403C8E49">
            <w:pPr>
              <w:pStyle w:val="32"/>
              <w:widowControl w:val="0"/>
              <w:spacing w:before="0" w:beforeAutospacing="0" w:after="0" w:afterAutospacing="0" w:line="240" w:lineRule="auto"/>
              <w:jc w:val="center"/>
              <w:rPr>
                <w:rFonts w:ascii="Times New Roman" w:hAnsi="Times New Roman"/>
                <w:color w:val="7030A0"/>
                <w:kern w:val="2"/>
                <w:sz w:val="21"/>
                <w:szCs w:val="21"/>
              </w:rPr>
            </w:pPr>
            <w:r>
              <w:rPr>
                <w:rFonts w:ascii="Times New Roman" w:hAnsi="Times New Roman"/>
                <w:kern w:val="2"/>
                <w:sz w:val="21"/>
                <w:szCs w:val="21"/>
              </w:rPr>
              <w:t>与环评一致</w:t>
            </w:r>
          </w:p>
        </w:tc>
      </w:tr>
      <w:tr w14:paraId="3F7A5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29A59408">
            <w:pPr>
              <w:pStyle w:val="115"/>
              <w:numPr>
                <w:ilvl w:val="0"/>
                <w:numId w:val="2"/>
              </w:numPr>
              <w:adjustRightInd w:val="0"/>
              <w:snapToGrid w:val="0"/>
              <w:ind w:firstLineChars="0"/>
              <w:jc w:val="center"/>
              <w:rPr>
                <w:szCs w:val="21"/>
              </w:rPr>
            </w:pPr>
          </w:p>
        </w:tc>
        <w:tc>
          <w:tcPr>
            <w:tcW w:w="1729" w:type="pct"/>
            <w:shd w:val="clear" w:color="auto" w:fill="auto"/>
            <w:vAlign w:val="center"/>
          </w:tcPr>
          <w:p w14:paraId="122D8ED0">
            <w:pPr>
              <w:autoSpaceDE w:val="0"/>
              <w:autoSpaceDN w:val="0"/>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清洗机</w:t>
            </w:r>
          </w:p>
        </w:tc>
        <w:tc>
          <w:tcPr>
            <w:tcW w:w="413" w:type="pct"/>
            <w:shd w:val="clear" w:color="auto" w:fill="auto"/>
            <w:vAlign w:val="center"/>
          </w:tcPr>
          <w:p w14:paraId="78CC6CCB">
            <w:pPr>
              <w:autoSpaceDE w:val="0"/>
              <w:autoSpaceDN w:val="0"/>
              <w:adjustRightInd w:val="0"/>
              <w:snapToGrid w:val="0"/>
              <w:jc w:val="center"/>
              <w:rPr>
                <w:rFonts w:hint="default" w:ascii="Times New Roman" w:hAnsi="Times New Roman"/>
                <w:color w:val="7030A0"/>
                <w:sz w:val="21"/>
                <w:szCs w:val="21"/>
              </w:rPr>
            </w:pPr>
            <w:r>
              <w:rPr>
                <w:rFonts w:hint="eastAsia"/>
                <w:bCs/>
                <w:color w:val="auto"/>
                <w:szCs w:val="21"/>
              </w:rPr>
              <w:t>台</w:t>
            </w:r>
          </w:p>
        </w:tc>
        <w:tc>
          <w:tcPr>
            <w:tcW w:w="852" w:type="pct"/>
            <w:shd w:val="clear" w:color="auto" w:fill="auto"/>
            <w:vAlign w:val="center"/>
          </w:tcPr>
          <w:p w14:paraId="5576A088">
            <w:pPr>
              <w:autoSpaceDE w:val="0"/>
              <w:autoSpaceDN w:val="0"/>
              <w:adjustRightInd w:val="0"/>
              <w:snapToGrid w:val="0"/>
              <w:jc w:val="center"/>
              <w:rPr>
                <w:rFonts w:ascii="Times New Roman" w:hAnsi="Times New Roman"/>
                <w:color w:val="7030A0"/>
                <w:kern w:val="2"/>
                <w:sz w:val="21"/>
                <w:szCs w:val="21"/>
                <w:lang w:bidi="ar"/>
              </w:rPr>
            </w:pPr>
            <w:r>
              <w:rPr>
                <w:rFonts w:hint="eastAsia"/>
                <w:bCs/>
                <w:color w:val="auto"/>
                <w:szCs w:val="21"/>
                <w:lang w:val="en-US" w:eastAsia="zh-CN"/>
              </w:rPr>
              <w:t>4</w:t>
            </w:r>
          </w:p>
        </w:tc>
        <w:tc>
          <w:tcPr>
            <w:tcW w:w="863" w:type="pct"/>
            <w:shd w:val="clear" w:color="auto" w:fill="auto"/>
            <w:vAlign w:val="center"/>
          </w:tcPr>
          <w:p w14:paraId="42F953C1">
            <w:pPr>
              <w:autoSpaceDE w:val="0"/>
              <w:autoSpaceDN w:val="0"/>
              <w:adjustRightInd w:val="0"/>
              <w:snapToGrid w:val="0"/>
              <w:jc w:val="center"/>
              <w:rPr>
                <w:rFonts w:ascii="Times New Roman" w:hAnsi="Times New Roman" w:eastAsia="宋体" w:cs="Times New Roman"/>
                <w:color w:val="7030A0"/>
                <w:kern w:val="2"/>
                <w:sz w:val="21"/>
                <w:szCs w:val="21"/>
                <w:lang w:val="en-US" w:eastAsia="zh-CN" w:bidi="ar"/>
              </w:rPr>
            </w:pPr>
            <w:r>
              <w:rPr>
                <w:rFonts w:hint="eastAsia"/>
                <w:bCs/>
                <w:color w:val="auto"/>
                <w:szCs w:val="21"/>
                <w:lang w:val="en-US" w:eastAsia="zh-CN"/>
              </w:rPr>
              <w:t>4</w:t>
            </w:r>
          </w:p>
        </w:tc>
        <w:tc>
          <w:tcPr>
            <w:tcW w:w="755" w:type="pct"/>
            <w:shd w:val="clear" w:color="auto" w:fill="auto"/>
            <w:vAlign w:val="center"/>
          </w:tcPr>
          <w:p w14:paraId="720EDE7D">
            <w:pPr>
              <w:pStyle w:val="32"/>
              <w:widowControl w:val="0"/>
              <w:spacing w:before="0" w:beforeAutospacing="0" w:after="0" w:afterAutospacing="0" w:line="240" w:lineRule="auto"/>
              <w:jc w:val="center"/>
              <w:rPr>
                <w:rFonts w:ascii="Times New Roman" w:hAnsi="Times New Roman"/>
                <w:color w:val="7030A0"/>
                <w:kern w:val="2"/>
                <w:sz w:val="21"/>
                <w:szCs w:val="21"/>
              </w:rPr>
            </w:pPr>
            <w:r>
              <w:rPr>
                <w:rFonts w:ascii="Times New Roman" w:hAnsi="Times New Roman"/>
                <w:kern w:val="2"/>
                <w:sz w:val="21"/>
                <w:szCs w:val="21"/>
              </w:rPr>
              <w:t>与环评一致</w:t>
            </w:r>
          </w:p>
        </w:tc>
      </w:tr>
      <w:tr w14:paraId="7E2438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5F18062C">
            <w:pPr>
              <w:pStyle w:val="115"/>
              <w:numPr>
                <w:ilvl w:val="0"/>
                <w:numId w:val="2"/>
              </w:numPr>
              <w:adjustRightInd w:val="0"/>
              <w:snapToGrid w:val="0"/>
              <w:ind w:firstLineChars="0"/>
              <w:jc w:val="center"/>
              <w:rPr>
                <w:szCs w:val="21"/>
              </w:rPr>
            </w:pPr>
          </w:p>
        </w:tc>
        <w:tc>
          <w:tcPr>
            <w:tcW w:w="1729" w:type="pct"/>
            <w:shd w:val="clear" w:color="auto" w:fill="auto"/>
            <w:vAlign w:val="center"/>
          </w:tcPr>
          <w:p w14:paraId="5372E7A1">
            <w:pPr>
              <w:autoSpaceDE w:val="0"/>
              <w:autoSpaceDN w:val="0"/>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color w:val="auto"/>
                <w:szCs w:val="21"/>
                <w:vertAlign w:val="baseline"/>
                <w:lang w:val="en-US" w:eastAsia="zh-CN"/>
              </w:rPr>
              <w:t>电池盖背胶组装线</w:t>
            </w:r>
          </w:p>
        </w:tc>
        <w:tc>
          <w:tcPr>
            <w:tcW w:w="413" w:type="pct"/>
            <w:shd w:val="clear" w:color="auto" w:fill="auto"/>
            <w:vAlign w:val="center"/>
          </w:tcPr>
          <w:p w14:paraId="7A2CE519">
            <w:pPr>
              <w:autoSpaceDE w:val="0"/>
              <w:autoSpaceDN w:val="0"/>
              <w:adjustRightInd w:val="0"/>
              <w:snapToGrid w:val="0"/>
              <w:jc w:val="center"/>
              <w:rPr>
                <w:rFonts w:hint="default" w:ascii="Times New Roman" w:hAnsi="Times New Roman"/>
                <w:color w:val="7030A0"/>
                <w:sz w:val="21"/>
                <w:szCs w:val="21"/>
              </w:rPr>
            </w:pPr>
            <w:r>
              <w:rPr>
                <w:rFonts w:hint="eastAsia"/>
                <w:bCs/>
                <w:color w:val="auto"/>
                <w:szCs w:val="21"/>
                <w:lang w:val="en-US" w:eastAsia="zh-CN"/>
              </w:rPr>
              <w:t>条</w:t>
            </w:r>
          </w:p>
        </w:tc>
        <w:tc>
          <w:tcPr>
            <w:tcW w:w="852" w:type="pct"/>
            <w:shd w:val="clear" w:color="auto" w:fill="auto"/>
            <w:vAlign w:val="center"/>
          </w:tcPr>
          <w:p w14:paraId="275DF994">
            <w:pPr>
              <w:autoSpaceDE w:val="0"/>
              <w:autoSpaceDN w:val="0"/>
              <w:adjustRightInd w:val="0"/>
              <w:snapToGrid w:val="0"/>
              <w:jc w:val="center"/>
              <w:rPr>
                <w:rFonts w:ascii="Times New Roman" w:hAnsi="Times New Roman"/>
                <w:color w:val="7030A0"/>
                <w:kern w:val="2"/>
                <w:sz w:val="21"/>
                <w:szCs w:val="21"/>
                <w:lang w:bidi="ar"/>
              </w:rPr>
            </w:pPr>
            <w:r>
              <w:rPr>
                <w:rFonts w:hint="eastAsia"/>
                <w:bCs/>
                <w:color w:val="auto"/>
                <w:szCs w:val="21"/>
                <w:lang w:val="en-US" w:eastAsia="zh-CN"/>
              </w:rPr>
              <w:t>1</w:t>
            </w:r>
          </w:p>
        </w:tc>
        <w:tc>
          <w:tcPr>
            <w:tcW w:w="863" w:type="pct"/>
            <w:shd w:val="clear" w:color="auto" w:fill="auto"/>
            <w:vAlign w:val="center"/>
          </w:tcPr>
          <w:p w14:paraId="5B3C623B">
            <w:pPr>
              <w:autoSpaceDE w:val="0"/>
              <w:autoSpaceDN w:val="0"/>
              <w:adjustRightInd w:val="0"/>
              <w:snapToGrid w:val="0"/>
              <w:jc w:val="center"/>
              <w:rPr>
                <w:rFonts w:ascii="Times New Roman" w:hAnsi="Times New Roman" w:eastAsia="宋体" w:cs="Times New Roman"/>
                <w:color w:val="7030A0"/>
                <w:kern w:val="2"/>
                <w:sz w:val="21"/>
                <w:szCs w:val="21"/>
                <w:lang w:val="en-US" w:eastAsia="zh-CN" w:bidi="ar"/>
              </w:rPr>
            </w:pPr>
            <w:r>
              <w:rPr>
                <w:rFonts w:hint="eastAsia"/>
                <w:bCs/>
                <w:color w:val="auto"/>
                <w:szCs w:val="21"/>
                <w:lang w:val="en-US" w:eastAsia="zh-CN"/>
              </w:rPr>
              <w:t>1</w:t>
            </w:r>
          </w:p>
        </w:tc>
        <w:tc>
          <w:tcPr>
            <w:tcW w:w="755" w:type="pct"/>
            <w:shd w:val="clear" w:color="auto" w:fill="auto"/>
            <w:vAlign w:val="center"/>
          </w:tcPr>
          <w:p w14:paraId="36914581">
            <w:pPr>
              <w:pStyle w:val="32"/>
              <w:widowControl w:val="0"/>
              <w:spacing w:before="0" w:beforeAutospacing="0" w:after="0" w:afterAutospacing="0" w:line="240" w:lineRule="auto"/>
              <w:jc w:val="center"/>
              <w:rPr>
                <w:rFonts w:ascii="Times New Roman" w:hAnsi="Times New Roman"/>
                <w:color w:val="7030A0"/>
                <w:kern w:val="2"/>
                <w:sz w:val="21"/>
                <w:szCs w:val="21"/>
              </w:rPr>
            </w:pPr>
            <w:r>
              <w:rPr>
                <w:rFonts w:ascii="Times New Roman" w:hAnsi="Times New Roman"/>
                <w:kern w:val="2"/>
                <w:sz w:val="21"/>
                <w:szCs w:val="21"/>
              </w:rPr>
              <w:t>与环评一致</w:t>
            </w:r>
          </w:p>
        </w:tc>
      </w:tr>
      <w:tr w14:paraId="6F5EF1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39019D23">
            <w:pPr>
              <w:pStyle w:val="115"/>
              <w:numPr>
                <w:ilvl w:val="0"/>
                <w:numId w:val="2"/>
              </w:numPr>
              <w:adjustRightInd w:val="0"/>
              <w:snapToGrid w:val="0"/>
              <w:ind w:firstLineChars="0"/>
              <w:jc w:val="center"/>
              <w:rPr>
                <w:szCs w:val="21"/>
              </w:rPr>
            </w:pPr>
          </w:p>
        </w:tc>
        <w:tc>
          <w:tcPr>
            <w:tcW w:w="1729" w:type="pct"/>
            <w:shd w:val="clear" w:color="auto" w:fill="auto"/>
            <w:vAlign w:val="center"/>
          </w:tcPr>
          <w:p w14:paraId="4E877B41">
            <w:pPr>
              <w:autoSpaceDE w:val="0"/>
              <w:autoSpaceDN w:val="0"/>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color w:val="auto"/>
                <w:szCs w:val="21"/>
                <w:vertAlign w:val="baseline"/>
                <w:lang w:val="en-US" w:eastAsia="zh-CN"/>
              </w:rPr>
              <w:t>Deco用户面组装线</w:t>
            </w:r>
          </w:p>
        </w:tc>
        <w:tc>
          <w:tcPr>
            <w:tcW w:w="413" w:type="pct"/>
            <w:shd w:val="clear" w:color="auto" w:fill="auto"/>
            <w:vAlign w:val="center"/>
          </w:tcPr>
          <w:p w14:paraId="3E90445B">
            <w:pPr>
              <w:autoSpaceDE w:val="0"/>
              <w:autoSpaceDN w:val="0"/>
              <w:adjustRightInd w:val="0"/>
              <w:snapToGrid w:val="0"/>
              <w:jc w:val="center"/>
              <w:rPr>
                <w:rFonts w:hint="default" w:ascii="Times New Roman" w:hAnsi="Times New Roman"/>
                <w:color w:val="7030A0"/>
                <w:sz w:val="21"/>
                <w:szCs w:val="21"/>
              </w:rPr>
            </w:pPr>
            <w:r>
              <w:rPr>
                <w:rFonts w:hint="eastAsia"/>
                <w:bCs/>
                <w:color w:val="auto"/>
                <w:szCs w:val="21"/>
                <w:lang w:val="en-US" w:eastAsia="zh-CN"/>
              </w:rPr>
              <w:t>条</w:t>
            </w:r>
          </w:p>
        </w:tc>
        <w:tc>
          <w:tcPr>
            <w:tcW w:w="852" w:type="pct"/>
            <w:shd w:val="clear" w:color="auto" w:fill="auto"/>
            <w:vAlign w:val="center"/>
          </w:tcPr>
          <w:p w14:paraId="3F9B256F">
            <w:pPr>
              <w:autoSpaceDE w:val="0"/>
              <w:autoSpaceDN w:val="0"/>
              <w:adjustRightInd w:val="0"/>
              <w:snapToGrid w:val="0"/>
              <w:jc w:val="center"/>
              <w:rPr>
                <w:rFonts w:ascii="Times New Roman" w:hAnsi="Times New Roman"/>
                <w:color w:val="7030A0"/>
                <w:kern w:val="2"/>
                <w:sz w:val="21"/>
                <w:szCs w:val="21"/>
                <w:lang w:bidi="ar"/>
              </w:rPr>
            </w:pPr>
            <w:r>
              <w:rPr>
                <w:rFonts w:hint="eastAsia"/>
                <w:bCs/>
                <w:color w:val="auto"/>
                <w:szCs w:val="21"/>
                <w:lang w:val="en-US" w:eastAsia="zh-CN"/>
              </w:rPr>
              <w:t>1</w:t>
            </w:r>
          </w:p>
        </w:tc>
        <w:tc>
          <w:tcPr>
            <w:tcW w:w="863" w:type="pct"/>
            <w:shd w:val="clear" w:color="auto" w:fill="auto"/>
            <w:vAlign w:val="center"/>
          </w:tcPr>
          <w:p w14:paraId="3DF7ED04">
            <w:pPr>
              <w:autoSpaceDE w:val="0"/>
              <w:autoSpaceDN w:val="0"/>
              <w:adjustRightInd w:val="0"/>
              <w:snapToGrid w:val="0"/>
              <w:jc w:val="center"/>
              <w:rPr>
                <w:rFonts w:ascii="Times New Roman" w:hAnsi="Times New Roman" w:eastAsia="宋体" w:cs="Times New Roman"/>
                <w:color w:val="7030A0"/>
                <w:kern w:val="2"/>
                <w:sz w:val="21"/>
                <w:szCs w:val="21"/>
                <w:lang w:val="en-US" w:eastAsia="zh-CN" w:bidi="ar"/>
              </w:rPr>
            </w:pPr>
            <w:r>
              <w:rPr>
                <w:rFonts w:hint="eastAsia"/>
                <w:bCs/>
                <w:color w:val="auto"/>
                <w:szCs w:val="21"/>
                <w:lang w:val="en-US" w:eastAsia="zh-CN"/>
              </w:rPr>
              <w:t>1</w:t>
            </w:r>
          </w:p>
        </w:tc>
        <w:tc>
          <w:tcPr>
            <w:tcW w:w="755" w:type="pct"/>
            <w:shd w:val="clear" w:color="auto" w:fill="auto"/>
            <w:vAlign w:val="center"/>
          </w:tcPr>
          <w:p w14:paraId="6B4C7630">
            <w:pPr>
              <w:pStyle w:val="32"/>
              <w:widowControl w:val="0"/>
              <w:spacing w:before="0" w:beforeAutospacing="0" w:after="0" w:afterAutospacing="0" w:line="240" w:lineRule="auto"/>
              <w:jc w:val="center"/>
              <w:rPr>
                <w:rFonts w:ascii="Times New Roman" w:hAnsi="Times New Roman"/>
                <w:color w:val="7030A0"/>
                <w:kern w:val="2"/>
                <w:sz w:val="21"/>
                <w:szCs w:val="21"/>
              </w:rPr>
            </w:pPr>
            <w:r>
              <w:rPr>
                <w:rFonts w:ascii="Times New Roman" w:hAnsi="Times New Roman"/>
                <w:kern w:val="2"/>
                <w:sz w:val="21"/>
                <w:szCs w:val="21"/>
              </w:rPr>
              <w:t>与环评一致</w:t>
            </w:r>
          </w:p>
        </w:tc>
      </w:tr>
      <w:tr w14:paraId="3EF9AA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365277AE">
            <w:pPr>
              <w:pStyle w:val="115"/>
              <w:numPr>
                <w:ilvl w:val="0"/>
                <w:numId w:val="2"/>
              </w:numPr>
              <w:adjustRightInd w:val="0"/>
              <w:snapToGrid w:val="0"/>
              <w:ind w:firstLineChars="0"/>
              <w:jc w:val="center"/>
              <w:rPr>
                <w:szCs w:val="21"/>
              </w:rPr>
            </w:pPr>
          </w:p>
        </w:tc>
        <w:tc>
          <w:tcPr>
            <w:tcW w:w="1729" w:type="pct"/>
            <w:shd w:val="clear" w:color="auto" w:fill="auto"/>
            <w:vAlign w:val="center"/>
          </w:tcPr>
          <w:p w14:paraId="28530D17">
            <w:pPr>
              <w:autoSpaceDE w:val="0"/>
              <w:autoSpaceDN w:val="0"/>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color w:val="auto"/>
                <w:szCs w:val="21"/>
                <w:vertAlign w:val="baseline"/>
                <w:lang w:val="en-US" w:eastAsia="zh-CN"/>
              </w:rPr>
              <w:t>Deco系统面组装线</w:t>
            </w:r>
          </w:p>
        </w:tc>
        <w:tc>
          <w:tcPr>
            <w:tcW w:w="413" w:type="pct"/>
            <w:shd w:val="clear" w:color="auto" w:fill="auto"/>
            <w:vAlign w:val="center"/>
          </w:tcPr>
          <w:p w14:paraId="152A0533">
            <w:pPr>
              <w:autoSpaceDE w:val="0"/>
              <w:autoSpaceDN w:val="0"/>
              <w:adjustRightInd w:val="0"/>
              <w:snapToGrid w:val="0"/>
              <w:jc w:val="center"/>
              <w:rPr>
                <w:rFonts w:hint="default" w:ascii="Times New Roman" w:hAnsi="Times New Roman"/>
                <w:color w:val="7030A0"/>
                <w:sz w:val="21"/>
                <w:szCs w:val="21"/>
              </w:rPr>
            </w:pPr>
            <w:r>
              <w:rPr>
                <w:rFonts w:hint="eastAsia"/>
                <w:bCs/>
                <w:color w:val="auto"/>
                <w:szCs w:val="21"/>
                <w:lang w:val="en-US" w:eastAsia="zh-CN"/>
              </w:rPr>
              <w:t>条</w:t>
            </w:r>
          </w:p>
        </w:tc>
        <w:tc>
          <w:tcPr>
            <w:tcW w:w="852" w:type="pct"/>
            <w:shd w:val="clear" w:color="auto" w:fill="auto"/>
            <w:vAlign w:val="center"/>
          </w:tcPr>
          <w:p w14:paraId="081620D7">
            <w:pPr>
              <w:autoSpaceDE w:val="0"/>
              <w:autoSpaceDN w:val="0"/>
              <w:adjustRightInd w:val="0"/>
              <w:snapToGrid w:val="0"/>
              <w:jc w:val="center"/>
              <w:rPr>
                <w:rFonts w:ascii="Times New Roman" w:hAnsi="Times New Roman"/>
                <w:color w:val="7030A0"/>
                <w:kern w:val="2"/>
                <w:sz w:val="21"/>
                <w:szCs w:val="21"/>
                <w:lang w:bidi="ar"/>
              </w:rPr>
            </w:pPr>
            <w:r>
              <w:rPr>
                <w:rFonts w:hint="eastAsia"/>
                <w:bCs/>
                <w:color w:val="auto"/>
                <w:szCs w:val="21"/>
                <w:lang w:val="en-US" w:eastAsia="zh-CN"/>
              </w:rPr>
              <w:t>1</w:t>
            </w:r>
          </w:p>
        </w:tc>
        <w:tc>
          <w:tcPr>
            <w:tcW w:w="863" w:type="pct"/>
            <w:shd w:val="clear" w:color="auto" w:fill="auto"/>
            <w:vAlign w:val="center"/>
          </w:tcPr>
          <w:p w14:paraId="53F68B21">
            <w:pPr>
              <w:autoSpaceDE w:val="0"/>
              <w:autoSpaceDN w:val="0"/>
              <w:adjustRightInd w:val="0"/>
              <w:snapToGrid w:val="0"/>
              <w:jc w:val="center"/>
              <w:rPr>
                <w:rFonts w:ascii="Times New Roman" w:hAnsi="Times New Roman" w:eastAsia="宋体" w:cs="Times New Roman"/>
                <w:color w:val="7030A0"/>
                <w:kern w:val="2"/>
                <w:sz w:val="21"/>
                <w:szCs w:val="21"/>
                <w:lang w:val="en-US" w:eastAsia="zh-CN" w:bidi="ar"/>
              </w:rPr>
            </w:pPr>
            <w:r>
              <w:rPr>
                <w:rFonts w:hint="eastAsia"/>
                <w:bCs/>
                <w:color w:val="auto"/>
                <w:szCs w:val="21"/>
                <w:lang w:val="en-US" w:eastAsia="zh-CN"/>
              </w:rPr>
              <w:t>1</w:t>
            </w:r>
          </w:p>
        </w:tc>
        <w:tc>
          <w:tcPr>
            <w:tcW w:w="755" w:type="pct"/>
            <w:shd w:val="clear" w:color="auto" w:fill="auto"/>
            <w:vAlign w:val="center"/>
          </w:tcPr>
          <w:p w14:paraId="34446594">
            <w:pPr>
              <w:pStyle w:val="32"/>
              <w:widowControl w:val="0"/>
              <w:spacing w:before="0" w:beforeAutospacing="0" w:after="0" w:afterAutospacing="0" w:line="240" w:lineRule="auto"/>
              <w:jc w:val="center"/>
              <w:rPr>
                <w:rFonts w:ascii="Times New Roman" w:hAnsi="Times New Roman"/>
                <w:color w:val="7030A0"/>
                <w:kern w:val="2"/>
                <w:sz w:val="21"/>
                <w:szCs w:val="21"/>
              </w:rPr>
            </w:pPr>
            <w:r>
              <w:rPr>
                <w:rFonts w:ascii="Times New Roman" w:hAnsi="Times New Roman"/>
                <w:kern w:val="2"/>
                <w:sz w:val="21"/>
                <w:szCs w:val="21"/>
              </w:rPr>
              <w:t>与环评一致</w:t>
            </w:r>
          </w:p>
        </w:tc>
      </w:tr>
      <w:tr w14:paraId="417DE2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11F56125">
            <w:pPr>
              <w:pStyle w:val="115"/>
              <w:numPr>
                <w:ilvl w:val="0"/>
                <w:numId w:val="2"/>
              </w:numPr>
              <w:adjustRightInd w:val="0"/>
              <w:snapToGrid w:val="0"/>
              <w:ind w:firstLineChars="0"/>
              <w:jc w:val="center"/>
              <w:rPr>
                <w:szCs w:val="21"/>
              </w:rPr>
            </w:pPr>
          </w:p>
        </w:tc>
        <w:tc>
          <w:tcPr>
            <w:tcW w:w="1729" w:type="pct"/>
            <w:shd w:val="clear" w:color="auto" w:fill="auto"/>
            <w:vAlign w:val="center"/>
          </w:tcPr>
          <w:p w14:paraId="0B0F7C4C">
            <w:pPr>
              <w:autoSpaceDE w:val="0"/>
              <w:autoSpaceDN w:val="0"/>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color w:val="auto"/>
                <w:szCs w:val="21"/>
                <w:vertAlign w:val="baseline"/>
                <w:lang w:val="en-US" w:eastAsia="zh-CN"/>
              </w:rPr>
              <w:t>点胶组装线</w:t>
            </w:r>
          </w:p>
        </w:tc>
        <w:tc>
          <w:tcPr>
            <w:tcW w:w="413" w:type="pct"/>
            <w:shd w:val="clear" w:color="auto" w:fill="auto"/>
            <w:vAlign w:val="center"/>
          </w:tcPr>
          <w:p w14:paraId="6C202A20">
            <w:pPr>
              <w:autoSpaceDE w:val="0"/>
              <w:autoSpaceDN w:val="0"/>
              <w:adjustRightInd w:val="0"/>
              <w:snapToGrid w:val="0"/>
              <w:jc w:val="center"/>
              <w:rPr>
                <w:rFonts w:hint="default" w:ascii="Times New Roman" w:hAnsi="Times New Roman"/>
                <w:color w:val="7030A0"/>
                <w:sz w:val="21"/>
                <w:szCs w:val="21"/>
              </w:rPr>
            </w:pPr>
            <w:r>
              <w:rPr>
                <w:rFonts w:hint="eastAsia"/>
                <w:bCs/>
                <w:color w:val="auto"/>
                <w:szCs w:val="21"/>
                <w:lang w:val="en-US" w:eastAsia="zh-CN"/>
              </w:rPr>
              <w:t>条</w:t>
            </w:r>
          </w:p>
        </w:tc>
        <w:tc>
          <w:tcPr>
            <w:tcW w:w="852" w:type="pct"/>
            <w:shd w:val="clear" w:color="auto" w:fill="auto"/>
            <w:vAlign w:val="center"/>
          </w:tcPr>
          <w:p w14:paraId="28FD0882">
            <w:pPr>
              <w:autoSpaceDE w:val="0"/>
              <w:autoSpaceDN w:val="0"/>
              <w:adjustRightInd w:val="0"/>
              <w:snapToGrid w:val="0"/>
              <w:jc w:val="center"/>
              <w:rPr>
                <w:rFonts w:ascii="Times New Roman" w:hAnsi="Times New Roman"/>
                <w:color w:val="7030A0"/>
                <w:kern w:val="2"/>
                <w:sz w:val="21"/>
                <w:szCs w:val="21"/>
                <w:lang w:bidi="ar"/>
              </w:rPr>
            </w:pPr>
            <w:r>
              <w:rPr>
                <w:rFonts w:hint="eastAsia"/>
                <w:bCs/>
                <w:color w:val="auto"/>
                <w:szCs w:val="21"/>
                <w:lang w:val="en-US" w:eastAsia="zh-CN"/>
              </w:rPr>
              <w:t>1</w:t>
            </w:r>
          </w:p>
        </w:tc>
        <w:tc>
          <w:tcPr>
            <w:tcW w:w="863" w:type="pct"/>
            <w:shd w:val="clear" w:color="auto" w:fill="auto"/>
            <w:vAlign w:val="center"/>
          </w:tcPr>
          <w:p w14:paraId="0E3C38DF">
            <w:pPr>
              <w:autoSpaceDE w:val="0"/>
              <w:autoSpaceDN w:val="0"/>
              <w:adjustRightInd w:val="0"/>
              <w:snapToGrid w:val="0"/>
              <w:jc w:val="center"/>
              <w:rPr>
                <w:rFonts w:ascii="Times New Roman" w:hAnsi="Times New Roman" w:eastAsia="宋体" w:cs="Times New Roman"/>
                <w:color w:val="7030A0"/>
                <w:kern w:val="2"/>
                <w:sz w:val="21"/>
                <w:szCs w:val="21"/>
                <w:lang w:val="en-US" w:eastAsia="zh-CN" w:bidi="ar"/>
              </w:rPr>
            </w:pPr>
            <w:r>
              <w:rPr>
                <w:rFonts w:hint="eastAsia"/>
                <w:bCs/>
                <w:color w:val="auto"/>
                <w:szCs w:val="21"/>
                <w:lang w:val="en-US" w:eastAsia="zh-CN"/>
              </w:rPr>
              <w:t>1</w:t>
            </w:r>
          </w:p>
        </w:tc>
        <w:tc>
          <w:tcPr>
            <w:tcW w:w="755" w:type="pct"/>
            <w:shd w:val="clear" w:color="auto" w:fill="auto"/>
            <w:vAlign w:val="center"/>
          </w:tcPr>
          <w:p w14:paraId="375E8E17">
            <w:pPr>
              <w:pStyle w:val="32"/>
              <w:widowControl w:val="0"/>
              <w:spacing w:before="0" w:beforeAutospacing="0" w:after="0" w:afterAutospacing="0" w:line="240" w:lineRule="auto"/>
              <w:jc w:val="center"/>
              <w:rPr>
                <w:rFonts w:ascii="Times New Roman" w:hAnsi="Times New Roman"/>
                <w:color w:val="7030A0"/>
                <w:kern w:val="2"/>
                <w:sz w:val="21"/>
                <w:szCs w:val="21"/>
              </w:rPr>
            </w:pPr>
            <w:r>
              <w:rPr>
                <w:rFonts w:ascii="Times New Roman" w:hAnsi="Times New Roman"/>
                <w:kern w:val="2"/>
                <w:sz w:val="21"/>
                <w:szCs w:val="21"/>
              </w:rPr>
              <w:t>与环评一致</w:t>
            </w:r>
          </w:p>
        </w:tc>
      </w:tr>
      <w:tr w14:paraId="2B0A3F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 w:type="pct"/>
            <w:vAlign w:val="center"/>
          </w:tcPr>
          <w:p w14:paraId="4AFC6D7F">
            <w:pPr>
              <w:pStyle w:val="115"/>
              <w:numPr>
                <w:ilvl w:val="0"/>
                <w:numId w:val="2"/>
              </w:numPr>
              <w:adjustRightInd w:val="0"/>
              <w:snapToGrid w:val="0"/>
              <w:ind w:firstLineChars="0"/>
              <w:jc w:val="center"/>
              <w:rPr>
                <w:szCs w:val="21"/>
              </w:rPr>
            </w:pPr>
          </w:p>
        </w:tc>
        <w:tc>
          <w:tcPr>
            <w:tcW w:w="1729" w:type="pct"/>
            <w:shd w:val="clear" w:color="auto" w:fill="auto"/>
            <w:vAlign w:val="center"/>
          </w:tcPr>
          <w:p w14:paraId="15612995">
            <w:pPr>
              <w:autoSpaceDE w:val="0"/>
              <w:autoSpaceDN w:val="0"/>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color w:val="auto"/>
                <w:szCs w:val="21"/>
                <w:vertAlign w:val="baseline"/>
                <w:lang w:val="en-US" w:eastAsia="zh-CN"/>
              </w:rPr>
              <w:t>镜片组装线</w:t>
            </w:r>
          </w:p>
        </w:tc>
        <w:tc>
          <w:tcPr>
            <w:tcW w:w="413" w:type="pct"/>
            <w:shd w:val="clear" w:color="auto" w:fill="auto"/>
            <w:vAlign w:val="center"/>
          </w:tcPr>
          <w:p w14:paraId="4B84E3EA">
            <w:pPr>
              <w:autoSpaceDE w:val="0"/>
              <w:autoSpaceDN w:val="0"/>
              <w:adjustRightInd w:val="0"/>
              <w:snapToGrid w:val="0"/>
              <w:jc w:val="center"/>
              <w:rPr>
                <w:rFonts w:hint="default" w:ascii="Times New Roman" w:hAnsi="Times New Roman"/>
                <w:color w:val="7030A0"/>
                <w:sz w:val="21"/>
                <w:szCs w:val="21"/>
              </w:rPr>
            </w:pPr>
            <w:r>
              <w:rPr>
                <w:rFonts w:hint="eastAsia"/>
                <w:bCs/>
                <w:color w:val="auto"/>
                <w:szCs w:val="21"/>
                <w:lang w:val="en-US" w:eastAsia="zh-CN"/>
              </w:rPr>
              <w:t>条</w:t>
            </w:r>
          </w:p>
        </w:tc>
        <w:tc>
          <w:tcPr>
            <w:tcW w:w="852" w:type="pct"/>
            <w:shd w:val="clear" w:color="auto" w:fill="auto"/>
            <w:vAlign w:val="center"/>
          </w:tcPr>
          <w:p w14:paraId="442856FB">
            <w:pPr>
              <w:autoSpaceDE w:val="0"/>
              <w:autoSpaceDN w:val="0"/>
              <w:adjustRightInd w:val="0"/>
              <w:snapToGrid w:val="0"/>
              <w:jc w:val="center"/>
              <w:rPr>
                <w:rFonts w:ascii="Times New Roman" w:hAnsi="Times New Roman"/>
                <w:color w:val="7030A0"/>
                <w:kern w:val="2"/>
                <w:sz w:val="21"/>
                <w:szCs w:val="21"/>
                <w:lang w:bidi="ar"/>
              </w:rPr>
            </w:pPr>
            <w:r>
              <w:rPr>
                <w:rFonts w:hint="eastAsia"/>
                <w:bCs/>
                <w:color w:val="auto"/>
                <w:szCs w:val="21"/>
                <w:lang w:val="en-US" w:eastAsia="zh-CN"/>
              </w:rPr>
              <w:t>1</w:t>
            </w:r>
          </w:p>
        </w:tc>
        <w:tc>
          <w:tcPr>
            <w:tcW w:w="863" w:type="pct"/>
            <w:shd w:val="clear" w:color="auto" w:fill="auto"/>
            <w:vAlign w:val="center"/>
          </w:tcPr>
          <w:p w14:paraId="5A9DC641">
            <w:pPr>
              <w:autoSpaceDE w:val="0"/>
              <w:autoSpaceDN w:val="0"/>
              <w:adjustRightInd w:val="0"/>
              <w:snapToGrid w:val="0"/>
              <w:jc w:val="center"/>
              <w:rPr>
                <w:rFonts w:ascii="Times New Roman" w:hAnsi="Times New Roman" w:eastAsia="宋体" w:cs="Times New Roman"/>
                <w:color w:val="7030A0"/>
                <w:kern w:val="2"/>
                <w:sz w:val="21"/>
                <w:szCs w:val="21"/>
                <w:lang w:val="en-US" w:eastAsia="zh-CN" w:bidi="ar"/>
              </w:rPr>
            </w:pPr>
            <w:r>
              <w:rPr>
                <w:rFonts w:hint="eastAsia"/>
                <w:bCs/>
                <w:color w:val="auto"/>
                <w:szCs w:val="21"/>
                <w:lang w:val="en-US" w:eastAsia="zh-CN"/>
              </w:rPr>
              <w:t>1</w:t>
            </w:r>
          </w:p>
        </w:tc>
        <w:tc>
          <w:tcPr>
            <w:tcW w:w="755" w:type="pct"/>
            <w:shd w:val="clear" w:color="auto" w:fill="auto"/>
            <w:vAlign w:val="center"/>
          </w:tcPr>
          <w:p w14:paraId="71CB9B1B">
            <w:pPr>
              <w:pStyle w:val="32"/>
              <w:widowControl w:val="0"/>
              <w:spacing w:before="0" w:beforeAutospacing="0" w:after="0" w:afterAutospacing="0" w:line="240" w:lineRule="auto"/>
              <w:jc w:val="center"/>
              <w:rPr>
                <w:rFonts w:ascii="Times New Roman" w:hAnsi="Times New Roman"/>
                <w:color w:val="7030A0"/>
                <w:kern w:val="2"/>
                <w:sz w:val="21"/>
                <w:szCs w:val="21"/>
              </w:rPr>
            </w:pPr>
            <w:r>
              <w:rPr>
                <w:rFonts w:ascii="Times New Roman" w:hAnsi="Times New Roman"/>
                <w:kern w:val="2"/>
                <w:sz w:val="21"/>
                <w:szCs w:val="21"/>
              </w:rPr>
              <w:t>与环评一致</w:t>
            </w:r>
          </w:p>
        </w:tc>
      </w:tr>
      <w:bookmarkEnd w:id="48"/>
      <w:bookmarkEnd w:id="50"/>
    </w:tbl>
    <w:p w14:paraId="3B6CB749">
      <w:pPr>
        <w:spacing w:line="490" w:lineRule="exact"/>
        <w:ind w:firstLine="480" w:firstLineChars="200"/>
        <w:rPr>
          <w:sz w:val="24"/>
          <w:szCs w:val="24"/>
          <w:highlight w:val="none"/>
        </w:rPr>
      </w:pPr>
      <w:bookmarkStart w:id="51" w:name="_Toc513474956"/>
      <w:bookmarkStart w:id="52" w:name="_Toc520988557"/>
      <w:r>
        <w:rPr>
          <w:rFonts w:hint="eastAsia"/>
          <w:sz w:val="24"/>
          <w:szCs w:val="24"/>
          <w:highlight w:val="none"/>
        </w:rPr>
        <w:t>项目实际建设过程中设备数量与环评一致。</w:t>
      </w:r>
    </w:p>
    <w:p w14:paraId="419B26A1">
      <w:pPr>
        <w:pStyle w:val="3"/>
      </w:pPr>
      <w:bookmarkStart w:id="53" w:name="_Toc3747"/>
      <w:r>
        <w:t>3.3</w:t>
      </w:r>
      <w:r>
        <w:rPr>
          <w:rFonts w:hint="eastAsia"/>
        </w:rPr>
        <w:t>项目</w:t>
      </w:r>
      <w:r>
        <w:t>主要原辅材料</w:t>
      </w:r>
      <w:bookmarkEnd w:id="51"/>
      <w:bookmarkEnd w:id="52"/>
      <w:bookmarkEnd w:id="53"/>
    </w:p>
    <w:p w14:paraId="7825C4BA">
      <w:pPr>
        <w:spacing w:line="360" w:lineRule="auto"/>
        <w:ind w:firstLine="480" w:firstLineChars="200"/>
        <w:rPr>
          <w:sz w:val="24"/>
          <w:szCs w:val="24"/>
        </w:rPr>
      </w:pPr>
      <w:r>
        <w:rPr>
          <w:rFonts w:hint="eastAsia"/>
          <w:sz w:val="24"/>
          <w:szCs w:val="24"/>
        </w:rPr>
        <w:t>通过现场核查及业主提供的资料，企业主要原辅材料用量核查情况见表3-</w:t>
      </w:r>
      <w:r>
        <w:rPr>
          <w:rFonts w:hint="eastAsia"/>
          <w:sz w:val="24"/>
          <w:szCs w:val="24"/>
          <w:lang w:val="en-US" w:eastAsia="zh-CN"/>
        </w:rPr>
        <w:t>6，主要燃料及动力消耗见表3-7</w:t>
      </w:r>
      <w:r>
        <w:rPr>
          <w:rFonts w:hint="eastAsia"/>
          <w:sz w:val="24"/>
          <w:szCs w:val="24"/>
        </w:rPr>
        <w:t>。</w:t>
      </w:r>
    </w:p>
    <w:p w14:paraId="5BF9166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sz w:val="24"/>
          <w:szCs w:val="24"/>
        </w:rPr>
      </w:pPr>
      <w:r>
        <w:rPr>
          <w:b/>
          <w:sz w:val="24"/>
          <w:szCs w:val="24"/>
        </w:rPr>
        <w:t>表3-</w:t>
      </w:r>
      <w:r>
        <w:rPr>
          <w:rFonts w:hint="eastAsia"/>
          <w:b/>
          <w:sz w:val="24"/>
          <w:szCs w:val="24"/>
          <w:lang w:val="en-US" w:eastAsia="zh-CN"/>
        </w:rPr>
        <w:t>6</w:t>
      </w:r>
      <w:r>
        <w:rPr>
          <w:b/>
          <w:sz w:val="24"/>
          <w:szCs w:val="24"/>
        </w:rPr>
        <w:t xml:space="preserve">   主要原辅材料</w:t>
      </w:r>
      <w:r>
        <w:rPr>
          <w:rFonts w:hint="eastAsia"/>
          <w:b/>
          <w:sz w:val="24"/>
          <w:szCs w:val="24"/>
        </w:rPr>
        <w:t>用量汇总表</w:t>
      </w:r>
    </w:p>
    <w:tbl>
      <w:tblPr>
        <w:tblStyle w:val="35"/>
        <w:tblW w:w="934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0"/>
        <w:gridCol w:w="3600"/>
        <w:gridCol w:w="735"/>
        <w:gridCol w:w="810"/>
        <w:gridCol w:w="1095"/>
        <w:gridCol w:w="1170"/>
        <w:gridCol w:w="1241"/>
      </w:tblGrid>
      <w:tr w14:paraId="2208BA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90" w:type="dxa"/>
            <w:vAlign w:val="center"/>
          </w:tcPr>
          <w:p w14:paraId="7DDD0039">
            <w:pPr>
              <w:widowControl/>
              <w:jc w:val="center"/>
              <w:rPr>
                <w:color w:val="000000"/>
                <w:kern w:val="0"/>
                <w:szCs w:val="21"/>
              </w:rPr>
            </w:pPr>
            <w:bookmarkStart w:id="54" w:name="_Hlk167870420"/>
            <w:r>
              <w:rPr>
                <w:color w:val="000000"/>
                <w:kern w:val="0"/>
                <w:szCs w:val="21"/>
              </w:rPr>
              <w:t>序号</w:t>
            </w:r>
          </w:p>
        </w:tc>
        <w:tc>
          <w:tcPr>
            <w:tcW w:w="3600" w:type="dxa"/>
            <w:vAlign w:val="center"/>
          </w:tcPr>
          <w:p w14:paraId="225E7B40">
            <w:pPr>
              <w:widowControl/>
              <w:jc w:val="center"/>
              <w:rPr>
                <w:color w:val="000000"/>
                <w:kern w:val="0"/>
                <w:szCs w:val="21"/>
              </w:rPr>
            </w:pPr>
            <w:r>
              <w:rPr>
                <w:color w:val="000000"/>
                <w:kern w:val="0"/>
                <w:szCs w:val="21"/>
              </w:rPr>
              <w:t>材料名称</w:t>
            </w:r>
          </w:p>
        </w:tc>
        <w:tc>
          <w:tcPr>
            <w:tcW w:w="735" w:type="dxa"/>
            <w:vAlign w:val="center"/>
          </w:tcPr>
          <w:p w14:paraId="1DAB197F">
            <w:pPr>
              <w:widowControl/>
              <w:jc w:val="center"/>
              <w:textAlignment w:val="center"/>
              <w:rPr>
                <w:color w:val="000000"/>
                <w:kern w:val="0"/>
                <w:szCs w:val="21"/>
              </w:rPr>
            </w:pPr>
            <w:r>
              <w:rPr>
                <w:rStyle w:val="130"/>
                <w:rFonts w:hint="default" w:ascii="Times New Roman" w:hAnsi="Times New Roman" w:cs="Times New Roman"/>
                <w:color w:val="auto"/>
                <w:lang w:bidi="ar"/>
              </w:rPr>
              <w:t>形态</w:t>
            </w:r>
          </w:p>
        </w:tc>
        <w:tc>
          <w:tcPr>
            <w:tcW w:w="810" w:type="dxa"/>
            <w:vAlign w:val="center"/>
          </w:tcPr>
          <w:p w14:paraId="18554C3F">
            <w:pPr>
              <w:widowControl/>
              <w:jc w:val="center"/>
              <w:textAlignment w:val="center"/>
              <w:rPr>
                <w:color w:val="000000"/>
                <w:kern w:val="0"/>
                <w:szCs w:val="21"/>
              </w:rPr>
            </w:pPr>
            <w:r>
              <w:rPr>
                <w:rStyle w:val="130"/>
                <w:rFonts w:hint="default" w:ascii="Times New Roman" w:hAnsi="Times New Roman" w:cs="Times New Roman"/>
                <w:color w:val="auto"/>
                <w:lang w:bidi="ar"/>
              </w:rPr>
              <w:t>包装方式</w:t>
            </w:r>
          </w:p>
        </w:tc>
        <w:tc>
          <w:tcPr>
            <w:tcW w:w="1095" w:type="dxa"/>
            <w:vAlign w:val="center"/>
          </w:tcPr>
          <w:p w14:paraId="47FDEF68">
            <w:pPr>
              <w:widowControl/>
              <w:jc w:val="center"/>
              <w:textAlignment w:val="center"/>
              <w:rPr>
                <w:color w:val="000000"/>
                <w:kern w:val="0"/>
                <w:szCs w:val="21"/>
              </w:rPr>
            </w:pPr>
            <w:r>
              <w:rPr>
                <w:rStyle w:val="130"/>
                <w:rFonts w:hint="default" w:ascii="Times New Roman" w:hAnsi="Times New Roman" w:cs="Times New Roman"/>
                <w:color w:val="auto"/>
                <w:lang w:bidi="ar"/>
              </w:rPr>
              <w:t>规格</w:t>
            </w:r>
          </w:p>
        </w:tc>
        <w:tc>
          <w:tcPr>
            <w:tcW w:w="1170" w:type="dxa"/>
            <w:vAlign w:val="center"/>
          </w:tcPr>
          <w:p w14:paraId="73D6538D">
            <w:pPr>
              <w:widowControl/>
              <w:jc w:val="center"/>
              <w:rPr>
                <w:rFonts w:hint="eastAsia" w:eastAsia="宋体"/>
                <w:color w:val="000000"/>
                <w:kern w:val="0"/>
                <w:szCs w:val="21"/>
                <w:lang w:eastAsia="zh-CN"/>
              </w:rPr>
            </w:pPr>
            <w:r>
              <w:rPr>
                <w:color w:val="000000"/>
                <w:kern w:val="0"/>
                <w:szCs w:val="21"/>
              </w:rPr>
              <w:t>环评年用量</w:t>
            </w:r>
            <w:r>
              <w:rPr>
                <w:rFonts w:hint="eastAsia"/>
                <w:color w:val="000000"/>
                <w:kern w:val="0"/>
                <w:szCs w:val="21"/>
                <w:lang w:eastAsia="zh-CN"/>
              </w:rPr>
              <w:t>（</w:t>
            </w:r>
            <w:r>
              <w:rPr>
                <w:rFonts w:hint="eastAsia"/>
                <w:color w:val="000000"/>
                <w:kern w:val="0"/>
                <w:szCs w:val="21"/>
                <w:lang w:val="en-US" w:eastAsia="zh-CN"/>
              </w:rPr>
              <w:t>t</w:t>
            </w:r>
            <w:r>
              <w:rPr>
                <w:rFonts w:hint="eastAsia"/>
                <w:color w:val="000000"/>
                <w:kern w:val="0"/>
                <w:szCs w:val="21"/>
                <w:lang w:eastAsia="zh-CN"/>
              </w:rPr>
              <w:t>）</w:t>
            </w:r>
          </w:p>
        </w:tc>
        <w:tc>
          <w:tcPr>
            <w:tcW w:w="1241" w:type="dxa"/>
            <w:vAlign w:val="center"/>
          </w:tcPr>
          <w:p w14:paraId="00504236">
            <w:pPr>
              <w:widowControl/>
              <w:jc w:val="center"/>
              <w:rPr>
                <w:color w:val="000000"/>
                <w:kern w:val="0"/>
                <w:szCs w:val="21"/>
              </w:rPr>
            </w:pPr>
            <w:r>
              <w:rPr>
                <w:color w:val="000000"/>
                <w:kern w:val="0"/>
                <w:szCs w:val="21"/>
              </w:rPr>
              <w:t>建成后用量</w:t>
            </w:r>
            <w:r>
              <w:rPr>
                <w:rFonts w:hint="eastAsia"/>
                <w:color w:val="000000"/>
                <w:kern w:val="0"/>
                <w:szCs w:val="21"/>
                <w:lang w:eastAsia="zh-CN"/>
              </w:rPr>
              <w:t>（</w:t>
            </w:r>
            <w:r>
              <w:rPr>
                <w:rFonts w:hint="eastAsia"/>
                <w:color w:val="000000"/>
                <w:kern w:val="0"/>
                <w:szCs w:val="21"/>
                <w:lang w:val="en-US" w:eastAsia="zh-CN"/>
              </w:rPr>
              <w:t>t</w:t>
            </w:r>
            <w:r>
              <w:rPr>
                <w:rFonts w:hint="eastAsia"/>
                <w:color w:val="000000"/>
                <w:kern w:val="0"/>
                <w:szCs w:val="21"/>
                <w:lang w:eastAsia="zh-CN"/>
              </w:rPr>
              <w:t>）</w:t>
            </w:r>
          </w:p>
        </w:tc>
      </w:tr>
      <w:tr w14:paraId="251CF5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Align w:val="center"/>
          </w:tcPr>
          <w:p w14:paraId="43D48E88">
            <w:pPr>
              <w:widowControl/>
              <w:jc w:val="center"/>
              <w:rPr>
                <w:color w:val="000000"/>
                <w:kern w:val="0"/>
                <w:szCs w:val="21"/>
              </w:rPr>
            </w:pPr>
            <w:r>
              <w:rPr>
                <w:color w:val="000000"/>
                <w:kern w:val="0"/>
                <w:szCs w:val="21"/>
              </w:rPr>
              <w:t>1</w:t>
            </w:r>
          </w:p>
        </w:tc>
        <w:tc>
          <w:tcPr>
            <w:tcW w:w="3600" w:type="dxa"/>
            <w:vAlign w:val="center"/>
          </w:tcPr>
          <w:p w14:paraId="4C6CDB49">
            <w:pPr>
              <w:widowControl/>
              <w:jc w:val="center"/>
              <w:textAlignment w:val="center"/>
              <w:rPr>
                <w:szCs w:val="21"/>
              </w:rPr>
            </w:pPr>
            <w:r>
              <w:rPr>
                <w:rStyle w:val="129"/>
                <w:rFonts w:hint="eastAsia" w:ascii="Times New Roman" w:hAnsi="Times New Roman" w:cs="Times New Roman"/>
                <w:color w:val="auto"/>
                <w:sz w:val="21"/>
                <w:szCs w:val="21"/>
                <w:lang w:val="en-US" w:eastAsia="zh-CN" w:bidi="ar"/>
              </w:rPr>
              <w:t>耐酸保护油墨</w:t>
            </w:r>
          </w:p>
        </w:tc>
        <w:tc>
          <w:tcPr>
            <w:tcW w:w="735" w:type="dxa"/>
            <w:vAlign w:val="center"/>
          </w:tcPr>
          <w:p w14:paraId="07255E3C">
            <w:pPr>
              <w:widowControl/>
              <w:jc w:val="center"/>
              <w:textAlignment w:val="center"/>
              <w:rPr>
                <w:szCs w:val="21"/>
              </w:rPr>
            </w:pPr>
            <w:r>
              <w:rPr>
                <w:rStyle w:val="129"/>
                <w:rFonts w:hint="default" w:ascii="Times New Roman" w:hAnsi="Times New Roman" w:cs="Times New Roman"/>
                <w:color w:val="auto"/>
                <w:sz w:val="21"/>
                <w:szCs w:val="21"/>
                <w:lang w:bidi="ar"/>
              </w:rPr>
              <w:t>液态</w:t>
            </w:r>
          </w:p>
        </w:tc>
        <w:tc>
          <w:tcPr>
            <w:tcW w:w="810" w:type="dxa"/>
            <w:vAlign w:val="center"/>
          </w:tcPr>
          <w:p w14:paraId="75041200">
            <w:pPr>
              <w:jc w:val="center"/>
              <w:rPr>
                <w:szCs w:val="21"/>
              </w:rPr>
            </w:pPr>
            <w:r>
              <w:rPr>
                <w:rFonts w:hint="eastAsia"/>
                <w:color w:val="auto"/>
                <w:szCs w:val="21"/>
                <w:lang w:val="en-US" w:eastAsia="zh-CN"/>
              </w:rPr>
              <w:t>桶装</w:t>
            </w:r>
          </w:p>
        </w:tc>
        <w:tc>
          <w:tcPr>
            <w:tcW w:w="1095" w:type="dxa"/>
            <w:vAlign w:val="center"/>
          </w:tcPr>
          <w:p w14:paraId="3F9CC7B0">
            <w:pPr>
              <w:widowControl/>
              <w:jc w:val="center"/>
              <w:textAlignment w:val="center"/>
              <w:rPr>
                <w:szCs w:val="21"/>
              </w:rPr>
            </w:pPr>
            <w:r>
              <w:rPr>
                <w:rFonts w:hint="eastAsia"/>
                <w:color w:val="auto"/>
                <w:kern w:val="0"/>
                <w:szCs w:val="21"/>
                <w:lang w:val="en-US" w:eastAsia="zh-CN" w:bidi="ar"/>
              </w:rPr>
              <w:t>25kg/桶</w:t>
            </w:r>
          </w:p>
        </w:tc>
        <w:tc>
          <w:tcPr>
            <w:tcW w:w="1170" w:type="dxa"/>
            <w:vAlign w:val="center"/>
          </w:tcPr>
          <w:p w14:paraId="7CA584FF">
            <w:pPr>
              <w:widowControl/>
              <w:jc w:val="center"/>
              <w:textAlignment w:val="center"/>
              <w:rPr>
                <w:szCs w:val="21"/>
              </w:rPr>
            </w:pPr>
            <w:r>
              <w:rPr>
                <w:rFonts w:hint="eastAsia"/>
                <w:color w:val="auto"/>
                <w:kern w:val="0"/>
                <w:szCs w:val="21"/>
                <w:lang w:val="en-US" w:eastAsia="zh-CN" w:bidi="ar"/>
              </w:rPr>
              <w:t>10</w:t>
            </w:r>
          </w:p>
        </w:tc>
        <w:tc>
          <w:tcPr>
            <w:tcW w:w="1241" w:type="dxa"/>
            <w:shd w:val="clear" w:color="auto" w:fill="auto"/>
            <w:vAlign w:val="center"/>
          </w:tcPr>
          <w:p w14:paraId="74EC3793">
            <w:pPr>
              <w:widowControl/>
              <w:jc w:val="center"/>
              <w:textAlignment w:val="center"/>
              <w:rPr>
                <w:rFonts w:ascii="Times New Roman" w:hAnsi="Times New Roman" w:eastAsia="宋体" w:cs="Times New Roman"/>
                <w:kern w:val="2"/>
                <w:sz w:val="21"/>
                <w:szCs w:val="21"/>
                <w:lang w:val="en-US" w:eastAsia="zh-CN" w:bidi="ar-SA"/>
              </w:rPr>
            </w:pPr>
            <w:r>
              <w:rPr>
                <w:rFonts w:hint="eastAsia"/>
                <w:color w:val="auto"/>
                <w:kern w:val="0"/>
                <w:szCs w:val="21"/>
                <w:lang w:val="en-US" w:eastAsia="zh-CN" w:bidi="ar"/>
              </w:rPr>
              <w:t>10</w:t>
            </w:r>
          </w:p>
        </w:tc>
      </w:tr>
      <w:tr w14:paraId="1C4B24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Align w:val="center"/>
          </w:tcPr>
          <w:p w14:paraId="63111C0A">
            <w:pPr>
              <w:widowControl/>
              <w:jc w:val="center"/>
              <w:rPr>
                <w:color w:val="000000"/>
                <w:kern w:val="0"/>
                <w:szCs w:val="21"/>
              </w:rPr>
            </w:pPr>
            <w:r>
              <w:rPr>
                <w:color w:val="000000"/>
                <w:kern w:val="0"/>
                <w:szCs w:val="21"/>
              </w:rPr>
              <w:t>2</w:t>
            </w:r>
          </w:p>
        </w:tc>
        <w:tc>
          <w:tcPr>
            <w:tcW w:w="3600" w:type="dxa"/>
            <w:vAlign w:val="center"/>
          </w:tcPr>
          <w:p w14:paraId="226D9608">
            <w:pPr>
              <w:widowControl/>
              <w:jc w:val="center"/>
              <w:textAlignment w:val="center"/>
              <w:rPr>
                <w:szCs w:val="21"/>
              </w:rPr>
            </w:pPr>
            <w:r>
              <w:rPr>
                <w:rStyle w:val="130"/>
                <w:rFonts w:hint="eastAsia" w:ascii="Times New Roman" w:hAnsi="Times New Roman" w:cs="Times New Roman"/>
                <w:color w:val="auto"/>
                <w:lang w:val="en-US" w:eastAsia="zh-CN" w:bidi="ar"/>
              </w:rPr>
              <w:t>光刻胶</w:t>
            </w:r>
          </w:p>
        </w:tc>
        <w:tc>
          <w:tcPr>
            <w:tcW w:w="735" w:type="dxa"/>
            <w:vAlign w:val="center"/>
          </w:tcPr>
          <w:p w14:paraId="6121880C">
            <w:pPr>
              <w:widowControl/>
              <w:jc w:val="center"/>
              <w:textAlignment w:val="center"/>
              <w:rPr>
                <w:szCs w:val="21"/>
              </w:rPr>
            </w:pPr>
            <w:r>
              <w:rPr>
                <w:rStyle w:val="130"/>
                <w:rFonts w:hint="default" w:ascii="Times New Roman" w:hAnsi="Times New Roman" w:cs="Times New Roman"/>
                <w:color w:val="auto"/>
                <w:lang w:bidi="ar"/>
              </w:rPr>
              <w:t>固态</w:t>
            </w:r>
          </w:p>
        </w:tc>
        <w:tc>
          <w:tcPr>
            <w:tcW w:w="810" w:type="dxa"/>
            <w:vAlign w:val="center"/>
          </w:tcPr>
          <w:p w14:paraId="1837F4FE">
            <w:pPr>
              <w:jc w:val="center"/>
              <w:rPr>
                <w:szCs w:val="21"/>
              </w:rPr>
            </w:pPr>
            <w:r>
              <w:rPr>
                <w:rFonts w:hint="eastAsia"/>
                <w:bCs/>
                <w:color w:val="auto"/>
                <w:szCs w:val="21"/>
                <w:lang w:val="en-US" w:eastAsia="zh-CN"/>
              </w:rPr>
              <w:t>桶装</w:t>
            </w:r>
          </w:p>
        </w:tc>
        <w:tc>
          <w:tcPr>
            <w:tcW w:w="1095" w:type="dxa"/>
            <w:vAlign w:val="center"/>
          </w:tcPr>
          <w:p w14:paraId="5E6D17B6">
            <w:pPr>
              <w:widowControl/>
              <w:jc w:val="center"/>
              <w:textAlignment w:val="center"/>
              <w:rPr>
                <w:szCs w:val="21"/>
              </w:rPr>
            </w:pPr>
            <w:r>
              <w:rPr>
                <w:rFonts w:hint="eastAsia"/>
                <w:color w:val="auto"/>
                <w:szCs w:val="21"/>
                <w:lang w:val="en-US" w:eastAsia="zh-CN"/>
              </w:rPr>
              <w:t>25kg/桶</w:t>
            </w:r>
          </w:p>
        </w:tc>
        <w:tc>
          <w:tcPr>
            <w:tcW w:w="1170" w:type="dxa"/>
            <w:vAlign w:val="center"/>
          </w:tcPr>
          <w:p w14:paraId="1A339BC7">
            <w:pPr>
              <w:widowControl/>
              <w:jc w:val="center"/>
              <w:textAlignment w:val="center"/>
              <w:rPr>
                <w:szCs w:val="21"/>
              </w:rPr>
            </w:pPr>
            <w:r>
              <w:rPr>
                <w:rFonts w:hint="eastAsia"/>
                <w:color w:val="auto"/>
                <w:kern w:val="0"/>
                <w:szCs w:val="21"/>
                <w:lang w:val="en-US" w:eastAsia="zh-CN" w:bidi="ar"/>
              </w:rPr>
              <w:t>2</w:t>
            </w:r>
          </w:p>
        </w:tc>
        <w:tc>
          <w:tcPr>
            <w:tcW w:w="1241" w:type="dxa"/>
            <w:shd w:val="clear" w:color="auto" w:fill="auto"/>
            <w:vAlign w:val="center"/>
          </w:tcPr>
          <w:p w14:paraId="48EBE208">
            <w:pPr>
              <w:widowControl/>
              <w:jc w:val="center"/>
              <w:textAlignment w:val="center"/>
              <w:rPr>
                <w:rFonts w:ascii="Times New Roman" w:hAnsi="Times New Roman" w:eastAsia="宋体" w:cs="Times New Roman"/>
                <w:kern w:val="2"/>
                <w:sz w:val="21"/>
                <w:szCs w:val="21"/>
                <w:lang w:val="en-US" w:eastAsia="zh-CN" w:bidi="ar-SA"/>
              </w:rPr>
            </w:pPr>
            <w:r>
              <w:rPr>
                <w:rFonts w:hint="eastAsia"/>
                <w:color w:val="auto"/>
                <w:kern w:val="0"/>
                <w:szCs w:val="21"/>
                <w:lang w:val="en-US" w:eastAsia="zh-CN" w:bidi="ar"/>
              </w:rPr>
              <w:t>2</w:t>
            </w:r>
          </w:p>
        </w:tc>
      </w:tr>
      <w:tr w14:paraId="7199AE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Align w:val="center"/>
          </w:tcPr>
          <w:p w14:paraId="09BE4333">
            <w:pPr>
              <w:widowControl/>
              <w:jc w:val="center"/>
              <w:rPr>
                <w:color w:val="000000"/>
                <w:kern w:val="0"/>
                <w:szCs w:val="21"/>
              </w:rPr>
            </w:pPr>
            <w:r>
              <w:rPr>
                <w:color w:val="000000"/>
                <w:kern w:val="0"/>
                <w:szCs w:val="21"/>
              </w:rPr>
              <w:t>3</w:t>
            </w:r>
          </w:p>
        </w:tc>
        <w:tc>
          <w:tcPr>
            <w:tcW w:w="3600" w:type="dxa"/>
            <w:vAlign w:val="center"/>
          </w:tcPr>
          <w:p w14:paraId="6324BF56">
            <w:pPr>
              <w:widowControl/>
              <w:jc w:val="center"/>
              <w:textAlignment w:val="center"/>
              <w:rPr>
                <w:szCs w:val="21"/>
              </w:rPr>
            </w:pPr>
            <w:r>
              <w:rPr>
                <w:rStyle w:val="130"/>
                <w:rFonts w:hint="eastAsia" w:ascii="Times New Roman" w:hAnsi="Times New Roman" w:cs="Times New Roman"/>
                <w:color w:val="auto"/>
                <w:lang w:val="en-US" w:eastAsia="zh-CN" w:bidi="ar"/>
              </w:rPr>
              <w:t>曝光显影油墨</w:t>
            </w:r>
          </w:p>
        </w:tc>
        <w:tc>
          <w:tcPr>
            <w:tcW w:w="735" w:type="dxa"/>
            <w:vAlign w:val="center"/>
          </w:tcPr>
          <w:p w14:paraId="13CD2ED8">
            <w:pPr>
              <w:widowControl/>
              <w:jc w:val="center"/>
              <w:textAlignment w:val="center"/>
              <w:rPr>
                <w:szCs w:val="21"/>
              </w:rPr>
            </w:pPr>
            <w:r>
              <w:rPr>
                <w:rStyle w:val="130"/>
                <w:rFonts w:hint="eastAsia" w:ascii="Times New Roman" w:hAnsi="Times New Roman" w:cs="Times New Roman"/>
                <w:color w:val="auto"/>
                <w:lang w:val="en-US" w:eastAsia="zh-CN" w:bidi="ar"/>
              </w:rPr>
              <w:t>液态</w:t>
            </w:r>
          </w:p>
        </w:tc>
        <w:tc>
          <w:tcPr>
            <w:tcW w:w="810" w:type="dxa"/>
            <w:vAlign w:val="center"/>
          </w:tcPr>
          <w:p w14:paraId="1BF3CCCE">
            <w:pPr>
              <w:jc w:val="center"/>
              <w:rPr>
                <w:szCs w:val="21"/>
              </w:rPr>
            </w:pPr>
            <w:r>
              <w:rPr>
                <w:rFonts w:hint="eastAsia"/>
                <w:bCs/>
                <w:color w:val="auto"/>
                <w:szCs w:val="21"/>
                <w:lang w:val="en-US" w:eastAsia="zh-CN"/>
              </w:rPr>
              <w:t>桶装</w:t>
            </w:r>
          </w:p>
        </w:tc>
        <w:tc>
          <w:tcPr>
            <w:tcW w:w="1095" w:type="dxa"/>
            <w:vAlign w:val="center"/>
          </w:tcPr>
          <w:p w14:paraId="418ADDD3">
            <w:pPr>
              <w:widowControl/>
              <w:jc w:val="center"/>
              <w:textAlignment w:val="center"/>
              <w:rPr>
                <w:szCs w:val="21"/>
              </w:rPr>
            </w:pPr>
            <w:r>
              <w:rPr>
                <w:rFonts w:hint="eastAsia"/>
                <w:color w:val="auto"/>
                <w:szCs w:val="21"/>
                <w:lang w:val="en-US" w:eastAsia="zh-CN"/>
              </w:rPr>
              <w:t>25kg/桶</w:t>
            </w:r>
          </w:p>
        </w:tc>
        <w:tc>
          <w:tcPr>
            <w:tcW w:w="1170" w:type="dxa"/>
            <w:vAlign w:val="center"/>
          </w:tcPr>
          <w:p w14:paraId="076CBAD4">
            <w:pPr>
              <w:widowControl/>
              <w:jc w:val="center"/>
              <w:textAlignment w:val="center"/>
              <w:rPr>
                <w:szCs w:val="21"/>
              </w:rPr>
            </w:pPr>
            <w:r>
              <w:rPr>
                <w:rFonts w:hint="eastAsia"/>
                <w:color w:val="auto"/>
                <w:kern w:val="0"/>
                <w:szCs w:val="21"/>
                <w:lang w:val="en-US" w:eastAsia="zh-CN" w:bidi="ar"/>
              </w:rPr>
              <w:t>10</w:t>
            </w:r>
          </w:p>
        </w:tc>
        <w:tc>
          <w:tcPr>
            <w:tcW w:w="1241" w:type="dxa"/>
            <w:shd w:val="clear" w:color="auto" w:fill="auto"/>
            <w:vAlign w:val="center"/>
          </w:tcPr>
          <w:p w14:paraId="7147FBF4">
            <w:pPr>
              <w:widowControl/>
              <w:jc w:val="center"/>
              <w:textAlignment w:val="center"/>
              <w:rPr>
                <w:rFonts w:ascii="Times New Roman" w:hAnsi="Times New Roman" w:eastAsia="宋体" w:cs="Times New Roman"/>
                <w:kern w:val="2"/>
                <w:sz w:val="21"/>
                <w:szCs w:val="21"/>
                <w:lang w:val="en-US" w:eastAsia="zh-CN" w:bidi="ar-SA"/>
              </w:rPr>
            </w:pPr>
            <w:r>
              <w:rPr>
                <w:rFonts w:hint="eastAsia"/>
                <w:color w:val="auto"/>
                <w:kern w:val="0"/>
                <w:szCs w:val="21"/>
                <w:lang w:val="en-US" w:eastAsia="zh-CN" w:bidi="ar"/>
              </w:rPr>
              <w:t>10</w:t>
            </w:r>
          </w:p>
        </w:tc>
      </w:tr>
      <w:tr w14:paraId="1D4835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Align w:val="center"/>
          </w:tcPr>
          <w:p w14:paraId="2FC99104">
            <w:pPr>
              <w:widowControl/>
              <w:jc w:val="center"/>
              <w:rPr>
                <w:color w:val="000000"/>
                <w:kern w:val="0"/>
                <w:szCs w:val="21"/>
              </w:rPr>
            </w:pPr>
            <w:r>
              <w:rPr>
                <w:color w:val="000000"/>
                <w:kern w:val="0"/>
                <w:szCs w:val="21"/>
              </w:rPr>
              <w:t>4</w:t>
            </w:r>
          </w:p>
        </w:tc>
        <w:tc>
          <w:tcPr>
            <w:tcW w:w="3600" w:type="dxa"/>
            <w:vAlign w:val="center"/>
          </w:tcPr>
          <w:p w14:paraId="62CD18CC">
            <w:pPr>
              <w:widowControl/>
              <w:jc w:val="center"/>
              <w:textAlignment w:val="center"/>
              <w:rPr>
                <w:szCs w:val="21"/>
              </w:rPr>
            </w:pPr>
            <w:r>
              <w:rPr>
                <w:rStyle w:val="130"/>
                <w:rFonts w:hint="eastAsia" w:ascii="Times New Roman" w:hAnsi="Times New Roman" w:cs="Times New Roman"/>
                <w:color w:val="auto"/>
                <w:lang w:val="en-US" w:eastAsia="zh-CN" w:bidi="ar"/>
              </w:rPr>
              <w:t>显影液</w:t>
            </w:r>
          </w:p>
        </w:tc>
        <w:tc>
          <w:tcPr>
            <w:tcW w:w="735" w:type="dxa"/>
            <w:vAlign w:val="center"/>
          </w:tcPr>
          <w:p w14:paraId="713D3BD9">
            <w:pPr>
              <w:widowControl/>
              <w:jc w:val="center"/>
              <w:textAlignment w:val="center"/>
              <w:rPr>
                <w:szCs w:val="21"/>
              </w:rPr>
            </w:pPr>
            <w:r>
              <w:rPr>
                <w:rStyle w:val="130"/>
                <w:rFonts w:hint="eastAsia" w:ascii="Times New Roman" w:hAnsi="Times New Roman" w:cs="Times New Roman"/>
                <w:color w:val="auto"/>
                <w:lang w:val="en-US" w:eastAsia="zh-CN" w:bidi="ar"/>
              </w:rPr>
              <w:t>液态</w:t>
            </w:r>
          </w:p>
        </w:tc>
        <w:tc>
          <w:tcPr>
            <w:tcW w:w="810" w:type="dxa"/>
            <w:vAlign w:val="center"/>
          </w:tcPr>
          <w:p w14:paraId="69E3EED7">
            <w:pPr>
              <w:jc w:val="center"/>
              <w:rPr>
                <w:szCs w:val="21"/>
              </w:rPr>
            </w:pPr>
            <w:r>
              <w:rPr>
                <w:rFonts w:hint="eastAsia"/>
                <w:bCs/>
                <w:color w:val="auto"/>
                <w:szCs w:val="21"/>
                <w:lang w:val="en-US" w:eastAsia="zh-CN"/>
              </w:rPr>
              <w:t>桶装</w:t>
            </w:r>
          </w:p>
        </w:tc>
        <w:tc>
          <w:tcPr>
            <w:tcW w:w="1095" w:type="dxa"/>
            <w:vAlign w:val="center"/>
          </w:tcPr>
          <w:p w14:paraId="552DE9B1">
            <w:pPr>
              <w:widowControl/>
              <w:jc w:val="center"/>
              <w:textAlignment w:val="center"/>
              <w:rPr>
                <w:szCs w:val="21"/>
              </w:rPr>
            </w:pPr>
            <w:r>
              <w:rPr>
                <w:rFonts w:hint="eastAsia"/>
                <w:color w:val="auto"/>
                <w:szCs w:val="21"/>
                <w:lang w:val="en-US" w:eastAsia="zh-CN"/>
              </w:rPr>
              <w:t>25kg/桶</w:t>
            </w:r>
          </w:p>
        </w:tc>
        <w:tc>
          <w:tcPr>
            <w:tcW w:w="1170" w:type="dxa"/>
            <w:vAlign w:val="center"/>
          </w:tcPr>
          <w:p w14:paraId="5D6B20DD">
            <w:pPr>
              <w:widowControl/>
              <w:jc w:val="center"/>
              <w:textAlignment w:val="center"/>
              <w:rPr>
                <w:szCs w:val="21"/>
              </w:rPr>
            </w:pPr>
            <w:r>
              <w:rPr>
                <w:rFonts w:hint="eastAsia"/>
                <w:color w:val="auto"/>
                <w:kern w:val="0"/>
                <w:szCs w:val="21"/>
                <w:lang w:val="en-US" w:eastAsia="zh-CN" w:bidi="ar"/>
              </w:rPr>
              <w:t>10</w:t>
            </w:r>
          </w:p>
        </w:tc>
        <w:tc>
          <w:tcPr>
            <w:tcW w:w="1241" w:type="dxa"/>
            <w:shd w:val="clear" w:color="auto" w:fill="auto"/>
            <w:vAlign w:val="center"/>
          </w:tcPr>
          <w:p w14:paraId="71D897E6">
            <w:pPr>
              <w:widowControl/>
              <w:jc w:val="center"/>
              <w:textAlignment w:val="center"/>
              <w:rPr>
                <w:rFonts w:ascii="Times New Roman" w:hAnsi="Times New Roman" w:eastAsia="宋体" w:cs="Times New Roman"/>
                <w:kern w:val="2"/>
                <w:sz w:val="21"/>
                <w:szCs w:val="21"/>
                <w:lang w:val="en-US" w:eastAsia="zh-CN" w:bidi="ar-SA"/>
              </w:rPr>
            </w:pPr>
            <w:r>
              <w:rPr>
                <w:rFonts w:hint="eastAsia"/>
                <w:color w:val="auto"/>
                <w:kern w:val="0"/>
                <w:szCs w:val="21"/>
                <w:lang w:val="en-US" w:eastAsia="zh-CN" w:bidi="ar"/>
              </w:rPr>
              <w:t>10</w:t>
            </w:r>
          </w:p>
        </w:tc>
      </w:tr>
      <w:tr w14:paraId="49FD45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Align w:val="center"/>
          </w:tcPr>
          <w:p w14:paraId="76406066">
            <w:pPr>
              <w:widowControl/>
              <w:jc w:val="center"/>
              <w:rPr>
                <w:color w:val="000000"/>
                <w:kern w:val="0"/>
                <w:szCs w:val="21"/>
              </w:rPr>
            </w:pPr>
            <w:r>
              <w:rPr>
                <w:color w:val="000000"/>
                <w:kern w:val="0"/>
                <w:szCs w:val="21"/>
              </w:rPr>
              <w:t>5</w:t>
            </w:r>
          </w:p>
        </w:tc>
        <w:tc>
          <w:tcPr>
            <w:tcW w:w="3600" w:type="dxa"/>
            <w:vAlign w:val="center"/>
          </w:tcPr>
          <w:p w14:paraId="1EBF237D">
            <w:pPr>
              <w:widowControl/>
              <w:jc w:val="center"/>
              <w:textAlignment w:val="center"/>
              <w:rPr>
                <w:szCs w:val="21"/>
              </w:rPr>
            </w:pPr>
            <w:r>
              <w:rPr>
                <w:rFonts w:hint="eastAsia"/>
                <w:color w:val="auto"/>
                <w:szCs w:val="21"/>
                <w:lang w:val="en-US" w:eastAsia="zh-CN"/>
              </w:rPr>
              <w:t>蒙砂液</w:t>
            </w:r>
          </w:p>
        </w:tc>
        <w:tc>
          <w:tcPr>
            <w:tcW w:w="735" w:type="dxa"/>
            <w:vAlign w:val="center"/>
          </w:tcPr>
          <w:p w14:paraId="25C144C2">
            <w:pPr>
              <w:widowControl/>
              <w:jc w:val="center"/>
              <w:textAlignment w:val="center"/>
              <w:rPr>
                <w:szCs w:val="21"/>
              </w:rPr>
            </w:pPr>
            <w:r>
              <w:rPr>
                <w:rStyle w:val="130"/>
                <w:rFonts w:hint="eastAsia" w:ascii="Times New Roman" w:hAnsi="Times New Roman" w:cs="Times New Roman"/>
                <w:color w:val="auto"/>
                <w:lang w:val="en-US" w:eastAsia="zh-CN" w:bidi="ar"/>
              </w:rPr>
              <w:t>液态</w:t>
            </w:r>
          </w:p>
        </w:tc>
        <w:tc>
          <w:tcPr>
            <w:tcW w:w="810" w:type="dxa"/>
            <w:vAlign w:val="center"/>
          </w:tcPr>
          <w:p w14:paraId="17D49EA9">
            <w:pPr>
              <w:jc w:val="center"/>
              <w:rPr>
                <w:szCs w:val="21"/>
              </w:rPr>
            </w:pPr>
            <w:r>
              <w:rPr>
                <w:rFonts w:hint="eastAsia"/>
                <w:bCs/>
                <w:color w:val="auto"/>
                <w:szCs w:val="21"/>
                <w:lang w:val="en-US" w:eastAsia="zh-CN"/>
              </w:rPr>
              <w:t>桶装</w:t>
            </w:r>
          </w:p>
        </w:tc>
        <w:tc>
          <w:tcPr>
            <w:tcW w:w="1095" w:type="dxa"/>
            <w:vAlign w:val="center"/>
          </w:tcPr>
          <w:p w14:paraId="027791DC">
            <w:pPr>
              <w:widowControl/>
              <w:jc w:val="center"/>
              <w:textAlignment w:val="center"/>
              <w:rPr>
                <w:szCs w:val="21"/>
              </w:rPr>
            </w:pPr>
            <w:r>
              <w:rPr>
                <w:rFonts w:hint="eastAsia"/>
                <w:color w:val="auto"/>
                <w:kern w:val="0"/>
                <w:szCs w:val="21"/>
                <w:lang w:val="en-US" w:eastAsia="zh-CN" w:bidi="ar"/>
              </w:rPr>
              <w:t>50kg</w:t>
            </w:r>
            <w:r>
              <w:rPr>
                <w:color w:val="auto"/>
                <w:kern w:val="0"/>
                <w:szCs w:val="21"/>
                <w:lang w:bidi="ar"/>
              </w:rPr>
              <w:t>/</w:t>
            </w:r>
            <w:r>
              <w:rPr>
                <w:rStyle w:val="130"/>
                <w:rFonts w:hint="eastAsia" w:ascii="Times New Roman" w:hAnsi="Times New Roman" w:cs="Times New Roman"/>
                <w:color w:val="auto"/>
                <w:lang w:val="en-US" w:eastAsia="zh-CN" w:bidi="ar"/>
              </w:rPr>
              <w:t>桶</w:t>
            </w:r>
          </w:p>
        </w:tc>
        <w:tc>
          <w:tcPr>
            <w:tcW w:w="1170" w:type="dxa"/>
            <w:vAlign w:val="center"/>
          </w:tcPr>
          <w:p w14:paraId="40234E0F">
            <w:pPr>
              <w:widowControl/>
              <w:jc w:val="center"/>
              <w:textAlignment w:val="center"/>
              <w:rPr>
                <w:szCs w:val="21"/>
              </w:rPr>
            </w:pPr>
            <w:r>
              <w:rPr>
                <w:rFonts w:hint="eastAsia"/>
                <w:color w:val="auto"/>
                <w:kern w:val="0"/>
                <w:szCs w:val="21"/>
                <w:lang w:val="en-US" w:eastAsia="zh-CN" w:bidi="ar"/>
              </w:rPr>
              <w:t>80</w:t>
            </w:r>
          </w:p>
        </w:tc>
        <w:tc>
          <w:tcPr>
            <w:tcW w:w="1241" w:type="dxa"/>
            <w:shd w:val="clear" w:color="auto" w:fill="auto"/>
            <w:vAlign w:val="center"/>
          </w:tcPr>
          <w:p w14:paraId="25766494">
            <w:pPr>
              <w:widowControl/>
              <w:jc w:val="center"/>
              <w:textAlignment w:val="center"/>
              <w:rPr>
                <w:rFonts w:ascii="Times New Roman" w:hAnsi="Times New Roman" w:eastAsia="宋体" w:cs="Times New Roman"/>
                <w:kern w:val="2"/>
                <w:sz w:val="21"/>
                <w:szCs w:val="21"/>
                <w:lang w:val="en-US" w:eastAsia="zh-CN" w:bidi="ar-SA"/>
              </w:rPr>
            </w:pPr>
            <w:r>
              <w:rPr>
                <w:rFonts w:hint="eastAsia"/>
                <w:color w:val="auto"/>
                <w:kern w:val="0"/>
                <w:szCs w:val="21"/>
                <w:lang w:val="en-US" w:eastAsia="zh-CN" w:bidi="ar"/>
              </w:rPr>
              <w:t>80</w:t>
            </w:r>
          </w:p>
        </w:tc>
      </w:tr>
      <w:tr w14:paraId="7A1214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Align w:val="center"/>
          </w:tcPr>
          <w:p w14:paraId="144EE1E9">
            <w:pPr>
              <w:widowControl/>
              <w:jc w:val="center"/>
              <w:rPr>
                <w:color w:val="000000"/>
                <w:kern w:val="0"/>
                <w:szCs w:val="21"/>
              </w:rPr>
            </w:pPr>
            <w:r>
              <w:rPr>
                <w:color w:val="000000"/>
                <w:kern w:val="0"/>
                <w:szCs w:val="21"/>
              </w:rPr>
              <w:t>6</w:t>
            </w:r>
          </w:p>
        </w:tc>
        <w:tc>
          <w:tcPr>
            <w:tcW w:w="3600" w:type="dxa"/>
            <w:vAlign w:val="center"/>
          </w:tcPr>
          <w:p w14:paraId="313D677C">
            <w:pPr>
              <w:widowControl/>
              <w:jc w:val="center"/>
              <w:textAlignment w:val="center"/>
              <w:rPr>
                <w:szCs w:val="21"/>
              </w:rPr>
            </w:pPr>
            <w:r>
              <w:rPr>
                <w:rStyle w:val="130"/>
                <w:rFonts w:hint="eastAsia" w:ascii="Times New Roman" w:hAnsi="Times New Roman" w:cs="Times New Roman"/>
                <w:color w:val="auto"/>
                <w:lang w:val="en-US" w:eastAsia="zh-CN" w:bidi="ar"/>
              </w:rPr>
              <w:t>化抛液</w:t>
            </w:r>
          </w:p>
        </w:tc>
        <w:tc>
          <w:tcPr>
            <w:tcW w:w="735" w:type="dxa"/>
            <w:vAlign w:val="center"/>
          </w:tcPr>
          <w:p w14:paraId="1BB7D099">
            <w:pPr>
              <w:widowControl/>
              <w:jc w:val="center"/>
              <w:textAlignment w:val="center"/>
              <w:rPr>
                <w:szCs w:val="21"/>
              </w:rPr>
            </w:pPr>
            <w:r>
              <w:rPr>
                <w:rStyle w:val="130"/>
                <w:rFonts w:hint="eastAsia" w:ascii="Times New Roman" w:hAnsi="Times New Roman" w:cs="Times New Roman"/>
                <w:color w:val="auto"/>
                <w:lang w:val="en-US" w:eastAsia="zh-CN" w:bidi="ar"/>
              </w:rPr>
              <w:t>液态</w:t>
            </w:r>
          </w:p>
        </w:tc>
        <w:tc>
          <w:tcPr>
            <w:tcW w:w="810" w:type="dxa"/>
            <w:vAlign w:val="center"/>
          </w:tcPr>
          <w:p w14:paraId="201B364D">
            <w:pPr>
              <w:jc w:val="center"/>
              <w:rPr>
                <w:szCs w:val="21"/>
              </w:rPr>
            </w:pPr>
            <w:r>
              <w:rPr>
                <w:rFonts w:hint="eastAsia"/>
                <w:bCs/>
                <w:color w:val="auto"/>
                <w:szCs w:val="21"/>
                <w:lang w:val="en-US" w:eastAsia="zh-CN"/>
              </w:rPr>
              <w:t>桶装</w:t>
            </w:r>
          </w:p>
        </w:tc>
        <w:tc>
          <w:tcPr>
            <w:tcW w:w="1095" w:type="dxa"/>
            <w:vAlign w:val="center"/>
          </w:tcPr>
          <w:p w14:paraId="75CA3B2C">
            <w:pPr>
              <w:widowControl/>
              <w:jc w:val="center"/>
              <w:textAlignment w:val="center"/>
              <w:rPr>
                <w:szCs w:val="21"/>
              </w:rPr>
            </w:pPr>
            <w:r>
              <w:rPr>
                <w:rFonts w:hint="eastAsia"/>
                <w:color w:val="auto"/>
                <w:kern w:val="0"/>
                <w:szCs w:val="21"/>
                <w:lang w:val="en-US" w:eastAsia="zh-CN" w:bidi="ar"/>
              </w:rPr>
              <w:t>50kg</w:t>
            </w:r>
            <w:r>
              <w:rPr>
                <w:color w:val="auto"/>
                <w:kern w:val="0"/>
                <w:szCs w:val="21"/>
                <w:lang w:bidi="ar"/>
              </w:rPr>
              <w:t>/</w:t>
            </w:r>
            <w:r>
              <w:rPr>
                <w:rStyle w:val="130"/>
                <w:rFonts w:hint="eastAsia" w:ascii="Times New Roman" w:hAnsi="Times New Roman" w:cs="Times New Roman"/>
                <w:color w:val="auto"/>
                <w:lang w:val="en-US" w:eastAsia="zh-CN" w:bidi="ar"/>
              </w:rPr>
              <w:t>桶</w:t>
            </w:r>
          </w:p>
        </w:tc>
        <w:tc>
          <w:tcPr>
            <w:tcW w:w="1170" w:type="dxa"/>
            <w:vAlign w:val="center"/>
          </w:tcPr>
          <w:p w14:paraId="6A4CECA9">
            <w:pPr>
              <w:widowControl/>
              <w:jc w:val="center"/>
              <w:textAlignment w:val="center"/>
              <w:rPr>
                <w:szCs w:val="21"/>
              </w:rPr>
            </w:pPr>
            <w:r>
              <w:rPr>
                <w:rFonts w:hint="eastAsia"/>
                <w:color w:val="auto"/>
                <w:kern w:val="0"/>
                <w:szCs w:val="21"/>
                <w:lang w:val="en-US" w:eastAsia="zh-CN" w:bidi="ar"/>
              </w:rPr>
              <w:t>10</w:t>
            </w:r>
          </w:p>
        </w:tc>
        <w:tc>
          <w:tcPr>
            <w:tcW w:w="1241" w:type="dxa"/>
            <w:shd w:val="clear" w:color="auto" w:fill="auto"/>
            <w:vAlign w:val="center"/>
          </w:tcPr>
          <w:p w14:paraId="241FFBF8">
            <w:pPr>
              <w:widowControl/>
              <w:jc w:val="center"/>
              <w:textAlignment w:val="center"/>
              <w:rPr>
                <w:rFonts w:ascii="Times New Roman" w:hAnsi="Times New Roman" w:eastAsia="宋体" w:cs="Times New Roman"/>
                <w:kern w:val="2"/>
                <w:sz w:val="21"/>
                <w:szCs w:val="21"/>
                <w:lang w:val="en-US" w:eastAsia="zh-CN" w:bidi="ar-SA"/>
              </w:rPr>
            </w:pPr>
            <w:r>
              <w:rPr>
                <w:rFonts w:hint="eastAsia"/>
                <w:color w:val="auto"/>
                <w:kern w:val="0"/>
                <w:szCs w:val="21"/>
                <w:lang w:val="en-US" w:eastAsia="zh-CN" w:bidi="ar"/>
              </w:rPr>
              <w:t>10</w:t>
            </w:r>
          </w:p>
        </w:tc>
      </w:tr>
      <w:tr w14:paraId="7FE1BF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Align w:val="center"/>
          </w:tcPr>
          <w:p w14:paraId="229B61A7">
            <w:pPr>
              <w:widowControl/>
              <w:jc w:val="center"/>
              <w:rPr>
                <w:color w:val="000000"/>
                <w:kern w:val="0"/>
                <w:szCs w:val="21"/>
              </w:rPr>
            </w:pPr>
            <w:r>
              <w:rPr>
                <w:color w:val="000000"/>
                <w:kern w:val="0"/>
                <w:szCs w:val="21"/>
              </w:rPr>
              <w:t>7</w:t>
            </w:r>
          </w:p>
        </w:tc>
        <w:tc>
          <w:tcPr>
            <w:tcW w:w="3600" w:type="dxa"/>
            <w:vAlign w:val="center"/>
          </w:tcPr>
          <w:p w14:paraId="3DFDFC8A">
            <w:pPr>
              <w:widowControl/>
              <w:jc w:val="center"/>
              <w:textAlignment w:val="center"/>
              <w:rPr>
                <w:szCs w:val="21"/>
              </w:rPr>
            </w:pPr>
            <w:r>
              <w:rPr>
                <w:rFonts w:hint="eastAsia"/>
                <w:color w:val="auto"/>
                <w:szCs w:val="21"/>
                <w:lang w:val="en-US" w:eastAsia="zh-CN"/>
              </w:rPr>
              <w:t>超声波清洗剂</w:t>
            </w:r>
          </w:p>
        </w:tc>
        <w:tc>
          <w:tcPr>
            <w:tcW w:w="735" w:type="dxa"/>
            <w:vAlign w:val="center"/>
          </w:tcPr>
          <w:p w14:paraId="53CE0ECD">
            <w:pPr>
              <w:widowControl/>
              <w:jc w:val="center"/>
              <w:textAlignment w:val="center"/>
              <w:rPr>
                <w:szCs w:val="21"/>
              </w:rPr>
            </w:pPr>
            <w:r>
              <w:rPr>
                <w:rStyle w:val="129"/>
                <w:rFonts w:hint="default" w:ascii="Times New Roman" w:hAnsi="Times New Roman" w:cs="Times New Roman"/>
                <w:color w:val="auto"/>
                <w:sz w:val="21"/>
                <w:szCs w:val="21"/>
                <w:lang w:bidi="ar"/>
              </w:rPr>
              <w:t>液态</w:t>
            </w:r>
          </w:p>
        </w:tc>
        <w:tc>
          <w:tcPr>
            <w:tcW w:w="810" w:type="dxa"/>
            <w:vAlign w:val="center"/>
          </w:tcPr>
          <w:p w14:paraId="063EB1CD">
            <w:pPr>
              <w:jc w:val="center"/>
              <w:rPr>
                <w:szCs w:val="21"/>
              </w:rPr>
            </w:pPr>
            <w:r>
              <w:rPr>
                <w:rFonts w:hint="eastAsia"/>
                <w:color w:val="auto"/>
                <w:szCs w:val="21"/>
                <w:lang w:val="en-US" w:eastAsia="zh-CN"/>
              </w:rPr>
              <w:t>桶装</w:t>
            </w:r>
          </w:p>
        </w:tc>
        <w:tc>
          <w:tcPr>
            <w:tcW w:w="1095" w:type="dxa"/>
            <w:vAlign w:val="center"/>
          </w:tcPr>
          <w:p w14:paraId="231AB20E">
            <w:pPr>
              <w:widowControl/>
              <w:jc w:val="center"/>
              <w:textAlignment w:val="center"/>
              <w:rPr>
                <w:szCs w:val="21"/>
              </w:rPr>
            </w:pPr>
            <w:r>
              <w:rPr>
                <w:rFonts w:hint="eastAsia"/>
                <w:color w:val="auto"/>
                <w:kern w:val="0"/>
                <w:szCs w:val="21"/>
                <w:lang w:val="en-US" w:eastAsia="zh-CN" w:bidi="ar"/>
              </w:rPr>
              <w:t>25kg/桶</w:t>
            </w:r>
          </w:p>
        </w:tc>
        <w:tc>
          <w:tcPr>
            <w:tcW w:w="1170" w:type="dxa"/>
            <w:vAlign w:val="center"/>
          </w:tcPr>
          <w:p w14:paraId="522D85EC">
            <w:pPr>
              <w:widowControl/>
              <w:jc w:val="center"/>
              <w:textAlignment w:val="center"/>
              <w:rPr>
                <w:szCs w:val="21"/>
              </w:rPr>
            </w:pPr>
            <w:r>
              <w:rPr>
                <w:rFonts w:hint="eastAsia"/>
                <w:color w:val="auto"/>
                <w:kern w:val="0"/>
                <w:szCs w:val="21"/>
                <w:lang w:val="en-US" w:eastAsia="zh-CN" w:bidi="ar"/>
              </w:rPr>
              <w:t>5</w:t>
            </w:r>
          </w:p>
        </w:tc>
        <w:tc>
          <w:tcPr>
            <w:tcW w:w="1241" w:type="dxa"/>
            <w:shd w:val="clear" w:color="auto" w:fill="auto"/>
            <w:vAlign w:val="center"/>
          </w:tcPr>
          <w:p w14:paraId="37778979">
            <w:pPr>
              <w:widowControl/>
              <w:jc w:val="center"/>
              <w:textAlignment w:val="center"/>
              <w:rPr>
                <w:rFonts w:ascii="Times New Roman" w:hAnsi="Times New Roman" w:eastAsia="宋体" w:cs="Times New Roman"/>
                <w:kern w:val="2"/>
                <w:sz w:val="21"/>
                <w:szCs w:val="21"/>
                <w:lang w:val="en-US" w:eastAsia="zh-CN" w:bidi="ar-SA"/>
              </w:rPr>
            </w:pPr>
            <w:r>
              <w:rPr>
                <w:rFonts w:hint="eastAsia"/>
                <w:color w:val="auto"/>
                <w:kern w:val="0"/>
                <w:szCs w:val="21"/>
                <w:lang w:val="en-US" w:eastAsia="zh-CN" w:bidi="ar"/>
              </w:rPr>
              <w:t>5</w:t>
            </w:r>
          </w:p>
        </w:tc>
      </w:tr>
      <w:tr w14:paraId="4E9903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Align w:val="center"/>
          </w:tcPr>
          <w:p w14:paraId="127D45FC">
            <w:pPr>
              <w:widowControl/>
              <w:jc w:val="center"/>
              <w:rPr>
                <w:color w:val="000000"/>
                <w:kern w:val="0"/>
                <w:szCs w:val="21"/>
              </w:rPr>
            </w:pPr>
            <w:r>
              <w:rPr>
                <w:color w:val="000000"/>
                <w:kern w:val="0"/>
                <w:szCs w:val="21"/>
              </w:rPr>
              <w:t>8</w:t>
            </w:r>
          </w:p>
        </w:tc>
        <w:tc>
          <w:tcPr>
            <w:tcW w:w="3600" w:type="dxa"/>
            <w:vAlign w:val="center"/>
          </w:tcPr>
          <w:p w14:paraId="6AF280FA">
            <w:pPr>
              <w:widowControl/>
              <w:jc w:val="center"/>
              <w:textAlignment w:val="center"/>
              <w:rPr>
                <w:szCs w:val="21"/>
              </w:rPr>
            </w:pPr>
            <w:r>
              <w:rPr>
                <w:rFonts w:hint="eastAsia"/>
                <w:color w:val="auto"/>
                <w:szCs w:val="21"/>
                <w:lang w:val="en-US" w:eastAsia="zh-CN"/>
              </w:rPr>
              <w:t>氢氧化钠</w:t>
            </w:r>
          </w:p>
        </w:tc>
        <w:tc>
          <w:tcPr>
            <w:tcW w:w="735" w:type="dxa"/>
            <w:vAlign w:val="center"/>
          </w:tcPr>
          <w:p w14:paraId="744AEC01">
            <w:pPr>
              <w:widowControl/>
              <w:jc w:val="center"/>
              <w:textAlignment w:val="center"/>
              <w:rPr>
                <w:szCs w:val="21"/>
              </w:rPr>
            </w:pPr>
            <w:r>
              <w:rPr>
                <w:rStyle w:val="129"/>
                <w:rFonts w:hint="eastAsia" w:ascii="Times New Roman" w:hAnsi="Times New Roman" w:eastAsia="宋体" w:cs="Times New Roman"/>
                <w:color w:val="auto"/>
                <w:sz w:val="21"/>
                <w:szCs w:val="21"/>
                <w:lang w:val="en-US" w:eastAsia="zh-CN" w:bidi="ar"/>
              </w:rPr>
              <w:t>固态</w:t>
            </w:r>
          </w:p>
        </w:tc>
        <w:tc>
          <w:tcPr>
            <w:tcW w:w="810" w:type="dxa"/>
            <w:vAlign w:val="center"/>
          </w:tcPr>
          <w:p w14:paraId="5CD2D21C">
            <w:pPr>
              <w:jc w:val="center"/>
              <w:rPr>
                <w:szCs w:val="21"/>
              </w:rPr>
            </w:pPr>
            <w:r>
              <w:rPr>
                <w:rFonts w:hint="eastAsia"/>
                <w:color w:val="auto"/>
                <w:szCs w:val="21"/>
                <w:lang w:val="en-US" w:eastAsia="zh-CN"/>
              </w:rPr>
              <w:t>袋装</w:t>
            </w:r>
          </w:p>
        </w:tc>
        <w:tc>
          <w:tcPr>
            <w:tcW w:w="1095" w:type="dxa"/>
            <w:vAlign w:val="center"/>
          </w:tcPr>
          <w:p w14:paraId="794CE5DC">
            <w:pPr>
              <w:widowControl/>
              <w:jc w:val="center"/>
              <w:textAlignment w:val="center"/>
              <w:rPr>
                <w:szCs w:val="21"/>
              </w:rPr>
            </w:pPr>
            <w:r>
              <w:rPr>
                <w:rFonts w:hint="eastAsia"/>
                <w:color w:val="auto"/>
                <w:kern w:val="0"/>
                <w:szCs w:val="21"/>
                <w:lang w:val="en-US" w:eastAsia="zh-CN" w:bidi="ar"/>
              </w:rPr>
              <w:t>50kg/袋</w:t>
            </w:r>
          </w:p>
        </w:tc>
        <w:tc>
          <w:tcPr>
            <w:tcW w:w="1170" w:type="dxa"/>
            <w:vAlign w:val="center"/>
          </w:tcPr>
          <w:p w14:paraId="161B20BC">
            <w:pPr>
              <w:widowControl/>
              <w:jc w:val="center"/>
              <w:textAlignment w:val="center"/>
              <w:rPr>
                <w:szCs w:val="21"/>
              </w:rPr>
            </w:pPr>
            <w:r>
              <w:rPr>
                <w:rFonts w:hint="eastAsia"/>
                <w:color w:val="auto"/>
                <w:kern w:val="0"/>
                <w:szCs w:val="21"/>
                <w:lang w:val="en-US" w:eastAsia="zh-CN" w:bidi="ar"/>
              </w:rPr>
              <w:t>3</w:t>
            </w:r>
          </w:p>
        </w:tc>
        <w:tc>
          <w:tcPr>
            <w:tcW w:w="1241" w:type="dxa"/>
            <w:shd w:val="clear" w:color="auto" w:fill="auto"/>
            <w:vAlign w:val="center"/>
          </w:tcPr>
          <w:p w14:paraId="29C390DC">
            <w:pPr>
              <w:widowControl/>
              <w:jc w:val="center"/>
              <w:textAlignment w:val="center"/>
              <w:rPr>
                <w:rFonts w:ascii="Times New Roman" w:hAnsi="Times New Roman" w:eastAsia="宋体" w:cs="Times New Roman"/>
                <w:kern w:val="2"/>
                <w:sz w:val="21"/>
                <w:szCs w:val="21"/>
                <w:lang w:val="en-US" w:eastAsia="zh-CN" w:bidi="ar-SA"/>
              </w:rPr>
            </w:pPr>
            <w:r>
              <w:rPr>
                <w:rFonts w:hint="eastAsia"/>
                <w:color w:val="auto"/>
                <w:kern w:val="0"/>
                <w:szCs w:val="21"/>
                <w:lang w:val="en-US" w:eastAsia="zh-CN" w:bidi="ar"/>
              </w:rPr>
              <w:t>3</w:t>
            </w:r>
          </w:p>
        </w:tc>
      </w:tr>
      <w:tr w14:paraId="41AC2A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Align w:val="center"/>
          </w:tcPr>
          <w:p w14:paraId="5F195C68">
            <w:pPr>
              <w:widowControl/>
              <w:jc w:val="center"/>
              <w:rPr>
                <w:color w:val="000000"/>
                <w:kern w:val="0"/>
                <w:szCs w:val="21"/>
              </w:rPr>
            </w:pPr>
            <w:r>
              <w:rPr>
                <w:color w:val="000000"/>
                <w:kern w:val="0"/>
                <w:szCs w:val="21"/>
              </w:rPr>
              <w:t>9</w:t>
            </w:r>
          </w:p>
        </w:tc>
        <w:tc>
          <w:tcPr>
            <w:tcW w:w="3600" w:type="dxa"/>
            <w:vAlign w:val="center"/>
          </w:tcPr>
          <w:p w14:paraId="6AFAD8B2">
            <w:pPr>
              <w:widowControl/>
              <w:jc w:val="center"/>
              <w:textAlignment w:val="center"/>
              <w:rPr>
                <w:szCs w:val="21"/>
              </w:rPr>
            </w:pPr>
            <w:r>
              <w:rPr>
                <w:rFonts w:hint="eastAsia"/>
                <w:color w:val="auto"/>
                <w:szCs w:val="21"/>
                <w:lang w:val="en-US" w:eastAsia="zh-CN"/>
              </w:rPr>
              <w:t>环保专用胶（反应型聚氨酯热熔胶）</w:t>
            </w:r>
          </w:p>
        </w:tc>
        <w:tc>
          <w:tcPr>
            <w:tcW w:w="735" w:type="dxa"/>
            <w:vAlign w:val="center"/>
          </w:tcPr>
          <w:p w14:paraId="3458197A">
            <w:pPr>
              <w:widowControl/>
              <w:jc w:val="center"/>
              <w:textAlignment w:val="center"/>
              <w:rPr>
                <w:szCs w:val="21"/>
              </w:rPr>
            </w:pPr>
            <w:r>
              <w:rPr>
                <w:rStyle w:val="130"/>
                <w:rFonts w:hint="default" w:ascii="Times New Roman" w:hAnsi="Times New Roman" w:cs="Times New Roman"/>
                <w:color w:val="auto"/>
                <w:lang w:bidi="ar"/>
              </w:rPr>
              <w:t>固态</w:t>
            </w:r>
          </w:p>
        </w:tc>
        <w:tc>
          <w:tcPr>
            <w:tcW w:w="810" w:type="dxa"/>
            <w:vAlign w:val="center"/>
          </w:tcPr>
          <w:p w14:paraId="27A81D91">
            <w:pPr>
              <w:jc w:val="center"/>
              <w:rPr>
                <w:szCs w:val="21"/>
              </w:rPr>
            </w:pPr>
            <w:r>
              <w:rPr>
                <w:rFonts w:hint="eastAsia"/>
                <w:bCs/>
                <w:color w:val="auto"/>
                <w:szCs w:val="21"/>
              </w:rPr>
              <w:t>盒装</w:t>
            </w:r>
          </w:p>
        </w:tc>
        <w:tc>
          <w:tcPr>
            <w:tcW w:w="1095" w:type="dxa"/>
            <w:vAlign w:val="center"/>
          </w:tcPr>
          <w:p w14:paraId="32D63E0E">
            <w:pPr>
              <w:widowControl/>
              <w:jc w:val="center"/>
              <w:textAlignment w:val="center"/>
              <w:rPr>
                <w:szCs w:val="21"/>
              </w:rPr>
            </w:pPr>
            <w:r>
              <w:rPr>
                <w:rFonts w:hint="eastAsia"/>
                <w:color w:val="auto"/>
                <w:szCs w:val="21"/>
                <w:lang w:val="en-US" w:eastAsia="zh-CN"/>
              </w:rPr>
              <w:t>/</w:t>
            </w:r>
          </w:p>
        </w:tc>
        <w:tc>
          <w:tcPr>
            <w:tcW w:w="1170" w:type="dxa"/>
            <w:vAlign w:val="center"/>
          </w:tcPr>
          <w:p w14:paraId="601765AB">
            <w:pPr>
              <w:widowControl/>
              <w:jc w:val="center"/>
              <w:textAlignment w:val="center"/>
              <w:rPr>
                <w:szCs w:val="21"/>
              </w:rPr>
            </w:pPr>
            <w:r>
              <w:rPr>
                <w:rFonts w:hint="eastAsia"/>
                <w:color w:val="auto"/>
                <w:szCs w:val="21"/>
                <w:lang w:val="en-US" w:eastAsia="zh-CN"/>
              </w:rPr>
              <w:t>5</w:t>
            </w:r>
          </w:p>
        </w:tc>
        <w:tc>
          <w:tcPr>
            <w:tcW w:w="1241" w:type="dxa"/>
            <w:shd w:val="clear" w:color="auto" w:fill="auto"/>
            <w:vAlign w:val="center"/>
          </w:tcPr>
          <w:p w14:paraId="7CA42F01">
            <w:pPr>
              <w:widowControl/>
              <w:jc w:val="center"/>
              <w:textAlignment w:val="center"/>
              <w:rPr>
                <w:rFonts w:ascii="Times New Roman" w:hAnsi="Times New Roman" w:eastAsia="宋体" w:cs="Times New Roman"/>
                <w:kern w:val="2"/>
                <w:sz w:val="21"/>
                <w:szCs w:val="21"/>
                <w:lang w:val="en-US" w:eastAsia="zh-CN" w:bidi="ar-SA"/>
              </w:rPr>
            </w:pPr>
            <w:r>
              <w:rPr>
                <w:rFonts w:hint="eastAsia"/>
                <w:color w:val="auto"/>
                <w:szCs w:val="21"/>
                <w:lang w:val="en-US" w:eastAsia="zh-CN"/>
              </w:rPr>
              <w:t>5</w:t>
            </w:r>
          </w:p>
        </w:tc>
      </w:tr>
      <w:tr w14:paraId="32A7D2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Align w:val="center"/>
          </w:tcPr>
          <w:p w14:paraId="04D63C1F">
            <w:pPr>
              <w:widowControl/>
              <w:jc w:val="center"/>
              <w:rPr>
                <w:color w:val="000000"/>
                <w:kern w:val="0"/>
                <w:szCs w:val="21"/>
              </w:rPr>
            </w:pPr>
            <w:r>
              <w:rPr>
                <w:color w:val="000000"/>
                <w:kern w:val="0"/>
                <w:szCs w:val="21"/>
              </w:rPr>
              <w:t>10</w:t>
            </w:r>
          </w:p>
        </w:tc>
        <w:tc>
          <w:tcPr>
            <w:tcW w:w="3600" w:type="dxa"/>
            <w:vAlign w:val="center"/>
          </w:tcPr>
          <w:p w14:paraId="29CD2D5B">
            <w:pPr>
              <w:widowControl/>
              <w:jc w:val="center"/>
              <w:textAlignment w:val="center"/>
              <w:rPr>
                <w:szCs w:val="21"/>
              </w:rPr>
            </w:pPr>
            <w:r>
              <w:rPr>
                <w:rFonts w:hint="eastAsia"/>
                <w:color w:val="auto"/>
                <w:szCs w:val="21"/>
                <w:lang w:val="en-US" w:eastAsia="zh-CN"/>
              </w:rPr>
              <w:t>电池盖保护膜</w:t>
            </w:r>
          </w:p>
        </w:tc>
        <w:tc>
          <w:tcPr>
            <w:tcW w:w="735" w:type="dxa"/>
            <w:vAlign w:val="center"/>
          </w:tcPr>
          <w:p w14:paraId="3F51C976">
            <w:pPr>
              <w:widowControl/>
              <w:jc w:val="center"/>
              <w:textAlignment w:val="center"/>
              <w:rPr>
                <w:szCs w:val="21"/>
              </w:rPr>
            </w:pPr>
            <w:r>
              <w:rPr>
                <w:rStyle w:val="130"/>
                <w:rFonts w:hint="default" w:ascii="Times New Roman" w:hAnsi="Times New Roman" w:cs="Times New Roman"/>
                <w:color w:val="auto"/>
                <w:lang w:bidi="ar"/>
              </w:rPr>
              <w:t>固态</w:t>
            </w:r>
          </w:p>
        </w:tc>
        <w:tc>
          <w:tcPr>
            <w:tcW w:w="810" w:type="dxa"/>
            <w:vAlign w:val="center"/>
          </w:tcPr>
          <w:p w14:paraId="03CCBCEC">
            <w:pPr>
              <w:jc w:val="center"/>
              <w:rPr>
                <w:szCs w:val="21"/>
              </w:rPr>
            </w:pPr>
            <w:r>
              <w:rPr>
                <w:rFonts w:hint="eastAsia"/>
                <w:bCs/>
                <w:color w:val="auto"/>
                <w:szCs w:val="21"/>
              </w:rPr>
              <w:t>盒装</w:t>
            </w:r>
          </w:p>
        </w:tc>
        <w:tc>
          <w:tcPr>
            <w:tcW w:w="1095" w:type="dxa"/>
            <w:vAlign w:val="center"/>
          </w:tcPr>
          <w:p w14:paraId="3FAA7FB2">
            <w:pPr>
              <w:widowControl/>
              <w:jc w:val="center"/>
              <w:textAlignment w:val="center"/>
              <w:rPr>
                <w:szCs w:val="21"/>
              </w:rPr>
            </w:pPr>
            <w:r>
              <w:rPr>
                <w:color w:val="auto"/>
                <w:kern w:val="0"/>
                <w:szCs w:val="21"/>
                <w:lang w:bidi="ar"/>
              </w:rPr>
              <w:t>70</w:t>
            </w:r>
            <w:r>
              <w:rPr>
                <w:rStyle w:val="130"/>
                <w:rFonts w:hint="default" w:ascii="Times New Roman" w:hAnsi="Times New Roman" w:cs="Times New Roman"/>
                <w:color w:val="auto"/>
                <w:lang w:bidi="ar"/>
              </w:rPr>
              <w:t>只</w:t>
            </w:r>
            <w:r>
              <w:rPr>
                <w:color w:val="auto"/>
                <w:kern w:val="0"/>
                <w:szCs w:val="21"/>
                <w:lang w:bidi="ar"/>
              </w:rPr>
              <w:t>/</w:t>
            </w:r>
            <w:r>
              <w:rPr>
                <w:rStyle w:val="130"/>
                <w:rFonts w:hint="default" w:ascii="Times New Roman" w:hAnsi="Times New Roman" w:cs="Times New Roman"/>
                <w:color w:val="auto"/>
                <w:lang w:bidi="ar"/>
              </w:rPr>
              <w:t>包，</w:t>
            </w:r>
            <w:r>
              <w:rPr>
                <w:color w:val="auto"/>
                <w:kern w:val="0"/>
                <w:szCs w:val="21"/>
                <w:lang w:bidi="ar"/>
              </w:rPr>
              <w:t>M</w:t>
            </w:r>
          </w:p>
        </w:tc>
        <w:tc>
          <w:tcPr>
            <w:tcW w:w="1170" w:type="dxa"/>
            <w:vAlign w:val="center"/>
          </w:tcPr>
          <w:p w14:paraId="0AF1A29D">
            <w:pPr>
              <w:widowControl/>
              <w:jc w:val="center"/>
              <w:textAlignment w:val="center"/>
              <w:rPr>
                <w:szCs w:val="21"/>
              </w:rPr>
            </w:pPr>
            <w:r>
              <w:rPr>
                <w:color w:val="auto"/>
                <w:kern w:val="0"/>
                <w:szCs w:val="21"/>
                <w:lang w:bidi="ar"/>
              </w:rPr>
              <w:t>400</w:t>
            </w:r>
            <w:r>
              <w:rPr>
                <w:rStyle w:val="130"/>
                <w:rFonts w:hint="default" w:ascii="Times New Roman" w:hAnsi="Times New Roman" w:cs="Times New Roman"/>
                <w:color w:val="auto"/>
                <w:lang w:bidi="ar"/>
              </w:rPr>
              <w:t>包</w:t>
            </w:r>
          </w:p>
        </w:tc>
        <w:tc>
          <w:tcPr>
            <w:tcW w:w="1241" w:type="dxa"/>
            <w:shd w:val="clear" w:color="auto" w:fill="auto"/>
            <w:vAlign w:val="center"/>
          </w:tcPr>
          <w:p w14:paraId="72F8176E">
            <w:pPr>
              <w:widowControl/>
              <w:jc w:val="center"/>
              <w:textAlignment w:val="center"/>
              <w:rPr>
                <w:rFonts w:ascii="Times New Roman" w:hAnsi="Times New Roman" w:eastAsia="宋体" w:cs="Times New Roman"/>
                <w:kern w:val="2"/>
                <w:sz w:val="21"/>
                <w:szCs w:val="21"/>
                <w:lang w:val="en-US" w:eastAsia="zh-CN" w:bidi="ar-SA"/>
              </w:rPr>
            </w:pPr>
            <w:r>
              <w:rPr>
                <w:color w:val="auto"/>
                <w:kern w:val="0"/>
                <w:szCs w:val="21"/>
                <w:lang w:bidi="ar"/>
              </w:rPr>
              <w:t>400</w:t>
            </w:r>
            <w:r>
              <w:rPr>
                <w:rStyle w:val="130"/>
                <w:rFonts w:hint="default" w:ascii="Times New Roman" w:hAnsi="Times New Roman" w:cs="Times New Roman"/>
                <w:color w:val="auto"/>
                <w:lang w:bidi="ar"/>
              </w:rPr>
              <w:t>包</w:t>
            </w:r>
          </w:p>
        </w:tc>
      </w:tr>
      <w:tr w14:paraId="678872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Align w:val="center"/>
          </w:tcPr>
          <w:p w14:paraId="4224C954">
            <w:pPr>
              <w:widowControl/>
              <w:jc w:val="center"/>
              <w:rPr>
                <w:rFonts w:hint="default" w:eastAsia="宋体"/>
                <w:color w:val="000000"/>
                <w:kern w:val="0"/>
                <w:szCs w:val="21"/>
                <w:lang w:val="en-US" w:eastAsia="zh-CN"/>
              </w:rPr>
            </w:pPr>
            <w:r>
              <w:rPr>
                <w:rFonts w:hint="eastAsia"/>
                <w:color w:val="000000"/>
                <w:kern w:val="0"/>
                <w:szCs w:val="21"/>
                <w:lang w:val="en-US" w:eastAsia="zh-CN"/>
              </w:rPr>
              <w:t>11</w:t>
            </w:r>
          </w:p>
        </w:tc>
        <w:tc>
          <w:tcPr>
            <w:tcW w:w="3600" w:type="dxa"/>
            <w:vAlign w:val="center"/>
          </w:tcPr>
          <w:p w14:paraId="2C772A23">
            <w:pPr>
              <w:widowControl/>
              <w:jc w:val="center"/>
              <w:textAlignment w:val="center"/>
              <w:rPr>
                <w:szCs w:val="21"/>
              </w:rPr>
            </w:pPr>
            <w:r>
              <w:rPr>
                <w:rFonts w:hint="eastAsia"/>
                <w:color w:val="auto"/>
                <w:szCs w:val="21"/>
                <w:lang w:val="en-US" w:eastAsia="zh-CN"/>
              </w:rPr>
              <w:t>电池盖防模印麦拉片（上）</w:t>
            </w:r>
          </w:p>
        </w:tc>
        <w:tc>
          <w:tcPr>
            <w:tcW w:w="735" w:type="dxa"/>
            <w:vAlign w:val="center"/>
          </w:tcPr>
          <w:p w14:paraId="58FCFC6C">
            <w:pPr>
              <w:widowControl/>
              <w:jc w:val="center"/>
              <w:textAlignment w:val="center"/>
              <w:rPr>
                <w:szCs w:val="21"/>
              </w:rPr>
            </w:pPr>
            <w:r>
              <w:rPr>
                <w:rStyle w:val="130"/>
                <w:rFonts w:hint="default" w:ascii="Times New Roman" w:hAnsi="Times New Roman" w:cs="Times New Roman"/>
                <w:color w:val="auto"/>
                <w:lang w:bidi="ar"/>
              </w:rPr>
              <w:t>固态</w:t>
            </w:r>
          </w:p>
        </w:tc>
        <w:tc>
          <w:tcPr>
            <w:tcW w:w="810" w:type="dxa"/>
            <w:vAlign w:val="center"/>
          </w:tcPr>
          <w:p w14:paraId="60370F65">
            <w:pPr>
              <w:jc w:val="center"/>
              <w:rPr>
                <w:szCs w:val="21"/>
              </w:rPr>
            </w:pPr>
            <w:r>
              <w:rPr>
                <w:rFonts w:hint="eastAsia"/>
                <w:bCs/>
                <w:color w:val="auto"/>
                <w:szCs w:val="21"/>
              </w:rPr>
              <w:t>盒装</w:t>
            </w:r>
          </w:p>
        </w:tc>
        <w:tc>
          <w:tcPr>
            <w:tcW w:w="1095" w:type="dxa"/>
            <w:vAlign w:val="center"/>
          </w:tcPr>
          <w:p w14:paraId="3C8A9C23">
            <w:pPr>
              <w:widowControl/>
              <w:jc w:val="center"/>
              <w:textAlignment w:val="center"/>
              <w:rPr>
                <w:szCs w:val="21"/>
              </w:rPr>
            </w:pPr>
            <w:r>
              <w:rPr>
                <w:rFonts w:hint="eastAsia"/>
                <w:color w:val="auto"/>
                <w:szCs w:val="21"/>
                <w:lang w:val="en-US" w:eastAsia="zh-CN"/>
              </w:rPr>
              <w:t>/</w:t>
            </w:r>
          </w:p>
        </w:tc>
        <w:tc>
          <w:tcPr>
            <w:tcW w:w="1170" w:type="dxa"/>
            <w:vAlign w:val="center"/>
          </w:tcPr>
          <w:p w14:paraId="16472009">
            <w:pPr>
              <w:widowControl/>
              <w:jc w:val="center"/>
              <w:textAlignment w:val="center"/>
              <w:rPr>
                <w:szCs w:val="21"/>
              </w:rPr>
            </w:pPr>
            <w:r>
              <w:rPr>
                <w:rFonts w:hint="eastAsia"/>
                <w:color w:val="auto"/>
                <w:kern w:val="0"/>
                <w:szCs w:val="21"/>
                <w:lang w:val="en-US" w:eastAsia="zh-CN" w:bidi="ar"/>
              </w:rPr>
              <w:t>800万件</w:t>
            </w:r>
          </w:p>
        </w:tc>
        <w:tc>
          <w:tcPr>
            <w:tcW w:w="1241" w:type="dxa"/>
            <w:shd w:val="clear" w:color="auto" w:fill="auto"/>
            <w:vAlign w:val="center"/>
          </w:tcPr>
          <w:p w14:paraId="6939E873">
            <w:pPr>
              <w:widowControl/>
              <w:jc w:val="center"/>
              <w:textAlignment w:val="center"/>
              <w:rPr>
                <w:rFonts w:ascii="Times New Roman" w:hAnsi="Times New Roman" w:eastAsia="宋体" w:cs="Times New Roman"/>
                <w:kern w:val="2"/>
                <w:sz w:val="21"/>
                <w:szCs w:val="21"/>
                <w:lang w:val="en-US" w:eastAsia="zh-CN" w:bidi="ar-SA"/>
              </w:rPr>
            </w:pPr>
            <w:r>
              <w:rPr>
                <w:rFonts w:hint="eastAsia"/>
                <w:color w:val="auto"/>
                <w:kern w:val="0"/>
                <w:szCs w:val="21"/>
                <w:lang w:val="en-US" w:eastAsia="zh-CN" w:bidi="ar"/>
              </w:rPr>
              <w:t>800万件</w:t>
            </w:r>
          </w:p>
        </w:tc>
      </w:tr>
      <w:tr w14:paraId="0756D5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Align w:val="center"/>
          </w:tcPr>
          <w:p w14:paraId="222D069C">
            <w:pPr>
              <w:widowControl/>
              <w:jc w:val="center"/>
              <w:rPr>
                <w:rFonts w:hint="default" w:eastAsia="宋体"/>
                <w:color w:val="000000"/>
                <w:kern w:val="0"/>
                <w:szCs w:val="21"/>
                <w:lang w:val="en-US" w:eastAsia="zh-CN"/>
              </w:rPr>
            </w:pPr>
            <w:r>
              <w:rPr>
                <w:rFonts w:hint="eastAsia"/>
                <w:color w:val="000000"/>
                <w:kern w:val="0"/>
                <w:szCs w:val="21"/>
                <w:lang w:val="en-US" w:eastAsia="zh-CN"/>
              </w:rPr>
              <w:t>12</w:t>
            </w:r>
          </w:p>
        </w:tc>
        <w:tc>
          <w:tcPr>
            <w:tcW w:w="3600" w:type="dxa"/>
            <w:vAlign w:val="center"/>
          </w:tcPr>
          <w:p w14:paraId="62C6AC4F">
            <w:pPr>
              <w:widowControl/>
              <w:jc w:val="center"/>
              <w:textAlignment w:val="center"/>
              <w:rPr>
                <w:szCs w:val="21"/>
              </w:rPr>
            </w:pPr>
            <w:r>
              <w:rPr>
                <w:rFonts w:hint="eastAsia"/>
                <w:color w:val="auto"/>
                <w:szCs w:val="21"/>
                <w:lang w:val="en-US" w:eastAsia="zh-CN"/>
              </w:rPr>
              <w:t>电池盖防模印麦拉片（下）</w:t>
            </w:r>
          </w:p>
        </w:tc>
        <w:tc>
          <w:tcPr>
            <w:tcW w:w="735" w:type="dxa"/>
            <w:vAlign w:val="center"/>
          </w:tcPr>
          <w:p w14:paraId="376F4326">
            <w:pPr>
              <w:widowControl/>
              <w:jc w:val="center"/>
              <w:textAlignment w:val="center"/>
              <w:rPr>
                <w:szCs w:val="21"/>
              </w:rPr>
            </w:pPr>
            <w:r>
              <w:rPr>
                <w:rStyle w:val="130"/>
                <w:rFonts w:hint="default" w:ascii="Times New Roman" w:hAnsi="Times New Roman" w:cs="Times New Roman"/>
                <w:color w:val="auto"/>
                <w:lang w:bidi="ar"/>
              </w:rPr>
              <w:t>固态</w:t>
            </w:r>
          </w:p>
        </w:tc>
        <w:tc>
          <w:tcPr>
            <w:tcW w:w="810" w:type="dxa"/>
            <w:vAlign w:val="center"/>
          </w:tcPr>
          <w:p w14:paraId="179C0302">
            <w:pPr>
              <w:jc w:val="center"/>
              <w:rPr>
                <w:szCs w:val="21"/>
              </w:rPr>
            </w:pPr>
            <w:r>
              <w:rPr>
                <w:rFonts w:hint="eastAsia"/>
                <w:bCs/>
                <w:color w:val="auto"/>
                <w:szCs w:val="21"/>
              </w:rPr>
              <w:t>盒装</w:t>
            </w:r>
          </w:p>
        </w:tc>
        <w:tc>
          <w:tcPr>
            <w:tcW w:w="1095" w:type="dxa"/>
            <w:vAlign w:val="center"/>
          </w:tcPr>
          <w:p w14:paraId="7D420FB6">
            <w:pPr>
              <w:widowControl/>
              <w:jc w:val="center"/>
              <w:textAlignment w:val="center"/>
              <w:rPr>
                <w:szCs w:val="21"/>
              </w:rPr>
            </w:pPr>
            <w:r>
              <w:rPr>
                <w:rFonts w:hint="eastAsia"/>
                <w:color w:val="auto"/>
                <w:szCs w:val="21"/>
                <w:lang w:val="en-US" w:eastAsia="zh-CN"/>
              </w:rPr>
              <w:t>/</w:t>
            </w:r>
          </w:p>
        </w:tc>
        <w:tc>
          <w:tcPr>
            <w:tcW w:w="1170" w:type="dxa"/>
            <w:vAlign w:val="center"/>
          </w:tcPr>
          <w:p w14:paraId="6088ECBC">
            <w:pPr>
              <w:widowControl/>
              <w:jc w:val="center"/>
              <w:textAlignment w:val="center"/>
              <w:rPr>
                <w:szCs w:val="21"/>
              </w:rPr>
            </w:pPr>
            <w:r>
              <w:rPr>
                <w:rFonts w:hint="eastAsia"/>
                <w:color w:val="auto"/>
                <w:kern w:val="0"/>
                <w:szCs w:val="21"/>
                <w:lang w:val="en-US" w:eastAsia="zh-CN" w:bidi="ar"/>
              </w:rPr>
              <w:t>800万件</w:t>
            </w:r>
          </w:p>
        </w:tc>
        <w:tc>
          <w:tcPr>
            <w:tcW w:w="1241" w:type="dxa"/>
            <w:shd w:val="clear" w:color="auto" w:fill="auto"/>
            <w:vAlign w:val="center"/>
          </w:tcPr>
          <w:p w14:paraId="22453D96">
            <w:pPr>
              <w:widowControl/>
              <w:jc w:val="center"/>
              <w:textAlignment w:val="center"/>
              <w:rPr>
                <w:rFonts w:ascii="Times New Roman" w:hAnsi="Times New Roman" w:eastAsia="宋体" w:cs="Times New Roman"/>
                <w:kern w:val="2"/>
                <w:sz w:val="21"/>
                <w:szCs w:val="21"/>
                <w:lang w:val="en-US" w:eastAsia="zh-CN" w:bidi="ar-SA"/>
              </w:rPr>
            </w:pPr>
            <w:r>
              <w:rPr>
                <w:rFonts w:hint="eastAsia"/>
                <w:color w:val="auto"/>
                <w:kern w:val="0"/>
                <w:szCs w:val="21"/>
                <w:lang w:val="en-US" w:eastAsia="zh-CN" w:bidi="ar"/>
              </w:rPr>
              <w:t>800万件</w:t>
            </w:r>
          </w:p>
        </w:tc>
      </w:tr>
      <w:tr w14:paraId="236895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Align w:val="center"/>
          </w:tcPr>
          <w:p w14:paraId="072D7A7D">
            <w:pPr>
              <w:widowControl/>
              <w:jc w:val="center"/>
              <w:rPr>
                <w:rFonts w:hint="default" w:eastAsia="宋体"/>
                <w:color w:val="000000"/>
                <w:kern w:val="0"/>
                <w:szCs w:val="21"/>
                <w:lang w:val="en-US" w:eastAsia="zh-CN"/>
              </w:rPr>
            </w:pPr>
            <w:r>
              <w:rPr>
                <w:rFonts w:hint="eastAsia"/>
                <w:color w:val="000000"/>
                <w:kern w:val="0"/>
                <w:szCs w:val="21"/>
                <w:lang w:val="en-US" w:eastAsia="zh-CN"/>
              </w:rPr>
              <w:t>13</w:t>
            </w:r>
          </w:p>
        </w:tc>
        <w:tc>
          <w:tcPr>
            <w:tcW w:w="3600" w:type="dxa"/>
            <w:vAlign w:val="center"/>
          </w:tcPr>
          <w:p w14:paraId="18FFC69A">
            <w:pPr>
              <w:widowControl/>
              <w:jc w:val="center"/>
              <w:textAlignment w:val="center"/>
              <w:rPr>
                <w:szCs w:val="21"/>
              </w:rPr>
            </w:pPr>
            <w:r>
              <w:rPr>
                <w:rFonts w:hint="eastAsia"/>
                <w:color w:val="auto"/>
                <w:szCs w:val="21"/>
                <w:lang w:val="en-US" w:eastAsia="zh-CN"/>
              </w:rPr>
              <w:t>摄像头支架侧边点胶麦拉片</w:t>
            </w:r>
          </w:p>
        </w:tc>
        <w:tc>
          <w:tcPr>
            <w:tcW w:w="735" w:type="dxa"/>
            <w:vAlign w:val="center"/>
          </w:tcPr>
          <w:p w14:paraId="6CF2BB3E">
            <w:pPr>
              <w:widowControl/>
              <w:jc w:val="center"/>
              <w:textAlignment w:val="center"/>
              <w:rPr>
                <w:szCs w:val="21"/>
              </w:rPr>
            </w:pPr>
            <w:r>
              <w:rPr>
                <w:rStyle w:val="130"/>
                <w:rFonts w:hint="default" w:ascii="Times New Roman" w:hAnsi="Times New Roman" w:cs="Times New Roman"/>
                <w:color w:val="auto"/>
                <w:lang w:bidi="ar"/>
              </w:rPr>
              <w:t>液态</w:t>
            </w:r>
          </w:p>
        </w:tc>
        <w:tc>
          <w:tcPr>
            <w:tcW w:w="810" w:type="dxa"/>
            <w:vAlign w:val="center"/>
          </w:tcPr>
          <w:p w14:paraId="18A5594A">
            <w:pPr>
              <w:jc w:val="center"/>
              <w:rPr>
                <w:szCs w:val="21"/>
              </w:rPr>
            </w:pPr>
            <w:r>
              <w:rPr>
                <w:rFonts w:hint="eastAsia"/>
                <w:bCs/>
                <w:color w:val="auto"/>
                <w:szCs w:val="21"/>
              </w:rPr>
              <w:t>瓶装</w:t>
            </w:r>
          </w:p>
        </w:tc>
        <w:tc>
          <w:tcPr>
            <w:tcW w:w="1095" w:type="dxa"/>
            <w:vAlign w:val="center"/>
          </w:tcPr>
          <w:p w14:paraId="57783DE3">
            <w:pPr>
              <w:widowControl/>
              <w:jc w:val="center"/>
              <w:textAlignment w:val="center"/>
              <w:rPr>
                <w:szCs w:val="21"/>
              </w:rPr>
            </w:pPr>
            <w:r>
              <w:rPr>
                <w:rFonts w:hint="eastAsia"/>
                <w:color w:val="auto"/>
                <w:szCs w:val="21"/>
                <w:lang w:val="en-US" w:eastAsia="zh-CN"/>
              </w:rPr>
              <w:t>/</w:t>
            </w:r>
          </w:p>
        </w:tc>
        <w:tc>
          <w:tcPr>
            <w:tcW w:w="1170" w:type="dxa"/>
            <w:vAlign w:val="center"/>
          </w:tcPr>
          <w:p w14:paraId="26D70FA0">
            <w:pPr>
              <w:widowControl/>
              <w:jc w:val="center"/>
              <w:textAlignment w:val="center"/>
              <w:rPr>
                <w:szCs w:val="21"/>
              </w:rPr>
            </w:pPr>
            <w:r>
              <w:rPr>
                <w:rFonts w:hint="eastAsia"/>
                <w:color w:val="auto"/>
                <w:kern w:val="0"/>
                <w:szCs w:val="21"/>
                <w:lang w:val="en-US" w:eastAsia="zh-CN" w:bidi="ar"/>
              </w:rPr>
              <w:t>800万件</w:t>
            </w:r>
          </w:p>
        </w:tc>
        <w:tc>
          <w:tcPr>
            <w:tcW w:w="1241" w:type="dxa"/>
            <w:shd w:val="clear" w:color="auto" w:fill="auto"/>
            <w:vAlign w:val="center"/>
          </w:tcPr>
          <w:p w14:paraId="5654A3E3">
            <w:pPr>
              <w:widowControl/>
              <w:jc w:val="center"/>
              <w:textAlignment w:val="center"/>
              <w:rPr>
                <w:rFonts w:ascii="Times New Roman" w:hAnsi="Times New Roman" w:eastAsia="宋体" w:cs="Times New Roman"/>
                <w:kern w:val="2"/>
                <w:sz w:val="21"/>
                <w:szCs w:val="21"/>
                <w:lang w:val="en-US" w:eastAsia="zh-CN" w:bidi="ar-SA"/>
              </w:rPr>
            </w:pPr>
            <w:r>
              <w:rPr>
                <w:rFonts w:hint="eastAsia"/>
                <w:color w:val="auto"/>
                <w:kern w:val="0"/>
                <w:szCs w:val="21"/>
                <w:lang w:val="en-US" w:eastAsia="zh-CN" w:bidi="ar"/>
              </w:rPr>
              <w:t>800万件</w:t>
            </w:r>
          </w:p>
        </w:tc>
      </w:tr>
      <w:tr w14:paraId="0710B7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Align w:val="center"/>
          </w:tcPr>
          <w:p w14:paraId="050A2D46">
            <w:pPr>
              <w:widowControl/>
              <w:jc w:val="center"/>
              <w:rPr>
                <w:rFonts w:hint="default" w:eastAsia="宋体"/>
                <w:color w:val="000000"/>
                <w:kern w:val="0"/>
                <w:szCs w:val="21"/>
                <w:lang w:val="en-US" w:eastAsia="zh-CN"/>
              </w:rPr>
            </w:pPr>
            <w:r>
              <w:rPr>
                <w:rFonts w:hint="eastAsia"/>
                <w:color w:val="000000"/>
                <w:kern w:val="0"/>
                <w:szCs w:val="21"/>
                <w:lang w:val="en-US" w:eastAsia="zh-CN"/>
              </w:rPr>
              <w:t>14</w:t>
            </w:r>
          </w:p>
        </w:tc>
        <w:tc>
          <w:tcPr>
            <w:tcW w:w="3600" w:type="dxa"/>
            <w:vAlign w:val="center"/>
          </w:tcPr>
          <w:p w14:paraId="093CDAC4">
            <w:pPr>
              <w:widowControl/>
              <w:jc w:val="center"/>
              <w:textAlignment w:val="center"/>
              <w:rPr>
                <w:szCs w:val="21"/>
              </w:rPr>
            </w:pPr>
            <w:r>
              <w:rPr>
                <w:rFonts w:hint="eastAsia"/>
                <w:color w:val="auto"/>
                <w:szCs w:val="21"/>
                <w:lang w:val="en-US" w:eastAsia="zh-CN"/>
              </w:rPr>
              <w:t>电池盖缓冲泡棉组件</w:t>
            </w:r>
          </w:p>
        </w:tc>
        <w:tc>
          <w:tcPr>
            <w:tcW w:w="735" w:type="dxa"/>
            <w:vAlign w:val="center"/>
          </w:tcPr>
          <w:p w14:paraId="41710985">
            <w:pPr>
              <w:widowControl/>
              <w:jc w:val="center"/>
              <w:textAlignment w:val="center"/>
              <w:rPr>
                <w:szCs w:val="21"/>
              </w:rPr>
            </w:pPr>
            <w:r>
              <w:rPr>
                <w:rStyle w:val="130"/>
                <w:rFonts w:hint="default" w:ascii="Times New Roman" w:hAnsi="Times New Roman" w:cs="Times New Roman"/>
                <w:color w:val="auto"/>
                <w:lang w:bidi="ar"/>
              </w:rPr>
              <w:t>液态</w:t>
            </w:r>
          </w:p>
        </w:tc>
        <w:tc>
          <w:tcPr>
            <w:tcW w:w="810" w:type="dxa"/>
            <w:vAlign w:val="center"/>
          </w:tcPr>
          <w:p w14:paraId="3623849D">
            <w:pPr>
              <w:jc w:val="center"/>
              <w:rPr>
                <w:szCs w:val="21"/>
              </w:rPr>
            </w:pPr>
            <w:r>
              <w:rPr>
                <w:rFonts w:hint="eastAsia"/>
                <w:bCs/>
                <w:color w:val="auto"/>
                <w:szCs w:val="21"/>
              </w:rPr>
              <w:t>瓶装</w:t>
            </w:r>
          </w:p>
        </w:tc>
        <w:tc>
          <w:tcPr>
            <w:tcW w:w="1095" w:type="dxa"/>
            <w:vAlign w:val="center"/>
          </w:tcPr>
          <w:p w14:paraId="5C06E7FE">
            <w:pPr>
              <w:widowControl/>
              <w:jc w:val="center"/>
              <w:textAlignment w:val="center"/>
              <w:rPr>
                <w:szCs w:val="21"/>
              </w:rPr>
            </w:pPr>
            <w:r>
              <w:rPr>
                <w:rFonts w:hint="eastAsia"/>
                <w:color w:val="auto"/>
                <w:szCs w:val="21"/>
                <w:lang w:val="en-US" w:eastAsia="zh-CN"/>
              </w:rPr>
              <w:t>/</w:t>
            </w:r>
          </w:p>
        </w:tc>
        <w:tc>
          <w:tcPr>
            <w:tcW w:w="1170" w:type="dxa"/>
            <w:vAlign w:val="center"/>
          </w:tcPr>
          <w:p w14:paraId="5FFA58C2">
            <w:pPr>
              <w:widowControl/>
              <w:jc w:val="center"/>
              <w:textAlignment w:val="center"/>
              <w:rPr>
                <w:szCs w:val="21"/>
              </w:rPr>
            </w:pPr>
            <w:r>
              <w:rPr>
                <w:rFonts w:hint="eastAsia"/>
                <w:color w:val="auto"/>
                <w:kern w:val="0"/>
                <w:szCs w:val="21"/>
                <w:lang w:val="en-US" w:eastAsia="zh-CN" w:bidi="ar"/>
              </w:rPr>
              <w:t>800万件</w:t>
            </w:r>
          </w:p>
        </w:tc>
        <w:tc>
          <w:tcPr>
            <w:tcW w:w="1241" w:type="dxa"/>
            <w:shd w:val="clear" w:color="auto" w:fill="auto"/>
            <w:vAlign w:val="center"/>
          </w:tcPr>
          <w:p w14:paraId="1DA9072B">
            <w:pPr>
              <w:widowControl/>
              <w:jc w:val="center"/>
              <w:textAlignment w:val="center"/>
              <w:rPr>
                <w:rFonts w:ascii="Times New Roman" w:hAnsi="Times New Roman" w:eastAsia="宋体" w:cs="Times New Roman"/>
                <w:kern w:val="2"/>
                <w:sz w:val="21"/>
                <w:szCs w:val="21"/>
                <w:lang w:val="en-US" w:eastAsia="zh-CN" w:bidi="ar-SA"/>
              </w:rPr>
            </w:pPr>
            <w:r>
              <w:rPr>
                <w:rFonts w:hint="eastAsia"/>
                <w:color w:val="auto"/>
                <w:kern w:val="0"/>
                <w:szCs w:val="21"/>
                <w:lang w:val="en-US" w:eastAsia="zh-CN" w:bidi="ar"/>
              </w:rPr>
              <w:t>800万件</w:t>
            </w:r>
          </w:p>
        </w:tc>
      </w:tr>
      <w:tr w14:paraId="5A3883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Align w:val="center"/>
          </w:tcPr>
          <w:p w14:paraId="65239853">
            <w:pPr>
              <w:widowControl/>
              <w:jc w:val="center"/>
              <w:rPr>
                <w:rFonts w:hint="default" w:eastAsia="宋体"/>
                <w:color w:val="000000"/>
                <w:kern w:val="0"/>
                <w:szCs w:val="21"/>
                <w:lang w:val="en-US" w:eastAsia="zh-CN"/>
              </w:rPr>
            </w:pPr>
            <w:r>
              <w:rPr>
                <w:rFonts w:hint="eastAsia"/>
                <w:color w:val="000000"/>
                <w:kern w:val="0"/>
                <w:szCs w:val="21"/>
                <w:lang w:val="en-US" w:eastAsia="zh-CN"/>
              </w:rPr>
              <w:t>15</w:t>
            </w:r>
          </w:p>
        </w:tc>
        <w:tc>
          <w:tcPr>
            <w:tcW w:w="3600" w:type="dxa"/>
            <w:vAlign w:val="center"/>
          </w:tcPr>
          <w:p w14:paraId="408717B0">
            <w:pPr>
              <w:widowControl/>
              <w:jc w:val="center"/>
              <w:textAlignment w:val="center"/>
              <w:rPr>
                <w:szCs w:val="21"/>
              </w:rPr>
            </w:pPr>
            <w:r>
              <w:rPr>
                <w:rFonts w:hint="eastAsia"/>
                <w:color w:val="auto"/>
                <w:szCs w:val="21"/>
                <w:lang w:val="en-US" w:eastAsia="zh-CN"/>
              </w:rPr>
              <w:t>板材装饰件</w:t>
            </w:r>
          </w:p>
        </w:tc>
        <w:tc>
          <w:tcPr>
            <w:tcW w:w="735" w:type="dxa"/>
            <w:vAlign w:val="center"/>
          </w:tcPr>
          <w:p w14:paraId="6919F073">
            <w:pPr>
              <w:widowControl/>
              <w:jc w:val="center"/>
              <w:textAlignment w:val="center"/>
              <w:rPr>
                <w:szCs w:val="21"/>
              </w:rPr>
            </w:pPr>
            <w:r>
              <w:rPr>
                <w:rStyle w:val="129"/>
                <w:rFonts w:hint="default" w:ascii="Times New Roman" w:hAnsi="Times New Roman" w:cs="Times New Roman"/>
                <w:color w:val="auto"/>
                <w:sz w:val="21"/>
                <w:szCs w:val="21"/>
                <w:lang w:bidi="ar"/>
              </w:rPr>
              <w:t>液态</w:t>
            </w:r>
          </w:p>
        </w:tc>
        <w:tc>
          <w:tcPr>
            <w:tcW w:w="810" w:type="dxa"/>
            <w:vAlign w:val="center"/>
          </w:tcPr>
          <w:p w14:paraId="590AA7F8">
            <w:pPr>
              <w:jc w:val="center"/>
              <w:rPr>
                <w:szCs w:val="21"/>
              </w:rPr>
            </w:pPr>
            <w:r>
              <w:rPr>
                <w:rFonts w:hint="eastAsia"/>
                <w:bCs/>
                <w:color w:val="auto"/>
                <w:szCs w:val="21"/>
              </w:rPr>
              <w:t>管装</w:t>
            </w:r>
          </w:p>
        </w:tc>
        <w:tc>
          <w:tcPr>
            <w:tcW w:w="1095" w:type="dxa"/>
            <w:vAlign w:val="center"/>
          </w:tcPr>
          <w:p w14:paraId="61638DB9">
            <w:pPr>
              <w:widowControl/>
              <w:jc w:val="center"/>
              <w:textAlignment w:val="center"/>
              <w:rPr>
                <w:szCs w:val="21"/>
              </w:rPr>
            </w:pPr>
            <w:r>
              <w:rPr>
                <w:rFonts w:hint="eastAsia"/>
                <w:color w:val="auto"/>
                <w:szCs w:val="21"/>
                <w:lang w:val="en-US" w:eastAsia="zh-CN"/>
              </w:rPr>
              <w:t>/</w:t>
            </w:r>
          </w:p>
        </w:tc>
        <w:tc>
          <w:tcPr>
            <w:tcW w:w="1170" w:type="dxa"/>
            <w:vAlign w:val="center"/>
          </w:tcPr>
          <w:p w14:paraId="77FEAAB3">
            <w:pPr>
              <w:widowControl/>
              <w:jc w:val="center"/>
              <w:textAlignment w:val="center"/>
              <w:rPr>
                <w:szCs w:val="21"/>
              </w:rPr>
            </w:pPr>
            <w:r>
              <w:rPr>
                <w:rFonts w:hint="eastAsia"/>
                <w:color w:val="auto"/>
                <w:kern w:val="0"/>
                <w:szCs w:val="21"/>
                <w:lang w:val="en-US" w:eastAsia="zh-CN" w:bidi="ar"/>
              </w:rPr>
              <w:t>800万件</w:t>
            </w:r>
          </w:p>
        </w:tc>
        <w:tc>
          <w:tcPr>
            <w:tcW w:w="1241" w:type="dxa"/>
            <w:shd w:val="clear" w:color="auto" w:fill="auto"/>
            <w:vAlign w:val="center"/>
          </w:tcPr>
          <w:p w14:paraId="387EAC17">
            <w:pPr>
              <w:widowControl/>
              <w:jc w:val="center"/>
              <w:textAlignment w:val="center"/>
              <w:rPr>
                <w:rFonts w:ascii="Times New Roman" w:hAnsi="Times New Roman" w:eastAsia="宋体" w:cs="Times New Roman"/>
                <w:kern w:val="2"/>
                <w:sz w:val="21"/>
                <w:szCs w:val="21"/>
                <w:lang w:val="en-US" w:eastAsia="zh-CN" w:bidi="ar-SA"/>
              </w:rPr>
            </w:pPr>
            <w:r>
              <w:rPr>
                <w:rFonts w:hint="eastAsia"/>
                <w:color w:val="auto"/>
                <w:kern w:val="0"/>
                <w:szCs w:val="21"/>
                <w:lang w:val="en-US" w:eastAsia="zh-CN" w:bidi="ar"/>
              </w:rPr>
              <w:t>800万件</w:t>
            </w:r>
          </w:p>
        </w:tc>
      </w:tr>
      <w:tr w14:paraId="17A0F2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Align w:val="center"/>
          </w:tcPr>
          <w:p w14:paraId="61D201B0">
            <w:pPr>
              <w:widowControl/>
              <w:jc w:val="center"/>
              <w:rPr>
                <w:rFonts w:hint="default" w:eastAsia="宋体"/>
                <w:color w:val="000000"/>
                <w:kern w:val="0"/>
                <w:szCs w:val="21"/>
                <w:lang w:val="en-US" w:eastAsia="zh-CN"/>
              </w:rPr>
            </w:pPr>
            <w:r>
              <w:rPr>
                <w:rFonts w:hint="eastAsia"/>
                <w:color w:val="000000"/>
                <w:kern w:val="0"/>
                <w:szCs w:val="21"/>
                <w:lang w:val="en-US" w:eastAsia="zh-CN"/>
              </w:rPr>
              <w:t>16</w:t>
            </w:r>
          </w:p>
        </w:tc>
        <w:tc>
          <w:tcPr>
            <w:tcW w:w="3600" w:type="dxa"/>
            <w:vAlign w:val="center"/>
          </w:tcPr>
          <w:p w14:paraId="6C9F2637">
            <w:pPr>
              <w:widowControl/>
              <w:jc w:val="center"/>
              <w:textAlignment w:val="center"/>
              <w:rPr>
                <w:szCs w:val="21"/>
              </w:rPr>
            </w:pPr>
            <w:r>
              <w:rPr>
                <w:rFonts w:hint="eastAsia"/>
                <w:color w:val="auto"/>
                <w:szCs w:val="21"/>
                <w:lang w:val="en-US" w:eastAsia="zh-CN"/>
              </w:rPr>
              <w:t>大镜片密封泡棉组件</w:t>
            </w:r>
          </w:p>
        </w:tc>
        <w:tc>
          <w:tcPr>
            <w:tcW w:w="735" w:type="dxa"/>
            <w:vAlign w:val="center"/>
          </w:tcPr>
          <w:p w14:paraId="40B15B7D">
            <w:pPr>
              <w:widowControl/>
              <w:jc w:val="center"/>
              <w:textAlignment w:val="center"/>
              <w:rPr>
                <w:szCs w:val="21"/>
              </w:rPr>
            </w:pPr>
            <w:r>
              <w:rPr>
                <w:rStyle w:val="129"/>
                <w:rFonts w:hint="default" w:ascii="Times New Roman" w:hAnsi="Times New Roman" w:cs="Times New Roman"/>
                <w:color w:val="auto"/>
                <w:sz w:val="21"/>
                <w:szCs w:val="21"/>
                <w:lang w:bidi="ar"/>
              </w:rPr>
              <w:t>液态</w:t>
            </w:r>
          </w:p>
        </w:tc>
        <w:tc>
          <w:tcPr>
            <w:tcW w:w="810" w:type="dxa"/>
            <w:vAlign w:val="center"/>
          </w:tcPr>
          <w:p w14:paraId="5097B04F">
            <w:pPr>
              <w:jc w:val="center"/>
              <w:rPr>
                <w:szCs w:val="21"/>
              </w:rPr>
            </w:pPr>
            <w:r>
              <w:rPr>
                <w:rFonts w:hint="eastAsia"/>
                <w:bCs/>
                <w:color w:val="auto"/>
                <w:szCs w:val="21"/>
              </w:rPr>
              <w:t>管装</w:t>
            </w:r>
          </w:p>
        </w:tc>
        <w:tc>
          <w:tcPr>
            <w:tcW w:w="1095" w:type="dxa"/>
            <w:vAlign w:val="center"/>
          </w:tcPr>
          <w:p w14:paraId="3B6E2047">
            <w:pPr>
              <w:widowControl/>
              <w:jc w:val="center"/>
              <w:textAlignment w:val="center"/>
              <w:rPr>
                <w:szCs w:val="21"/>
              </w:rPr>
            </w:pPr>
            <w:r>
              <w:rPr>
                <w:rFonts w:hint="eastAsia"/>
                <w:color w:val="auto"/>
                <w:szCs w:val="21"/>
                <w:lang w:val="en-US" w:eastAsia="zh-CN"/>
              </w:rPr>
              <w:t>/</w:t>
            </w:r>
          </w:p>
        </w:tc>
        <w:tc>
          <w:tcPr>
            <w:tcW w:w="1170" w:type="dxa"/>
            <w:vAlign w:val="center"/>
          </w:tcPr>
          <w:p w14:paraId="44DC62CF">
            <w:pPr>
              <w:widowControl/>
              <w:jc w:val="center"/>
              <w:textAlignment w:val="center"/>
              <w:rPr>
                <w:szCs w:val="21"/>
              </w:rPr>
            </w:pPr>
            <w:r>
              <w:rPr>
                <w:rFonts w:hint="eastAsia"/>
                <w:color w:val="auto"/>
                <w:kern w:val="0"/>
                <w:szCs w:val="21"/>
                <w:lang w:val="en-US" w:eastAsia="zh-CN" w:bidi="ar"/>
              </w:rPr>
              <w:t>800万件</w:t>
            </w:r>
          </w:p>
        </w:tc>
        <w:tc>
          <w:tcPr>
            <w:tcW w:w="1241" w:type="dxa"/>
            <w:shd w:val="clear" w:color="auto" w:fill="auto"/>
            <w:vAlign w:val="center"/>
          </w:tcPr>
          <w:p w14:paraId="27154044">
            <w:pPr>
              <w:widowControl/>
              <w:jc w:val="center"/>
              <w:textAlignment w:val="center"/>
              <w:rPr>
                <w:rFonts w:ascii="Times New Roman" w:hAnsi="Times New Roman" w:eastAsia="宋体" w:cs="Times New Roman"/>
                <w:kern w:val="2"/>
                <w:sz w:val="21"/>
                <w:szCs w:val="21"/>
                <w:lang w:val="en-US" w:eastAsia="zh-CN" w:bidi="ar-SA"/>
              </w:rPr>
            </w:pPr>
            <w:r>
              <w:rPr>
                <w:rFonts w:hint="eastAsia"/>
                <w:color w:val="auto"/>
                <w:kern w:val="0"/>
                <w:szCs w:val="21"/>
                <w:lang w:val="en-US" w:eastAsia="zh-CN" w:bidi="ar"/>
              </w:rPr>
              <w:t>800万件</w:t>
            </w:r>
          </w:p>
        </w:tc>
      </w:tr>
      <w:tr w14:paraId="79FFCB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Align w:val="center"/>
          </w:tcPr>
          <w:p w14:paraId="0BB292FE">
            <w:pPr>
              <w:widowControl/>
              <w:jc w:val="center"/>
              <w:rPr>
                <w:rFonts w:hint="default" w:eastAsia="宋体"/>
                <w:color w:val="000000"/>
                <w:kern w:val="0"/>
                <w:szCs w:val="21"/>
                <w:lang w:val="en-US" w:eastAsia="zh-CN"/>
              </w:rPr>
            </w:pPr>
            <w:r>
              <w:rPr>
                <w:rFonts w:hint="eastAsia"/>
                <w:color w:val="000000"/>
                <w:kern w:val="0"/>
                <w:szCs w:val="21"/>
                <w:lang w:val="en-US" w:eastAsia="zh-CN"/>
              </w:rPr>
              <w:t>17</w:t>
            </w:r>
          </w:p>
        </w:tc>
        <w:tc>
          <w:tcPr>
            <w:tcW w:w="3600" w:type="dxa"/>
            <w:vAlign w:val="center"/>
          </w:tcPr>
          <w:p w14:paraId="7CE22308">
            <w:pPr>
              <w:widowControl/>
              <w:jc w:val="center"/>
              <w:textAlignment w:val="center"/>
              <w:rPr>
                <w:szCs w:val="21"/>
              </w:rPr>
            </w:pPr>
            <w:r>
              <w:rPr>
                <w:rFonts w:hint="eastAsia"/>
                <w:color w:val="auto"/>
                <w:szCs w:val="21"/>
                <w:lang w:val="en-US" w:eastAsia="zh-CN"/>
              </w:rPr>
              <w:t>上镜片密封泡棉组件</w:t>
            </w:r>
          </w:p>
        </w:tc>
        <w:tc>
          <w:tcPr>
            <w:tcW w:w="735" w:type="dxa"/>
            <w:vAlign w:val="center"/>
          </w:tcPr>
          <w:p w14:paraId="7BAD9BDD">
            <w:pPr>
              <w:widowControl/>
              <w:jc w:val="center"/>
              <w:textAlignment w:val="center"/>
              <w:rPr>
                <w:szCs w:val="21"/>
              </w:rPr>
            </w:pPr>
            <w:r>
              <w:rPr>
                <w:rStyle w:val="130"/>
                <w:rFonts w:hint="default" w:ascii="Times New Roman" w:hAnsi="Times New Roman" w:cs="Times New Roman"/>
                <w:color w:val="auto"/>
                <w:lang w:bidi="ar"/>
              </w:rPr>
              <w:t>固态</w:t>
            </w:r>
          </w:p>
        </w:tc>
        <w:tc>
          <w:tcPr>
            <w:tcW w:w="810" w:type="dxa"/>
            <w:vAlign w:val="center"/>
          </w:tcPr>
          <w:p w14:paraId="08DAEDC9">
            <w:pPr>
              <w:jc w:val="center"/>
              <w:rPr>
                <w:szCs w:val="21"/>
              </w:rPr>
            </w:pPr>
            <w:r>
              <w:rPr>
                <w:rFonts w:hint="eastAsia"/>
                <w:bCs/>
                <w:color w:val="auto"/>
                <w:szCs w:val="21"/>
              </w:rPr>
              <w:t>管装</w:t>
            </w:r>
          </w:p>
        </w:tc>
        <w:tc>
          <w:tcPr>
            <w:tcW w:w="1095" w:type="dxa"/>
            <w:vAlign w:val="center"/>
          </w:tcPr>
          <w:p w14:paraId="2DEC5172">
            <w:pPr>
              <w:widowControl/>
              <w:jc w:val="center"/>
              <w:textAlignment w:val="center"/>
              <w:rPr>
                <w:szCs w:val="21"/>
              </w:rPr>
            </w:pPr>
            <w:r>
              <w:rPr>
                <w:rFonts w:hint="eastAsia"/>
                <w:color w:val="auto"/>
                <w:szCs w:val="21"/>
                <w:lang w:val="en-US" w:eastAsia="zh-CN"/>
              </w:rPr>
              <w:t>/</w:t>
            </w:r>
          </w:p>
        </w:tc>
        <w:tc>
          <w:tcPr>
            <w:tcW w:w="1170" w:type="dxa"/>
            <w:vAlign w:val="center"/>
          </w:tcPr>
          <w:p w14:paraId="1969AE1C">
            <w:pPr>
              <w:widowControl/>
              <w:jc w:val="center"/>
              <w:textAlignment w:val="center"/>
              <w:rPr>
                <w:szCs w:val="21"/>
              </w:rPr>
            </w:pPr>
            <w:r>
              <w:rPr>
                <w:rFonts w:hint="eastAsia"/>
                <w:color w:val="auto"/>
                <w:kern w:val="0"/>
                <w:szCs w:val="21"/>
                <w:lang w:val="en-US" w:eastAsia="zh-CN" w:bidi="ar"/>
              </w:rPr>
              <w:t>800万件</w:t>
            </w:r>
          </w:p>
        </w:tc>
        <w:tc>
          <w:tcPr>
            <w:tcW w:w="1241" w:type="dxa"/>
            <w:shd w:val="clear" w:color="auto" w:fill="auto"/>
            <w:vAlign w:val="center"/>
          </w:tcPr>
          <w:p w14:paraId="144BF970">
            <w:pPr>
              <w:widowControl/>
              <w:jc w:val="center"/>
              <w:textAlignment w:val="center"/>
              <w:rPr>
                <w:rFonts w:ascii="Times New Roman" w:hAnsi="Times New Roman" w:eastAsia="宋体" w:cs="Times New Roman"/>
                <w:kern w:val="2"/>
                <w:sz w:val="21"/>
                <w:szCs w:val="21"/>
                <w:lang w:val="en-US" w:eastAsia="zh-CN" w:bidi="ar-SA"/>
              </w:rPr>
            </w:pPr>
            <w:r>
              <w:rPr>
                <w:rFonts w:hint="eastAsia"/>
                <w:color w:val="auto"/>
                <w:kern w:val="0"/>
                <w:szCs w:val="21"/>
                <w:lang w:val="en-US" w:eastAsia="zh-CN" w:bidi="ar"/>
              </w:rPr>
              <w:t>800万件</w:t>
            </w:r>
          </w:p>
        </w:tc>
      </w:tr>
      <w:tr w14:paraId="32C93E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Align w:val="center"/>
          </w:tcPr>
          <w:p w14:paraId="6A1F617B">
            <w:pPr>
              <w:widowControl/>
              <w:jc w:val="center"/>
              <w:rPr>
                <w:rFonts w:hint="default" w:eastAsia="宋体"/>
                <w:color w:val="000000"/>
                <w:kern w:val="0"/>
                <w:szCs w:val="21"/>
                <w:lang w:val="en-US" w:eastAsia="zh-CN"/>
              </w:rPr>
            </w:pPr>
            <w:r>
              <w:rPr>
                <w:rFonts w:hint="eastAsia"/>
                <w:color w:val="000000"/>
                <w:kern w:val="0"/>
                <w:szCs w:val="21"/>
                <w:lang w:val="en-US" w:eastAsia="zh-CN"/>
              </w:rPr>
              <w:t>18</w:t>
            </w:r>
          </w:p>
        </w:tc>
        <w:tc>
          <w:tcPr>
            <w:tcW w:w="3600" w:type="dxa"/>
            <w:vAlign w:val="center"/>
          </w:tcPr>
          <w:p w14:paraId="518EC785">
            <w:pPr>
              <w:widowControl/>
              <w:jc w:val="center"/>
              <w:textAlignment w:val="center"/>
              <w:rPr>
                <w:szCs w:val="21"/>
              </w:rPr>
            </w:pPr>
            <w:r>
              <w:rPr>
                <w:rFonts w:hint="eastAsia"/>
                <w:color w:val="auto"/>
                <w:szCs w:val="21"/>
                <w:lang w:val="en-US" w:eastAsia="zh-CN"/>
              </w:rPr>
              <w:t>激光泡棉组件</w:t>
            </w:r>
          </w:p>
        </w:tc>
        <w:tc>
          <w:tcPr>
            <w:tcW w:w="735" w:type="dxa"/>
            <w:vAlign w:val="center"/>
          </w:tcPr>
          <w:p w14:paraId="6E1F9BE0">
            <w:pPr>
              <w:widowControl/>
              <w:jc w:val="center"/>
              <w:textAlignment w:val="center"/>
              <w:rPr>
                <w:szCs w:val="21"/>
              </w:rPr>
            </w:pPr>
            <w:r>
              <w:rPr>
                <w:rStyle w:val="130"/>
                <w:rFonts w:hint="default" w:ascii="Times New Roman" w:hAnsi="Times New Roman" w:cs="Times New Roman"/>
                <w:color w:val="auto"/>
                <w:lang w:bidi="ar"/>
              </w:rPr>
              <w:t>液态</w:t>
            </w:r>
          </w:p>
        </w:tc>
        <w:tc>
          <w:tcPr>
            <w:tcW w:w="810" w:type="dxa"/>
            <w:vAlign w:val="center"/>
          </w:tcPr>
          <w:p w14:paraId="4868C789">
            <w:pPr>
              <w:jc w:val="center"/>
              <w:rPr>
                <w:szCs w:val="21"/>
              </w:rPr>
            </w:pPr>
            <w:r>
              <w:rPr>
                <w:rFonts w:hint="eastAsia"/>
                <w:bCs/>
                <w:color w:val="auto"/>
                <w:szCs w:val="21"/>
              </w:rPr>
              <w:t>瓶装</w:t>
            </w:r>
          </w:p>
        </w:tc>
        <w:tc>
          <w:tcPr>
            <w:tcW w:w="1095" w:type="dxa"/>
            <w:vAlign w:val="center"/>
          </w:tcPr>
          <w:p w14:paraId="78D94FC9">
            <w:pPr>
              <w:widowControl/>
              <w:jc w:val="center"/>
              <w:textAlignment w:val="center"/>
              <w:rPr>
                <w:szCs w:val="21"/>
              </w:rPr>
            </w:pPr>
            <w:r>
              <w:rPr>
                <w:rFonts w:hint="eastAsia"/>
                <w:color w:val="auto"/>
                <w:szCs w:val="21"/>
                <w:lang w:val="en-US" w:eastAsia="zh-CN"/>
              </w:rPr>
              <w:t>/</w:t>
            </w:r>
          </w:p>
        </w:tc>
        <w:tc>
          <w:tcPr>
            <w:tcW w:w="1170" w:type="dxa"/>
            <w:vAlign w:val="center"/>
          </w:tcPr>
          <w:p w14:paraId="49F8C44F">
            <w:pPr>
              <w:widowControl/>
              <w:jc w:val="center"/>
              <w:textAlignment w:val="center"/>
              <w:rPr>
                <w:szCs w:val="21"/>
              </w:rPr>
            </w:pPr>
            <w:r>
              <w:rPr>
                <w:rFonts w:hint="eastAsia"/>
                <w:color w:val="auto"/>
                <w:kern w:val="0"/>
                <w:szCs w:val="21"/>
                <w:lang w:val="en-US" w:eastAsia="zh-CN" w:bidi="ar"/>
              </w:rPr>
              <w:t>800万件</w:t>
            </w:r>
          </w:p>
        </w:tc>
        <w:tc>
          <w:tcPr>
            <w:tcW w:w="1241" w:type="dxa"/>
            <w:shd w:val="clear" w:color="auto" w:fill="auto"/>
            <w:vAlign w:val="center"/>
          </w:tcPr>
          <w:p w14:paraId="073E438B">
            <w:pPr>
              <w:widowControl/>
              <w:jc w:val="center"/>
              <w:textAlignment w:val="center"/>
              <w:rPr>
                <w:rFonts w:ascii="Times New Roman" w:hAnsi="Times New Roman" w:eastAsia="宋体" w:cs="Times New Roman"/>
                <w:kern w:val="2"/>
                <w:sz w:val="21"/>
                <w:szCs w:val="21"/>
                <w:lang w:val="en-US" w:eastAsia="zh-CN" w:bidi="ar-SA"/>
              </w:rPr>
            </w:pPr>
            <w:r>
              <w:rPr>
                <w:rFonts w:hint="eastAsia"/>
                <w:color w:val="auto"/>
                <w:kern w:val="0"/>
                <w:szCs w:val="21"/>
                <w:lang w:val="en-US" w:eastAsia="zh-CN" w:bidi="ar"/>
              </w:rPr>
              <w:t>800万件</w:t>
            </w:r>
          </w:p>
        </w:tc>
      </w:tr>
      <w:tr w14:paraId="67C313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Align w:val="center"/>
          </w:tcPr>
          <w:p w14:paraId="547BCB79">
            <w:pPr>
              <w:widowControl/>
              <w:jc w:val="center"/>
              <w:rPr>
                <w:rFonts w:hint="default" w:eastAsia="宋体"/>
                <w:color w:val="000000"/>
                <w:kern w:val="0"/>
                <w:szCs w:val="21"/>
                <w:lang w:val="en-US" w:eastAsia="zh-CN"/>
              </w:rPr>
            </w:pPr>
            <w:r>
              <w:rPr>
                <w:rFonts w:hint="eastAsia"/>
                <w:color w:val="000000"/>
                <w:kern w:val="0"/>
                <w:szCs w:val="21"/>
                <w:lang w:val="en-US" w:eastAsia="zh-CN"/>
              </w:rPr>
              <w:t>19</w:t>
            </w:r>
          </w:p>
        </w:tc>
        <w:tc>
          <w:tcPr>
            <w:tcW w:w="3600" w:type="dxa"/>
            <w:vAlign w:val="center"/>
          </w:tcPr>
          <w:p w14:paraId="2C39C583">
            <w:pPr>
              <w:widowControl/>
              <w:jc w:val="center"/>
              <w:textAlignment w:val="center"/>
              <w:rPr>
                <w:szCs w:val="21"/>
              </w:rPr>
            </w:pPr>
            <w:r>
              <w:rPr>
                <w:rFonts w:hint="eastAsia"/>
                <w:color w:val="auto"/>
                <w:szCs w:val="21"/>
                <w:lang w:val="en-US" w:eastAsia="zh-CN"/>
              </w:rPr>
              <w:t>MIC防尘网组件</w:t>
            </w:r>
          </w:p>
        </w:tc>
        <w:tc>
          <w:tcPr>
            <w:tcW w:w="735" w:type="dxa"/>
            <w:vAlign w:val="center"/>
          </w:tcPr>
          <w:p w14:paraId="3F5B034A">
            <w:pPr>
              <w:widowControl/>
              <w:jc w:val="center"/>
              <w:textAlignment w:val="center"/>
              <w:rPr>
                <w:szCs w:val="21"/>
              </w:rPr>
            </w:pPr>
            <w:r>
              <w:rPr>
                <w:rStyle w:val="130"/>
                <w:rFonts w:hint="default" w:ascii="Times New Roman" w:hAnsi="Times New Roman" w:cs="Times New Roman"/>
                <w:color w:val="auto"/>
                <w:lang w:bidi="ar"/>
              </w:rPr>
              <w:t>固态</w:t>
            </w:r>
          </w:p>
        </w:tc>
        <w:tc>
          <w:tcPr>
            <w:tcW w:w="810" w:type="dxa"/>
            <w:vAlign w:val="center"/>
          </w:tcPr>
          <w:p w14:paraId="061C4DA0">
            <w:pPr>
              <w:jc w:val="center"/>
              <w:rPr>
                <w:szCs w:val="21"/>
              </w:rPr>
            </w:pPr>
            <w:r>
              <w:rPr>
                <w:rFonts w:hint="eastAsia"/>
                <w:bCs/>
                <w:color w:val="auto"/>
                <w:szCs w:val="21"/>
              </w:rPr>
              <w:t>盒装</w:t>
            </w:r>
          </w:p>
        </w:tc>
        <w:tc>
          <w:tcPr>
            <w:tcW w:w="1095" w:type="dxa"/>
            <w:vAlign w:val="center"/>
          </w:tcPr>
          <w:p w14:paraId="2199F96A">
            <w:pPr>
              <w:widowControl/>
              <w:jc w:val="center"/>
              <w:textAlignment w:val="center"/>
              <w:rPr>
                <w:szCs w:val="21"/>
              </w:rPr>
            </w:pPr>
            <w:r>
              <w:rPr>
                <w:rFonts w:hint="eastAsia"/>
                <w:color w:val="auto"/>
                <w:szCs w:val="21"/>
                <w:lang w:val="en-US" w:eastAsia="zh-CN"/>
              </w:rPr>
              <w:t>/</w:t>
            </w:r>
          </w:p>
        </w:tc>
        <w:tc>
          <w:tcPr>
            <w:tcW w:w="1170" w:type="dxa"/>
            <w:vAlign w:val="center"/>
          </w:tcPr>
          <w:p w14:paraId="2B020E95">
            <w:pPr>
              <w:widowControl/>
              <w:jc w:val="center"/>
              <w:textAlignment w:val="center"/>
              <w:rPr>
                <w:szCs w:val="21"/>
              </w:rPr>
            </w:pPr>
            <w:r>
              <w:rPr>
                <w:rFonts w:hint="eastAsia"/>
                <w:color w:val="auto"/>
                <w:kern w:val="0"/>
                <w:szCs w:val="21"/>
                <w:lang w:val="en-US" w:eastAsia="zh-CN" w:bidi="ar"/>
              </w:rPr>
              <w:t>800万件</w:t>
            </w:r>
          </w:p>
        </w:tc>
        <w:tc>
          <w:tcPr>
            <w:tcW w:w="1241" w:type="dxa"/>
            <w:shd w:val="clear" w:color="auto" w:fill="auto"/>
            <w:vAlign w:val="center"/>
          </w:tcPr>
          <w:p w14:paraId="08F63104">
            <w:pPr>
              <w:widowControl/>
              <w:jc w:val="center"/>
              <w:textAlignment w:val="center"/>
              <w:rPr>
                <w:rFonts w:ascii="Times New Roman" w:hAnsi="Times New Roman" w:eastAsia="宋体" w:cs="Times New Roman"/>
                <w:kern w:val="2"/>
                <w:sz w:val="21"/>
                <w:szCs w:val="21"/>
                <w:lang w:val="en-US" w:eastAsia="zh-CN" w:bidi="ar-SA"/>
              </w:rPr>
            </w:pPr>
            <w:r>
              <w:rPr>
                <w:rFonts w:hint="eastAsia"/>
                <w:color w:val="auto"/>
                <w:kern w:val="0"/>
                <w:szCs w:val="21"/>
                <w:lang w:val="en-US" w:eastAsia="zh-CN" w:bidi="ar"/>
              </w:rPr>
              <w:t>800万件</w:t>
            </w:r>
          </w:p>
        </w:tc>
      </w:tr>
      <w:tr w14:paraId="6FADA8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Align w:val="center"/>
          </w:tcPr>
          <w:p w14:paraId="41CF5C41">
            <w:pPr>
              <w:widowControl/>
              <w:jc w:val="center"/>
              <w:rPr>
                <w:rFonts w:hint="default" w:eastAsia="宋体"/>
                <w:color w:val="000000"/>
                <w:kern w:val="0"/>
                <w:szCs w:val="21"/>
                <w:lang w:val="en-US" w:eastAsia="zh-CN"/>
              </w:rPr>
            </w:pPr>
            <w:r>
              <w:rPr>
                <w:rFonts w:hint="eastAsia"/>
                <w:color w:val="000000"/>
                <w:kern w:val="0"/>
                <w:szCs w:val="21"/>
                <w:lang w:val="en-US" w:eastAsia="zh-CN"/>
              </w:rPr>
              <w:t>20</w:t>
            </w:r>
          </w:p>
        </w:tc>
        <w:tc>
          <w:tcPr>
            <w:tcW w:w="3600" w:type="dxa"/>
            <w:vAlign w:val="center"/>
          </w:tcPr>
          <w:p w14:paraId="4B130C25">
            <w:pPr>
              <w:widowControl/>
              <w:jc w:val="center"/>
              <w:textAlignment w:val="center"/>
              <w:rPr>
                <w:szCs w:val="21"/>
              </w:rPr>
            </w:pPr>
            <w:r>
              <w:rPr>
                <w:rFonts w:hint="eastAsia"/>
                <w:color w:val="auto"/>
                <w:szCs w:val="21"/>
                <w:lang w:val="en-US" w:eastAsia="zh-CN"/>
              </w:rPr>
              <w:t>闪光灯罩组件</w:t>
            </w:r>
          </w:p>
        </w:tc>
        <w:tc>
          <w:tcPr>
            <w:tcW w:w="735" w:type="dxa"/>
            <w:vAlign w:val="center"/>
          </w:tcPr>
          <w:p w14:paraId="34C5BBD0">
            <w:pPr>
              <w:widowControl/>
              <w:jc w:val="center"/>
              <w:textAlignment w:val="center"/>
              <w:rPr>
                <w:szCs w:val="21"/>
              </w:rPr>
            </w:pPr>
            <w:r>
              <w:rPr>
                <w:rStyle w:val="130"/>
                <w:rFonts w:hint="default" w:ascii="Times New Roman" w:hAnsi="Times New Roman" w:cs="Times New Roman"/>
                <w:color w:val="auto"/>
                <w:lang w:bidi="ar"/>
              </w:rPr>
              <w:t>固态</w:t>
            </w:r>
          </w:p>
        </w:tc>
        <w:tc>
          <w:tcPr>
            <w:tcW w:w="810" w:type="dxa"/>
            <w:vAlign w:val="center"/>
          </w:tcPr>
          <w:p w14:paraId="05FC47CB">
            <w:pPr>
              <w:jc w:val="center"/>
              <w:rPr>
                <w:szCs w:val="21"/>
              </w:rPr>
            </w:pPr>
            <w:r>
              <w:rPr>
                <w:rFonts w:hint="eastAsia"/>
                <w:bCs/>
                <w:color w:val="auto"/>
                <w:szCs w:val="21"/>
              </w:rPr>
              <w:t>盒装</w:t>
            </w:r>
          </w:p>
        </w:tc>
        <w:tc>
          <w:tcPr>
            <w:tcW w:w="1095" w:type="dxa"/>
            <w:vAlign w:val="center"/>
          </w:tcPr>
          <w:p w14:paraId="20C2E245">
            <w:pPr>
              <w:widowControl/>
              <w:jc w:val="center"/>
              <w:textAlignment w:val="center"/>
              <w:rPr>
                <w:szCs w:val="21"/>
              </w:rPr>
            </w:pPr>
            <w:r>
              <w:rPr>
                <w:rFonts w:hint="eastAsia"/>
                <w:color w:val="auto"/>
                <w:szCs w:val="21"/>
                <w:lang w:val="en-US" w:eastAsia="zh-CN"/>
              </w:rPr>
              <w:t>/</w:t>
            </w:r>
          </w:p>
        </w:tc>
        <w:tc>
          <w:tcPr>
            <w:tcW w:w="1170" w:type="dxa"/>
            <w:vAlign w:val="center"/>
          </w:tcPr>
          <w:p w14:paraId="6F6F4462">
            <w:pPr>
              <w:widowControl/>
              <w:jc w:val="center"/>
              <w:textAlignment w:val="center"/>
              <w:rPr>
                <w:szCs w:val="21"/>
              </w:rPr>
            </w:pPr>
            <w:r>
              <w:rPr>
                <w:rFonts w:hint="eastAsia"/>
                <w:color w:val="auto"/>
                <w:kern w:val="0"/>
                <w:szCs w:val="21"/>
                <w:lang w:val="en-US" w:eastAsia="zh-CN" w:bidi="ar"/>
              </w:rPr>
              <w:t>800万件</w:t>
            </w:r>
          </w:p>
        </w:tc>
        <w:tc>
          <w:tcPr>
            <w:tcW w:w="1241" w:type="dxa"/>
            <w:shd w:val="clear" w:color="auto" w:fill="auto"/>
            <w:vAlign w:val="center"/>
          </w:tcPr>
          <w:p w14:paraId="1A9F6335">
            <w:pPr>
              <w:widowControl/>
              <w:jc w:val="center"/>
              <w:textAlignment w:val="center"/>
              <w:rPr>
                <w:rFonts w:ascii="Times New Roman" w:hAnsi="Times New Roman" w:eastAsia="宋体" w:cs="Times New Roman"/>
                <w:kern w:val="2"/>
                <w:sz w:val="21"/>
                <w:szCs w:val="21"/>
                <w:lang w:val="en-US" w:eastAsia="zh-CN" w:bidi="ar-SA"/>
              </w:rPr>
            </w:pPr>
            <w:r>
              <w:rPr>
                <w:rFonts w:hint="eastAsia"/>
                <w:color w:val="auto"/>
                <w:kern w:val="0"/>
                <w:szCs w:val="21"/>
                <w:lang w:val="en-US" w:eastAsia="zh-CN" w:bidi="ar"/>
              </w:rPr>
              <w:t>800万件</w:t>
            </w:r>
          </w:p>
        </w:tc>
      </w:tr>
      <w:tr w14:paraId="493F08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Align w:val="center"/>
          </w:tcPr>
          <w:p w14:paraId="742A905C">
            <w:pPr>
              <w:widowControl/>
              <w:jc w:val="center"/>
              <w:rPr>
                <w:rFonts w:hint="default" w:eastAsia="宋体"/>
                <w:color w:val="000000"/>
                <w:kern w:val="0"/>
                <w:szCs w:val="21"/>
                <w:lang w:val="en-US" w:eastAsia="zh-CN"/>
              </w:rPr>
            </w:pPr>
            <w:r>
              <w:rPr>
                <w:rFonts w:hint="eastAsia"/>
                <w:color w:val="000000"/>
                <w:kern w:val="0"/>
                <w:szCs w:val="21"/>
                <w:lang w:val="en-US" w:eastAsia="zh-CN"/>
              </w:rPr>
              <w:t>21</w:t>
            </w:r>
          </w:p>
        </w:tc>
        <w:tc>
          <w:tcPr>
            <w:tcW w:w="3600" w:type="dxa"/>
            <w:vAlign w:val="center"/>
          </w:tcPr>
          <w:p w14:paraId="1FF1070B">
            <w:pPr>
              <w:widowControl/>
              <w:jc w:val="center"/>
              <w:textAlignment w:val="center"/>
              <w:rPr>
                <w:szCs w:val="21"/>
              </w:rPr>
            </w:pPr>
            <w:r>
              <w:rPr>
                <w:rFonts w:hint="eastAsia"/>
                <w:color w:val="auto"/>
                <w:szCs w:val="21"/>
                <w:lang w:val="en-US" w:eastAsia="zh-CN"/>
              </w:rPr>
              <w:t>闪光灯FPC泡棉组件</w:t>
            </w:r>
          </w:p>
        </w:tc>
        <w:tc>
          <w:tcPr>
            <w:tcW w:w="735" w:type="dxa"/>
            <w:vAlign w:val="center"/>
          </w:tcPr>
          <w:p w14:paraId="7CA800F1">
            <w:pPr>
              <w:widowControl/>
              <w:jc w:val="center"/>
              <w:textAlignment w:val="center"/>
              <w:rPr>
                <w:szCs w:val="21"/>
              </w:rPr>
            </w:pPr>
            <w:r>
              <w:rPr>
                <w:rStyle w:val="130"/>
                <w:rFonts w:hint="default" w:ascii="Times New Roman" w:hAnsi="Times New Roman" w:cs="Times New Roman"/>
                <w:color w:val="auto"/>
                <w:lang w:bidi="ar"/>
              </w:rPr>
              <w:t>固态</w:t>
            </w:r>
          </w:p>
        </w:tc>
        <w:tc>
          <w:tcPr>
            <w:tcW w:w="810" w:type="dxa"/>
            <w:vAlign w:val="center"/>
          </w:tcPr>
          <w:p w14:paraId="639C7BF1">
            <w:pPr>
              <w:jc w:val="center"/>
              <w:rPr>
                <w:szCs w:val="21"/>
              </w:rPr>
            </w:pPr>
            <w:r>
              <w:rPr>
                <w:rFonts w:hint="eastAsia"/>
                <w:bCs/>
                <w:color w:val="auto"/>
                <w:szCs w:val="21"/>
              </w:rPr>
              <w:t>盒装</w:t>
            </w:r>
          </w:p>
        </w:tc>
        <w:tc>
          <w:tcPr>
            <w:tcW w:w="1095" w:type="dxa"/>
            <w:vAlign w:val="center"/>
          </w:tcPr>
          <w:p w14:paraId="5439167C">
            <w:pPr>
              <w:widowControl/>
              <w:jc w:val="center"/>
              <w:textAlignment w:val="center"/>
              <w:rPr>
                <w:szCs w:val="21"/>
              </w:rPr>
            </w:pPr>
            <w:r>
              <w:rPr>
                <w:rFonts w:hint="eastAsia"/>
                <w:color w:val="auto"/>
                <w:szCs w:val="21"/>
                <w:lang w:val="en-US" w:eastAsia="zh-CN"/>
              </w:rPr>
              <w:t>/</w:t>
            </w:r>
          </w:p>
        </w:tc>
        <w:tc>
          <w:tcPr>
            <w:tcW w:w="1170" w:type="dxa"/>
            <w:vAlign w:val="center"/>
          </w:tcPr>
          <w:p w14:paraId="2D20737B">
            <w:pPr>
              <w:widowControl/>
              <w:jc w:val="center"/>
              <w:textAlignment w:val="center"/>
              <w:rPr>
                <w:szCs w:val="21"/>
              </w:rPr>
            </w:pPr>
            <w:r>
              <w:rPr>
                <w:rFonts w:hint="eastAsia"/>
                <w:color w:val="auto"/>
                <w:kern w:val="0"/>
                <w:szCs w:val="21"/>
                <w:lang w:val="en-US" w:eastAsia="zh-CN" w:bidi="ar"/>
              </w:rPr>
              <w:t>800万件</w:t>
            </w:r>
          </w:p>
        </w:tc>
        <w:tc>
          <w:tcPr>
            <w:tcW w:w="1241" w:type="dxa"/>
            <w:shd w:val="clear" w:color="auto" w:fill="auto"/>
            <w:vAlign w:val="center"/>
          </w:tcPr>
          <w:p w14:paraId="50FB06C1">
            <w:pPr>
              <w:widowControl/>
              <w:jc w:val="center"/>
              <w:textAlignment w:val="center"/>
              <w:rPr>
                <w:rFonts w:ascii="Times New Roman" w:hAnsi="Times New Roman" w:eastAsia="宋体" w:cs="Times New Roman"/>
                <w:kern w:val="2"/>
                <w:sz w:val="21"/>
                <w:szCs w:val="21"/>
                <w:lang w:val="en-US" w:eastAsia="zh-CN" w:bidi="ar-SA"/>
              </w:rPr>
            </w:pPr>
            <w:r>
              <w:rPr>
                <w:rFonts w:hint="eastAsia"/>
                <w:color w:val="auto"/>
                <w:kern w:val="0"/>
                <w:szCs w:val="21"/>
                <w:lang w:val="en-US" w:eastAsia="zh-CN" w:bidi="ar"/>
              </w:rPr>
              <w:t>800万件</w:t>
            </w:r>
          </w:p>
        </w:tc>
      </w:tr>
      <w:tr w14:paraId="55D7B4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Align w:val="center"/>
          </w:tcPr>
          <w:p w14:paraId="1F6E8DD2">
            <w:pPr>
              <w:widowControl/>
              <w:jc w:val="center"/>
              <w:rPr>
                <w:rFonts w:hint="default" w:eastAsia="宋体"/>
                <w:color w:val="000000"/>
                <w:kern w:val="0"/>
                <w:szCs w:val="21"/>
                <w:lang w:val="en-US" w:eastAsia="zh-CN"/>
              </w:rPr>
            </w:pPr>
            <w:r>
              <w:rPr>
                <w:rFonts w:hint="eastAsia"/>
                <w:color w:val="000000"/>
                <w:kern w:val="0"/>
                <w:szCs w:val="21"/>
                <w:lang w:val="en-US" w:eastAsia="zh-CN"/>
              </w:rPr>
              <w:t>22</w:t>
            </w:r>
          </w:p>
        </w:tc>
        <w:tc>
          <w:tcPr>
            <w:tcW w:w="3600" w:type="dxa"/>
            <w:vAlign w:val="center"/>
          </w:tcPr>
          <w:p w14:paraId="3BDBC940">
            <w:pPr>
              <w:widowControl/>
              <w:jc w:val="center"/>
              <w:textAlignment w:val="center"/>
              <w:rPr>
                <w:rFonts w:hint="eastAsia"/>
                <w:color w:val="auto"/>
                <w:szCs w:val="21"/>
                <w:lang w:val="en-US" w:eastAsia="zh-CN"/>
              </w:rPr>
            </w:pPr>
            <w:r>
              <w:rPr>
                <w:rFonts w:hint="eastAsia"/>
                <w:color w:val="auto"/>
                <w:szCs w:val="21"/>
                <w:lang w:val="en-US" w:eastAsia="zh-CN"/>
              </w:rPr>
              <w:t>一体式装饰件</w:t>
            </w:r>
          </w:p>
        </w:tc>
        <w:tc>
          <w:tcPr>
            <w:tcW w:w="735" w:type="dxa"/>
            <w:vAlign w:val="center"/>
          </w:tcPr>
          <w:p w14:paraId="11BDA7E6">
            <w:pPr>
              <w:widowControl/>
              <w:jc w:val="center"/>
              <w:textAlignment w:val="center"/>
              <w:rPr>
                <w:szCs w:val="21"/>
              </w:rPr>
            </w:pPr>
            <w:r>
              <w:rPr>
                <w:rStyle w:val="130"/>
                <w:rFonts w:hint="default" w:ascii="Times New Roman" w:hAnsi="Times New Roman" w:cs="Times New Roman"/>
                <w:color w:val="auto"/>
                <w:lang w:bidi="ar"/>
              </w:rPr>
              <w:t>固态</w:t>
            </w:r>
          </w:p>
        </w:tc>
        <w:tc>
          <w:tcPr>
            <w:tcW w:w="810" w:type="dxa"/>
            <w:vAlign w:val="center"/>
          </w:tcPr>
          <w:p w14:paraId="2598C694">
            <w:pPr>
              <w:jc w:val="center"/>
              <w:rPr>
                <w:szCs w:val="21"/>
              </w:rPr>
            </w:pPr>
            <w:r>
              <w:rPr>
                <w:rFonts w:hint="eastAsia"/>
                <w:bCs/>
                <w:color w:val="auto"/>
                <w:szCs w:val="21"/>
              </w:rPr>
              <w:t>盒装</w:t>
            </w:r>
          </w:p>
        </w:tc>
        <w:tc>
          <w:tcPr>
            <w:tcW w:w="1095" w:type="dxa"/>
            <w:vAlign w:val="center"/>
          </w:tcPr>
          <w:p w14:paraId="66612D40">
            <w:pPr>
              <w:widowControl/>
              <w:jc w:val="center"/>
              <w:textAlignment w:val="center"/>
              <w:rPr>
                <w:szCs w:val="21"/>
              </w:rPr>
            </w:pPr>
            <w:r>
              <w:rPr>
                <w:rFonts w:hint="eastAsia"/>
                <w:color w:val="auto"/>
                <w:szCs w:val="21"/>
                <w:lang w:val="en-US" w:eastAsia="zh-CN"/>
              </w:rPr>
              <w:t>/</w:t>
            </w:r>
          </w:p>
        </w:tc>
        <w:tc>
          <w:tcPr>
            <w:tcW w:w="1170" w:type="dxa"/>
            <w:vAlign w:val="center"/>
          </w:tcPr>
          <w:p w14:paraId="763605BA">
            <w:pPr>
              <w:widowControl/>
              <w:jc w:val="center"/>
              <w:textAlignment w:val="center"/>
              <w:rPr>
                <w:szCs w:val="21"/>
              </w:rPr>
            </w:pPr>
            <w:r>
              <w:rPr>
                <w:rFonts w:hint="eastAsia"/>
                <w:color w:val="auto"/>
                <w:kern w:val="0"/>
                <w:szCs w:val="21"/>
                <w:lang w:val="en-US" w:eastAsia="zh-CN" w:bidi="ar"/>
              </w:rPr>
              <w:t>800万件</w:t>
            </w:r>
          </w:p>
        </w:tc>
        <w:tc>
          <w:tcPr>
            <w:tcW w:w="1241" w:type="dxa"/>
            <w:shd w:val="clear" w:color="auto" w:fill="auto"/>
            <w:vAlign w:val="center"/>
          </w:tcPr>
          <w:p w14:paraId="1042E3B0">
            <w:pPr>
              <w:widowControl/>
              <w:jc w:val="center"/>
              <w:textAlignment w:val="center"/>
              <w:rPr>
                <w:rFonts w:ascii="Times New Roman" w:hAnsi="Times New Roman" w:eastAsia="宋体" w:cs="Times New Roman"/>
                <w:kern w:val="2"/>
                <w:sz w:val="21"/>
                <w:szCs w:val="21"/>
                <w:lang w:val="en-US" w:eastAsia="zh-CN" w:bidi="ar-SA"/>
              </w:rPr>
            </w:pPr>
            <w:r>
              <w:rPr>
                <w:rFonts w:hint="eastAsia"/>
                <w:color w:val="auto"/>
                <w:kern w:val="0"/>
                <w:szCs w:val="21"/>
                <w:lang w:val="en-US" w:eastAsia="zh-CN" w:bidi="ar"/>
              </w:rPr>
              <w:t>800万件</w:t>
            </w:r>
          </w:p>
        </w:tc>
      </w:tr>
      <w:tr w14:paraId="4FA189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Align w:val="center"/>
          </w:tcPr>
          <w:p w14:paraId="2FB82378">
            <w:pPr>
              <w:widowControl/>
              <w:jc w:val="center"/>
              <w:rPr>
                <w:rFonts w:hint="default" w:eastAsia="宋体"/>
                <w:color w:val="000000"/>
                <w:kern w:val="0"/>
                <w:szCs w:val="21"/>
                <w:lang w:val="en-US" w:eastAsia="zh-CN"/>
              </w:rPr>
            </w:pPr>
            <w:r>
              <w:rPr>
                <w:rFonts w:hint="eastAsia"/>
                <w:color w:val="000000"/>
                <w:kern w:val="0"/>
                <w:szCs w:val="21"/>
                <w:lang w:val="en-US" w:eastAsia="zh-CN"/>
              </w:rPr>
              <w:t>23</w:t>
            </w:r>
          </w:p>
        </w:tc>
        <w:tc>
          <w:tcPr>
            <w:tcW w:w="3600" w:type="dxa"/>
            <w:vAlign w:val="center"/>
          </w:tcPr>
          <w:p w14:paraId="5C1C8E5F">
            <w:pPr>
              <w:widowControl/>
              <w:jc w:val="center"/>
              <w:textAlignment w:val="center"/>
              <w:rPr>
                <w:rFonts w:hint="eastAsia"/>
                <w:color w:val="auto"/>
                <w:szCs w:val="21"/>
                <w:lang w:val="en-US" w:eastAsia="zh-CN"/>
              </w:rPr>
            </w:pPr>
            <w:r>
              <w:rPr>
                <w:rFonts w:hint="eastAsia"/>
                <w:color w:val="auto"/>
                <w:szCs w:val="21"/>
                <w:lang w:val="en-US" w:eastAsia="zh-CN"/>
              </w:rPr>
              <w:t>镜片</w:t>
            </w:r>
          </w:p>
        </w:tc>
        <w:tc>
          <w:tcPr>
            <w:tcW w:w="735" w:type="dxa"/>
            <w:vAlign w:val="center"/>
          </w:tcPr>
          <w:p w14:paraId="30A371CE">
            <w:pPr>
              <w:widowControl/>
              <w:jc w:val="center"/>
              <w:textAlignment w:val="center"/>
              <w:rPr>
                <w:szCs w:val="21"/>
              </w:rPr>
            </w:pPr>
            <w:r>
              <w:rPr>
                <w:rStyle w:val="130"/>
                <w:rFonts w:hint="default" w:ascii="Times New Roman" w:hAnsi="Times New Roman" w:cs="Times New Roman"/>
                <w:color w:val="auto"/>
                <w:lang w:bidi="ar"/>
              </w:rPr>
              <w:t>液态</w:t>
            </w:r>
          </w:p>
        </w:tc>
        <w:tc>
          <w:tcPr>
            <w:tcW w:w="810" w:type="dxa"/>
            <w:vAlign w:val="center"/>
          </w:tcPr>
          <w:p w14:paraId="7039056A">
            <w:pPr>
              <w:jc w:val="center"/>
              <w:rPr>
                <w:szCs w:val="21"/>
              </w:rPr>
            </w:pPr>
            <w:r>
              <w:rPr>
                <w:rFonts w:hint="eastAsia"/>
                <w:bCs/>
                <w:color w:val="auto"/>
                <w:szCs w:val="21"/>
              </w:rPr>
              <w:t>瓶装</w:t>
            </w:r>
          </w:p>
        </w:tc>
        <w:tc>
          <w:tcPr>
            <w:tcW w:w="1095" w:type="dxa"/>
            <w:vAlign w:val="center"/>
          </w:tcPr>
          <w:p w14:paraId="166E2C0D">
            <w:pPr>
              <w:widowControl/>
              <w:jc w:val="center"/>
              <w:textAlignment w:val="center"/>
              <w:rPr>
                <w:szCs w:val="21"/>
              </w:rPr>
            </w:pPr>
            <w:r>
              <w:rPr>
                <w:rFonts w:hint="eastAsia"/>
                <w:color w:val="auto"/>
                <w:szCs w:val="21"/>
                <w:lang w:val="en-US" w:eastAsia="zh-CN"/>
              </w:rPr>
              <w:t>/</w:t>
            </w:r>
          </w:p>
        </w:tc>
        <w:tc>
          <w:tcPr>
            <w:tcW w:w="1170" w:type="dxa"/>
            <w:vAlign w:val="center"/>
          </w:tcPr>
          <w:p w14:paraId="65B31DB9">
            <w:pPr>
              <w:widowControl/>
              <w:jc w:val="center"/>
              <w:textAlignment w:val="center"/>
              <w:rPr>
                <w:szCs w:val="21"/>
              </w:rPr>
            </w:pPr>
            <w:r>
              <w:rPr>
                <w:rFonts w:hint="eastAsia"/>
                <w:color w:val="auto"/>
                <w:kern w:val="0"/>
                <w:szCs w:val="21"/>
                <w:lang w:val="en-US" w:eastAsia="zh-CN" w:bidi="ar"/>
              </w:rPr>
              <w:t>800万件</w:t>
            </w:r>
          </w:p>
        </w:tc>
        <w:tc>
          <w:tcPr>
            <w:tcW w:w="1241" w:type="dxa"/>
            <w:shd w:val="clear" w:color="auto" w:fill="auto"/>
            <w:vAlign w:val="center"/>
          </w:tcPr>
          <w:p w14:paraId="734CFEF5">
            <w:pPr>
              <w:widowControl/>
              <w:jc w:val="center"/>
              <w:textAlignment w:val="center"/>
              <w:rPr>
                <w:rFonts w:ascii="Times New Roman" w:hAnsi="Times New Roman" w:eastAsia="宋体" w:cs="Times New Roman"/>
                <w:kern w:val="2"/>
                <w:sz w:val="21"/>
                <w:szCs w:val="21"/>
                <w:lang w:val="en-US" w:eastAsia="zh-CN" w:bidi="ar-SA"/>
              </w:rPr>
            </w:pPr>
            <w:r>
              <w:rPr>
                <w:rFonts w:hint="eastAsia"/>
                <w:color w:val="auto"/>
                <w:kern w:val="0"/>
                <w:szCs w:val="21"/>
                <w:lang w:val="en-US" w:eastAsia="zh-CN" w:bidi="ar"/>
              </w:rPr>
              <w:t>800万件</w:t>
            </w:r>
          </w:p>
        </w:tc>
      </w:tr>
      <w:tr w14:paraId="228753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Align w:val="center"/>
          </w:tcPr>
          <w:p w14:paraId="1F451260">
            <w:pPr>
              <w:widowControl/>
              <w:jc w:val="center"/>
              <w:rPr>
                <w:rFonts w:hint="default" w:eastAsia="宋体"/>
                <w:color w:val="000000"/>
                <w:kern w:val="0"/>
                <w:szCs w:val="21"/>
                <w:lang w:val="en-US" w:eastAsia="zh-CN"/>
              </w:rPr>
            </w:pPr>
            <w:r>
              <w:rPr>
                <w:rFonts w:hint="eastAsia"/>
                <w:color w:val="000000"/>
                <w:kern w:val="0"/>
                <w:szCs w:val="21"/>
                <w:lang w:val="en-US" w:eastAsia="zh-CN"/>
              </w:rPr>
              <w:t>24</w:t>
            </w:r>
          </w:p>
        </w:tc>
        <w:tc>
          <w:tcPr>
            <w:tcW w:w="3600" w:type="dxa"/>
            <w:vAlign w:val="center"/>
          </w:tcPr>
          <w:p w14:paraId="6B6AA76D">
            <w:pPr>
              <w:widowControl/>
              <w:jc w:val="center"/>
              <w:textAlignment w:val="center"/>
              <w:rPr>
                <w:rFonts w:hint="eastAsia"/>
                <w:color w:val="auto"/>
                <w:szCs w:val="21"/>
                <w:lang w:val="en-US" w:eastAsia="zh-CN"/>
              </w:rPr>
            </w:pPr>
            <w:r>
              <w:rPr>
                <w:rFonts w:hint="eastAsia"/>
                <w:color w:val="auto"/>
                <w:szCs w:val="21"/>
                <w:lang w:val="en-US" w:eastAsia="zh-CN"/>
              </w:rPr>
              <w:t>上镜片</w:t>
            </w:r>
          </w:p>
        </w:tc>
        <w:tc>
          <w:tcPr>
            <w:tcW w:w="735" w:type="dxa"/>
            <w:vAlign w:val="center"/>
          </w:tcPr>
          <w:p w14:paraId="506330A5">
            <w:pPr>
              <w:widowControl/>
              <w:jc w:val="center"/>
              <w:textAlignment w:val="center"/>
              <w:rPr>
                <w:szCs w:val="21"/>
              </w:rPr>
            </w:pPr>
            <w:r>
              <w:rPr>
                <w:rStyle w:val="130"/>
                <w:rFonts w:hint="default" w:ascii="Times New Roman" w:hAnsi="Times New Roman" w:cs="Times New Roman"/>
                <w:color w:val="auto"/>
                <w:lang w:bidi="ar"/>
              </w:rPr>
              <w:t>液态</w:t>
            </w:r>
          </w:p>
        </w:tc>
        <w:tc>
          <w:tcPr>
            <w:tcW w:w="810" w:type="dxa"/>
            <w:vAlign w:val="center"/>
          </w:tcPr>
          <w:p w14:paraId="08FF618B">
            <w:pPr>
              <w:jc w:val="center"/>
              <w:rPr>
                <w:szCs w:val="21"/>
              </w:rPr>
            </w:pPr>
            <w:r>
              <w:rPr>
                <w:rFonts w:hint="eastAsia"/>
                <w:bCs/>
                <w:color w:val="auto"/>
                <w:szCs w:val="21"/>
              </w:rPr>
              <w:t>瓶装</w:t>
            </w:r>
          </w:p>
        </w:tc>
        <w:tc>
          <w:tcPr>
            <w:tcW w:w="1095" w:type="dxa"/>
            <w:vAlign w:val="center"/>
          </w:tcPr>
          <w:p w14:paraId="3D3B16E9">
            <w:pPr>
              <w:widowControl/>
              <w:jc w:val="center"/>
              <w:textAlignment w:val="center"/>
              <w:rPr>
                <w:szCs w:val="21"/>
              </w:rPr>
            </w:pPr>
            <w:r>
              <w:rPr>
                <w:rFonts w:hint="eastAsia"/>
                <w:color w:val="auto"/>
                <w:szCs w:val="21"/>
                <w:lang w:val="en-US" w:eastAsia="zh-CN"/>
              </w:rPr>
              <w:t>/</w:t>
            </w:r>
          </w:p>
        </w:tc>
        <w:tc>
          <w:tcPr>
            <w:tcW w:w="1170" w:type="dxa"/>
            <w:vAlign w:val="center"/>
          </w:tcPr>
          <w:p w14:paraId="731E89A2">
            <w:pPr>
              <w:widowControl/>
              <w:jc w:val="center"/>
              <w:textAlignment w:val="center"/>
              <w:rPr>
                <w:szCs w:val="21"/>
              </w:rPr>
            </w:pPr>
            <w:r>
              <w:rPr>
                <w:rFonts w:hint="eastAsia"/>
                <w:color w:val="auto"/>
                <w:kern w:val="0"/>
                <w:szCs w:val="21"/>
                <w:lang w:val="en-US" w:eastAsia="zh-CN" w:bidi="ar"/>
              </w:rPr>
              <w:t>800万件</w:t>
            </w:r>
          </w:p>
        </w:tc>
        <w:tc>
          <w:tcPr>
            <w:tcW w:w="1241" w:type="dxa"/>
            <w:shd w:val="clear" w:color="auto" w:fill="auto"/>
            <w:vAlign w:val="center"/>
          </w:tcPr>
          <w:p w14:paraId="442FF1CF">
            <w:pPr>
              <w:widowControl/>
              <w:jc w:val="center"/>
              <w:textAlignment w:val="center"/>
              <w:rPr>
                <w:rFonts w:ascii="Times New Roman" w:hAnsi="Times New Roman" w:eastAsia="宋体" w:cs="Times New Roman"/>
                <w:kern w:val="2"/>
                <w:sz w:val="21"/>
                <w:szCs w:val="21"/>
                <w:lang w:val="en-US" w:eastAsia="zh-CN" w:bidi="ar-SA"/>
              </w:rPr>
            </w:pPr>
            <w:r>
              <w:rPr>
                <w:rFonts w:hint="eastAsia"/>
                <w:color w:val="auto"/>
                <w:kern w:val="0"/>
                <w:szCs w:val="21"/>
                <w:lang w:val="en-US" w:eastAsia="zh-CN" w:bidi="ar"/>
              </w:rPr>
              <w:t>800万件</w:t>
            </w:r>
          </w:p>
        </w:tc>
      </w:tr>
      <w:tr w14:paraId="28A532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vAlign w:val="center"/>
          </w:tcPr>
          <w:p w14:paraId="4C99F82A">
            <w:pPr>
              <w:widowControl/>
              <w:jc w:val="center"/>
              <w:rPr>
                <w:rFonts w:hint="default" w:eastAsia="宋体"/>
                <w:color w:val="000000"/>
                <w:kern w:val="0"/>
                <w:szCs w:val="21"/>
                <w:lang w:val="en-US" w:eastAsia="zh-CN"/>
              </w:rPr>
            </w:pPr>
            <w:r>
              <w:rPr>
                <w:rFonts w:hint="eastAsia"/>
                <w:color w:val="000000"/>
                <w:kern w:val="0"/>
                <w:szCs w:val="21"/>
                <w:lang w:val="en-US" w:eastAsia="zh-CN"/>
              </w:rPr>
              <w:t>25</w:t>
            </w:r>
          </w:p>
        </w:tc>
        <w:tc>
          <w:tcPr>
            <w:tcW w:w="3600" w:type="dxa"/>
            <w:vAlign w:val="center"/>
          </w:tcPr>
          <w:p w14:paraId="3C3C3C91">
            <w:pPr>
              <w:widowControl/>
              <w:jc w:val="center"/>
              <w:textAlignment w:val="center"/>
              <w:rPr>
                <w:rFonts w:hint="eastAsia"/>
                <w:color w:val="auto"/>
                <w:szCs w:val="21"/>
                <w:lang w:val="en-US" w:eastAsia="zh-CN"/>
              </w:rPr>
            </w:pPr>
            <w:r>
              <w:rPr>
                <w:rFonts w:hint="eastAsia"/>
                <w:color w:val="auto"/>
                <w:szCs w:val="21"/>
                <w:lang w:val="en-US" w:eastAsia="zh-CN"/>
              </w:rPr>
              <w:t>下镜片</w:t>
            </w:r>
          </w:p>
        </w:tc>
        <w:tc>
          <w:tcPr>
            <w:tcW w:w="735" w:type="dxa"/>
            <w:vAlign w:val="center"/>
          </w:tcPr>
          <w:p w14:paraId="05AEBDDD">
            <w:pPr>
              <w:widowControl/>
              <w:jc w:val="center"/>
              <w:textAlignment w:val="center"/>
              <w:rPr>
                <w:szCs w:val="21"/>
              </w:rPr>
            </w:pPr>
            <w:r>
              <w:rPr>
                <w:rStyle w:val="130"/>
                <w:rFonts w:hint="default" w:ascii="Times New Roman" w:hAnsi="Times New Roman" w:cs="Times New Roman"/>
                <w:color w:val="auto"/>
                <w:lang w:bidi="ar"/>
              </w:rPr>
              <w:t>液态</w:t>
            </w:r>
          </w:p>
        </w:tc>
        <w:tc>
          <w:tcPr>
            <w:tcW w:w="810" w:type="dxa"/>
            <w:vAlign w:val="center"/>
          </w:tcPr>
          <w:p w14:paraId="30B9FC3B">
            <w:pPr>
              <w:jc w:val="center"/>
              <w:rPr>
                <w:szCs w:val="21"/>
              </w:rPr>
            </w:pPr>
            <w:r>
              <w:rPr>
                <w:rFonts w:hint="eastAsia"/>
                <w:bCs/>
                <w:color w:val="auto"/>
                <w:szCs w:val="21"/>
              </w:rPr>
              <w:t>瓶装</w:t>
            </w:r>
          </w:p>
        </w:tc>
        <w:tc>
          <w:tcPr>
            <w:tcW w:w="1095" w:type="dxa"/>
            <w:vAlign w:val="center"/>
          </w:tcPr>
          <w:p w14:paraId="4F84142A">
            <w:pPr>
              <w:widowControl/>
              <w:jc w:val="center"/>
              <w:textAlignment w:val="center"/>
              <w:rPr>
                <w:szCs w:val="21"/>
              </w:rPr>
            </w:pPr>
            <w:r>
              <w:rPr>
                <w:rFonts w:hint="eastAsia"/>
                <w:color w:val="auto"/>
                <w:szCs w:val="21"/>
                <w:lang w:val="en-US" w:eastAsia="zh-CN"/>
              </w:rPr>
              <w:t>/</w:t>
            </w:r>
          </w:p>
        </w:tc>
        <w:tc>
          <w:tcPr>
            <w:tcW w:w="1170" w:type="dxa"/>
            <w:vAlign w:val="center"/>
          </w:tcPr>
          <w:p w14:paraId="787AE67B">
            <w:pPr>
              <w:widowControl/>
              <w:jc w:val="center"/>
              <w:textAlignment w:val="center"/>
              <w:rPr>
                <w:szCs w:val="21"/>
              </w:rPr>
            </w:pPr>
            <w:r>
              <w:rPr>
                <w:rFonts w:hint="eastAsia"/>
                <w:color w:val="auto"/>
                <w:kern w:val="0"/>
                <w:szCs w:val="21"/>
                <w:lang w:val="en-US" w:eastAsia="zh-CN" w:bidi="ar"/>
              </w:rPr>
              <w:t>800万件</w:t>
            </w:r>
          </w:p>
        </w:tc>
        <w:tc>
          <w:tcPr>
            <w:tcW w:w="1241" w:type="dxa"/>
            <w:shd w:val="clear" w:color="auto" w:fill="auto"/>
            <w:vAlign w:val="center"/>
          </w:tcPr>
          <w:p w14:paraId="6EDC46D9">
            <w:pPr>
              <w:widowControl/>
              <w:jc w:val="center"/>
              <w:textAlignment w:val="center"/>
              <w:rPr>
                <w:rFonts w:ascii="Times New Roman" w:hAnsi="Times New Roman" w:eastAsia="宋体" w:cs="Times New Roman"/>
                <w:kern w:val="2"/>
                <w:sz w:val="21"/>
                <w:szCs w:val="21"/>
                <w:lang w:val="en-US" w:eastAsia="zh-CN" w:bidi="ar-SA"/>
              </w:rPr>
            </w:pPr>
            <w:r>
              <w:rPr>
                <w:rFonts w:hint="eastAsia"/>
                <w:color w:val="auto"/>
                <w:kern w:val="0"/>
                <w:szCs w:val="21"/>
                <w:lang w:val="en-US" w:eastAsia="zh-CN" w:bidi="ar"/>
              </w:rPr>
              <w:t>800万件</w:t>
            </w:r>
          </w:p>
        </w:tc>
      </w:tr>
      <w:bookmarkEnd w:id="54"/>
    </w:tbl>
    <w:p w14:paraId="36D6780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b/>
          <w:sz w:val="24"/>
          <w:szCs w:val="24"/>
        </w:rPr>
      </w:pPr>
      <w:bookmarkStart w:id="55" w:name="_Toc513474957"/>
      <w:bookmarkStart w:id="56" w:name="_Toc520988558"/>
      <w:r>
        <w:rPr>
          <w:rFonts w:ascii="Times New Roman" w:hAnsi="Times New Roman" w:eastAsia="宋体" w:cs="Times New Roman"/>
          <w:b/>
          <w:sz w:val="24"/>
          <w:szCs w:val="24"/>
        </w:rPr>
        <w:t>表</w:t>
      </w:r>
      <w:r>
        <w:rPr>
          <w:rFonts w:hint="eastAsia" w:ascii="Times New Roman" w:hAnsi="Times New Roman" w:eastAsia="宋体" w:cs="Times New Roman"/>
          <w:b/>
          <w:sz w:val="24"/>
          <w:szCs w:val="24"/>
          <w:lang w:val="en-US" w:eastAsia="zh-CN"/>
        </w:rPr>
        <w:t>3-7</w:t>
      </w:r>
      <w:r>
        <w:rPr>
          <w:rFonts w:ascii="Times New Roman" w:hAnsi="Times New Roman" w:eastAsia="宋体" w:cs="Times New Roman"/>
          <w:b/>
          <w:sz w:val="24"/>
          <w:szCs w:val="24"/>
        </w:rPr>
        <w:t xml:space="preserve">  项目主要燃料及动力消耗消耗量</w:t>
      </w:r>
    </w:p>
    <w:tbl>
      <w:tblPr>
        <w:tblStyle w:val="36"/>
        <w:tblW w:w="934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301"/>
        <w:gridCol w:w="2765"/>
        <w:gridCol w:w="3279"/>
      </w:tblGrid>
      <w:tr w14:paraId="251DE0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1" w:type="dxa"/>
            <w:vAlign w:val="center"/>
          </w:tcPr>
          <w:p w14:paraId="0031CB52">
            <w:pPr>
              <w:widowControl w:val="0"/>
              <w:spacing w:after="0"/>
              <w:contextualSpacing/>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能源种类</w:t>
            </w:r>
          </w:p>
        </w:tc>
        <w:tc>
          <w:tcPr>
            <w:tcW w:w="2765" w:type="dxa"/>
            <w:vAlign w:val="center"/>
          </w:tcPr>
          <w:p w14:paraId="1151C8A2">
            <w:pPr>
              <w:widowControl w:val="0"/>
              <w:spacing w:after="0"/>
              <w:contextualSpacing/>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单位</w:t>
            </w:r>
          </w:p>
        </w:tc>
        <w:tc>
          <w:tcPr>
            <w:tcW w:w="3279" w:type="dxa"/>
            <w:vAlign w:val="center"/>
          </w:tcPr>
          <w:p w14:paraId="098A990B">
            <w:pPr>
              <w:widowControl w:val="0"/>
              <w:spacing w:after="0"/>
              <w:contextualSpacing/>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年平均消耗量</w:t>
            </w:r>
          </w:p>
        </w:tc>
      </w:tr>
      <w:tr w14:paraId="6C046F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1" w:type="dxa"/>
            <w:vAlign w:val="center"/>
          </w:tcPr>
          <w:p w14:paraId="063DE997">
            <w:pPr>
              <w:widowControl w:val="0"/>
              <w:spacing w:after="0"/>
              <w:contextualSpacing/>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w:t>
            </w:r>
          </w:p>
        </w:tc>
        <w:tc>
          <w:tcPr>
            <w:tcW w:w="2765" w:type="dxa"/>
            <w:vAlign w:val="center"/>
          </w:tcPr>
          <w:p w14:paraId="1036FEA8">
            <w:pPr>
              <w:widowControl w:val="0"/>
              <w:spacing w:after="0"/>
              <w:contextualSpacing/>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t</w:t>
            </w:r>
          </w:p>
        </w:tc>
        <w:tc>
          <w:tcPr>
            <w:tcW w:w="3279" w:type="dxa"/>
            <w:vAlign w:val="center"/>
          </w:tcPr>
          <w:p w14:paraId="28D41A5F">
            <w:pPr>
              <w:widowControl w:val="0"/>
              <w:spacing w:after="0"/>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9600</w:t>
            </w:r>
          </w:p>
        </w:tc>
      </w:tr>
      <w:tr w14:paraId="34DFFB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1" w:type="dxa"/>
            <w:vAlign w:val="center"/>
          </w:tcPr>
          <w:p w14:paraId="67253141">
            <w:pPr>
              <w:widowControl w:val="0"/>
              <w:spacing w:after="0"/>
              <w:contextualSpacing/>
              <w:jc w:val="center"/>
              <w:rPr>
                <w:rFonts w:hint="default" w:ascii="Times New Roman" w:hAnsi="Times New Roman" w:eastAsia="宋体" w:cs="Times New Roman"/>
                <w:sz w:val="21"/>
                <w:szCs w:val="21"/>
              </w:rPr>
            </w:pPr>
            <w:r>
              <w:rPr>
                <w:rFonts w:hint="default" w:ascii="Times New Roman" w:hAnsi="Times New Roman" w:eastAsia="宋体" w:cs="Times New Roman"/>
                <w:szCs w:val="21"/>
              </w:rPr>
              <w:t>电</w:t>
            </w:r>
          </w:p>
        </w:tc>
        <w:tc>
          <w:tcPr>
            <w:tcW w:w="2765" w:type="dxa"/>
            <w:vAlign w:val="center"/>
          </w:tcPr>
          <w:p w14:paraId="1EC59FD4">
            <w:pPr>
              <w:widowControl w:val="0"/>
              <w:spacing w:after="0"/>
              <w:contextualSpacing/>
              <w:jc w:val="center"/>
              <w:rPr>
                <w:rFonts w:hint="default" w:ascii="Times New Roman" w:hAnsi="Times New Roman" w:eastAsia="宋体" w:cs="Times New Roman"/>
                <w:sz w:val="21"/>
                <w:szCs w:val="21"/>
              </w:rPr>
            </w:pPr>
            <w:r>
              <w:rPr>
                <w:rFonts w:hint="default" w:ascii="Times New Roman" w:hAnsi="Times New Roman" w:eastAsia="宋体" w:cs="Times New Roman"/>
                <w:szCs w:val="21"/>
                <w:highlight w:val="none"/>
              </w:rPr>
              <w:t>万kW·h</w:t>
            </w:r>
          </w:p>
        </w:tc>
        <w:tc>
          <w:tcPr>
            <w:tcW w:w="3279" w:type="dxa"/>
            <w:vAlign w:val="center"/>
          </w:tcPr>
          <w:p w14:paraId="4C5DA8FF">
            <w:pPr>
              <w:widowControl w:val="0"/>
              <w:spacing w:after="0"/>
              <w:contextualSpacing/>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61</w:t>
            </w:r>
          </w:p>
        </w:tc>
      </w:tr>
    </w:tbl>
    <w:p w14:paraId="45156FBE">
      <w:pPr>
        <w:spacing w:line="360" w:lineRule="auto"/>
        <w:ind w:firstLine="480" w:firstLineChars="200"/>
        <w:rPr>
          <w:sz w:val="24"/>
          <w:szCs w:val="24"/>
          <w:highlight w:val="none"/>
        </w:rPr>
      </w:pPr>
      <w:r>
        <w:rPr>
          <w:rFonts w:hint="eastAsia"/>
          <w:sz w:val="24"/>
          <w:szCs w:val="24"/>
          <w:highlight w:val="none"/>
          <w:lang w:val="en-US" w:eastAsia="zh-CN"/>
        </w:rPr>
        <w:t>综上，</w:t>
      </w:r>
      <w:r>
        <w:rPr>
          <w:rFonts w:hint="eastAsia"/>
          <w:sz w:val="24"/>
          <w:szCs w:val="24"/>
          <w:highlight w:val="none"/>
        </w:rPr>
        <w:t>项目主要原辅材料用量与环评用量基本一致。</w:t>
      </w:r>
    </w:p>
    <w:p w14:paraId="66F9C93C">
      <w:pPr>
        <w:pStyle w:val="3"/>
      </w:pPr>
      <w:bookmarkStart w:id="57" w:name="_Toc28290"/>
      <w:r>
        <w:t>3.</w:t>
      </w:r>
      <w:bookmarkEnd w:id="55"/>
      <w:bookmarkEnd w:id="56"/>
      <w:r>
        <w:t>4</w:t>
      </w:r>
      <w:r>
        <w:rPr>
          <w:rFonts w:hint="eastAsia"/>
        </w:rPr>
        <w:t>水源及水平衡</w:t>
      </w:r>
      <w:bookmarkEnd w:id="57"/>
    </w:p>
    <w:p w14:paraId="0B7E6192">
      <w:pPr>
        <w:keepNext w:val="0"/>
        <w:keepLines w:val="0"/>
        <w:pageBreakBefore w:val="0"/>
        <w:widowControl w:val="0"/>
        <w:kinsoku/>
        <w:wordWrap/>
        <w:overflowPunct/>
        <w:topLinePunct w:val="0"/>
        <w:autoSpaceDE/>
        <w:autoSpaceDN/>
        <w:bidi w:val="0"/>
        <w:adjustRightInd/>
        <w:snapToGrid/>
        <w:spacing w:line="490" w:lineRule="exact"/>
        <w:textAlignment w:val="auto"/>
        <w:rPr>
          <w:rFonts w:hint="default" w:ascii="Times New Roman" w:hAnsi="Times New Roman" w:eastAsia="宋体" w:cs="Times New Roman"/>
          <w:b/>
          <w:bCs/>
          <w:sz w:val="24"/>
          <w:szCs w:val="24"/>
          <w:lang w:val="en-US" w:eastAsia="zh-CN"/>
        </w:rPr>
      </w:pPr>
      <w:bookmarkStart w:id="58" w:name="_Toc27114"/>
      <w:r>
        <w:rPr>
          <w:rFonts w:hint="default" w:ascii="Times New Roman" w:hAnsi="Times New Roman" w:eastAsia="宋体" w:cs="Times New Roman"/>
          <w:b/>
          <w:bCs/>
          <w:sz w:val="24"/>
          <w:szCs w:val="24"/>
          <w:lang w:val="en-US" w:eastAsia="zh-CN"/>
        </w:rPr>
        <w:t>3.4.1用水</w:t>
      </w:r>
      <w:bookmarkEnd w:id="58"/>
    </w:p>
    <w:p w14:paraId="6A7BF30F">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rPr>
      </w:pPr>
      <w:bookmarkStart w:id="59" w:name="_Toc16450"/>
      <w:r>
        <w:rPr>
          <w:rFonts w:hint="default" w:ascii="Times New Roman" w:hAnsi="Times New Roman" w:eastAsia="宋体" w:cs="Times New Roman"/>
          <w:sz w:val="24"/>
          <w:szCs w:val="24"/>
          <w:lang w:val="en-US" w:eastAsia="zh-CN"/>
        </w:rPr>
        <w:t>生产</w:t>
      </w:r>
      <w:r>
        <w:rPr>
          <w:rFonts w:hint="default" w:ascii="Times New Roman" w:hAnsi="Times New Roman" w:eastAsia="宋体" w:cs="Times New Roman"/>
          <w:sz w:val="24"/>
          <w:szCs w:val="24"/>
        </w:rPr>
        <w:t>用水</w:t>
      </w:r>
      <w:bookmarkEnd w:id="59"/>
    </w:p>
    <w:p w14:paraId="24EE2E54">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60" w:name="_Toc9520"/>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蒙砂液配置用水</w:t>
      </w:r>
      <w:bookmarkEnd w:id="60"/>
    </w:p>
    <w:p w14:paraId="7862A755">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rPr>
      </w:pPr>
      <w:bookmarkStart w:id="61" w:name="_Toc25843"/>
      <w:r>
        <w:rPr>
          <w:rFonts w:hint="default" w:ascii="Times New Roman" w:hAnsi="Times New Roman" w:eastAsia="宋体" w:cs="Times New Roman"/>
          <w:sz w:val="24"/>
          <w:szCs w:val="24"/>
          <w:lang w:val="en-US" w:eastAsia="zh-CN"/>
        </w:rPr>
        <w:t>在密闭熟化罐内使用蒙砂液和水按4</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1配置蒙砂液，待生产时经泵沿管打入蒙砂线中暂存池内，项目蒙砂液年使用量为80t，用水量为20t/a（0.08t/d）</w:t>
      </w:r>
      <w:r>
        <w:rPr>
          <w:rFonts w:hint="default" w:ascii="Times New Roman" w:hAnsi="Times New Roman" w:eastAsia="宋体" w:cs="Times New Roman"/>
          <w:sz w:val="24"/>
          <w:szCs w:val="24"/>
        </w:rPr>
        <w:t>。</w:t>
      </w:r>
      <w:bookmarkEnd w:id="61"/>
    </w:p>
    <w:p w14:paraId="226D8D6B">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rPr>
      </w:pPr>
      <w:bookmarkStart w:id="62" w:name="_Toc9911"/>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val="en-US" w:eastAsia="zh-CN"/>
        </w:rPr>
        <w:t>超声波清洗</w:t>
      </w:r>
      <w:r>
        <w:rPr>
          <w:rFonts w:hint="default" w:ascii="Times New Roman" w:hAnsi="Times New Roman" w:eastAsia="宋体" w:cs="Times New Roman"/>
          <w:sz w:val="24"/>
          <w:szCs w:val="24"/>
        </w:rPr>
        <w:t>用水</w:t>
      </w:r>
      <w:bookmarkEnd w:id="62"/>
    </w:p>
    <w:p w14:paraId="7C0786BD">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63" w:name="_Toc14385"/>
      <w:r>
        <w:rPr>
          <w:rFonts w:hint="default" w:ascii="Times New Roman" w:hAnsi="Times New Roman" w:eastAsia="宋体" w:cs="Times New Roman"/>
          <w:sz w:val="24"/>
          <w:szCs w:val="24"/>
          <w:lang w:val="en-US" w:eastAsia="zh-CN"/>
        </w:rPr>
        <w:t>项目采用超声波清洗机清洗，设4台超声波清洗机，超声波清洗机清洗用水均来自纯水制备机中制得的纯水，单台超声波清洗机用水量为3L/min</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年工作时间为4000h，故清洗用水量为720t/a（2.88t/d）。</w:t>
      </w:r>
      <w:bookmarkEnd w:id="63"/>
    </w:p>
    <w:p w14:paraId="3AF2DB5D">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64" w:name="_Toc12705"/>
      <w:r>
        <w:rPr>
          <w:rFonts w:hint="default" w:ascii="Times New Roman" w:hAnsi="Times New Roman" w:eastAsia="宋体" w:cs="Times New Roman"/>
          <w:sz w:val="24"/>
          <w:szCs w:val="24"/>
          <w:lang w:val="en-US" w:eastAsia="zh-CN"/>
        </w:rPr>
        <w:t>玻璃清洗会使用清洗剂，清洗剂使用量为5t/a，其中清洗剂水含量为70%，清洗剂含水量为3.5t/a。则玻璃清洗总用水量为723.5t/a（2.89t/d）。</w:t>
      </w:r>
      <w:bookmarkEnd w:id="64"/>
    </w:p>
    <w:p w14:paraId="7D26CC9E">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rPr>
      </w:pPr>
      <w:bookmarkStart w:id="65" w:name="_Toc25902"/>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en-US" w:eastAsia="zh-CN"/>
        </w:rPr>
        <w:t>纯水制备</w:t>
      </w:r>
      <w:r>
        <w:rPr>
          <w:rFonts w:hint="default" w:ascii="Times New Roman" w:hAnsi="Times New Roman" w:eastAsia="宋体" w:cs="Times New Roman"/>
          <w:sz w:val="24"/>
          <w:szCs w:val="24"/>
        </w:rPr>
        <w:t>用水</w:t>
      </w:r>
      <w:bookmarkEnd w:id="65"/>
    </w:p>
    <w:p w14:paraId="0DF0A787">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66" w:name="_Toc11936"/>
      <w:r>
        <w:rPr>
          <w:rFonts w:hint="default" w:ascii="Times New Roman" w:hAnsi="Times New Roman" w:eastAsia="宋体" w:cs="Times New Roman"/>
          <w:sz w:val="24"/>
          <w:szCs w:val="24"/>
          <w:lang w:val="en-US" w:eastAsia="zh-CN"/>
        </w:rPr>
        <w:t>玻璃清洗、蒙砂过程均需用纯水，纯水制备采用纯水制备机组，采用反渗透工艺，根据建设单位提供的技术参数，运营期纯水的使用量约为2.96t/d（740t/a）。纯水机组的纯水制备率为70%，则纯水机组使用新鲜水量为4.23t/d（1057.14t/a）。</w:t>
      </w:r>
      <w:bookmarkEnd w:id="66"/>
    </w:p>
    <w:p w14:paraId="1CB10CAB">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67" w:name="_Toc6896"/>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碱液喷淋塔用水</w:t>
      </w:r>
      <w:bookmarkEnd w:id="67"/>
    </w:p>
    <w:p w14:paraId="76223995">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68" w:name="_Toc23867"/>
      <w:r>
        <w:rPr>
          <w:rFonts w:hint="default" w:ascii="Times New Roman" w:hAnsi="Times New Roman" w:eastAsia="宋体" w:cs="Times New Roman"/>
          <w:sz w:val="24"/>
          <w:szCs w:val="24"/>
          <w:lang w:val="en-US" w:eastAsia="zh-CN"/>
        </w:rPr>
        <w:t>项目蒙砂、化抛工序无机废气采用碱液喷淋塔进行处理。碱液喷淋塔循水量5m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/d，补水量按5%计算，故碱液喷淋塔补充水用量约为0.25m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/d（62.5t/a）。碱液喷淋塔塔底配有1个循环水槽，总容积约3m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，水槽年每月更换一次，每次更换水量为3m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，碱液喷淋塔产生的废水量为36t/a。</w:t>
      </w:r>
      <w:bookmarkEnd w:id="68"/>
    </w:p>
    <w:p w14:paraId="66190632">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69" w:name="_Toc7446"/>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车间清洁用水</w:t>
      </w:r>
      <w:bookmarkEnd w:id="69"/>
    </w:p>
    <w:p w14:paraId="7F456EF4">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70" w:name="_Toc13317"/>
      <w:r>
        <w:rPr>
          <w:rFonts w:hint="default" w:ascii="Times New Roman" w:hAnsi="Times New Roman" w:eastAsia="宋体" w:cs="Times New Roman"/>
          <w:sz w:val="24"/>
          <w:szCs w:val="24"/>
          <w:lang w:val="en-US" w:eastAsia="zh-CN"/>
        </w:rPr>
        <w:t>项目营运中，车间地面清洁取水量按照1L/m2·d计，5天清洁一次，扣除不能清洁厂房占地，预计项目清洁面积约2000平方米，则保洁用水量为0.40m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/d（100m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bookmarkEnd w:id="70"/>
    </w:p>
    <w:p w14:paraId="7547F242">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rPr>
      </w:pPr>
      <w:bookmarkStart w:id="71" w:name="_Toc27562"/>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生活</w:t>
      </w:r>
      <w:r>
        <w:rPr>
          <w:rFonts w:hint="default" w:ascii="Times New Roman" w:hAnsi="Times New Roman" w:eastAsia="宋体" w:cs="Times New Roman"/>
          <w:sz w:val="24"/>
          <w:szCs w:val="24"/>
        </w:rPr>
        <w:t>用水</w:t>
      </w:r>
      <w:bookmarkEnd w:id="71"/>
    </w:p>
    <w:p w14:paraId="0277E916">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72" w:name="_Toc3987"/>
      <w:r>
        <w:rPr>
          <w:rFonts w:hint="default" w:ascii="Times New Roman" w:hAnsi="Times New Roman" w:eastAsia="宋体" w:cs="Times New Roman"/>
          <w:sz w:val="24"/>
          <w:szCs w:val="24"/>
          <w:lang w:val="en-US" w:eastAsia="zh-CN"/>
        </w:rPr>
        <w:t>本项目劳动定员200人，厂区不设置员工宿舍和食堂，用水定额参照《关于印发重庆市城市生活用水定额（2017年修订版）的通知》（渝水〔2018〕66号）、《建筑给水排水设计标准》（GB50015-2019），确定相关用水量标准为50L·人/d，则用水量为2500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/a（10m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bookmarkEnd w:id="72"/>
    </w:p>
    <w:p w14:paraId="0CAC2721">
      <w:pPr>
        <w:keepNext w:val="0"/>
        <w:keepLines w:val="0"/>
        <w:pageBreakBefore w:val="0"/>
        <w:widowControl w:val="0"/>
        <w:kinsoku/>
        <w:wordWrap/>
        <w:overflowPunct/>
        <w:topLinePunct w:val="0"/>
        <w:autoSpaceDE/>
        <w:autoSpaceDN/>
        <w:bidi w:val="0"/>
        <w:adjustRightInd/>
        <w:snapToGrid/>
        <w:spacing w:line="490" w:lineRule="exact"/>
        <w:textAlignment w:val="auto"/>
        <w:rPr>
          <w:rFonts w:hint="default" w:ascii="Times New Roman" w:hAnsi="Times New Roman" w:eastAsia="宋体" w:cs="Times New Roman"/>
          <w:b/>
          <w:bCs/>
          <w:sz w:val="24"/>
          <w:szCs w:val="24"/>
          <w:lang w:val="en-US" w:eastAsia="zh-CN"/>
        </w:rPr>
      </w:pPr>
      <w:bookmarkStart w:id="73" w:name="_Toc17084"/>
      <w:r>
        <w:rPr>
          <w:rFonts w:hint="default" w:ascii="Times New Roman" w:hAnsi="Times New Roman" w:eastAsia="宋体" w:cs="Times New Roman"/>
          <w:b/>
          <w:bCs/>
          <w:sz w:val="24"/>
          <w:szCs w:val="24"/>
          <w:lang w:val="en-US" w:eastAsia="zh-CN"/>
        </w:rPr>
        <w:t>3.4.2排水</w:t>
      </w:r>
      <w:bookmarkEnd w:id="73"/>
    </w:p>
    <w:p w14:paraId="5BC2004E">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eastAsia="zh-CN"/>
        </w:rPr>
      </w:pPr>
      <w:bookmarkStart w:id="74" w:name="_Toc3651"/>
      <w:r>
        <w:rPr>
          <w:rFonts w:hint="default" w:ascii="Times New Roman" w:hAnsi="Times New Roman" w:eastAsia="宋体" w:cs="Times New Roman"/>
          <w:sz w:val="24"/>
          <w:szCs w:val="24"/>
          <w:lang w:val="en-US" w:eastAsia="zh-CN"/>
        </w:rPr>
        <w:t>项目生活污水依托富士康园区分散式生化池处理达《污水综合排放标准》（GB8978-1996）三级排放标准后排入西永污水处理厂，纯水制备浓水直接经园区污水管网排入西永污水处理厂，生产废水排入厂区自建污水处理站中处理达《污水综合排放标准》（GB8978-1996）三级排放标准后排入西永污水处理厂，COD、氨氮、总磷、总氮经西永污水处理厂处理达《梁滩河流域城镇污水处理厂主要水污染物排放标准》（DB50/963-2020）表1重点控制区域标准限值，其它污染因子达《城镇污水处理厂污染物排放标准》（GB18918-2002）一级A标准后排入梁滩河。</w:t>
      </w:r>
      <w:bookmarkEnd w:id="74"/>
    </w:p>
    <w:p w14:paraId="6D1BD931">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75" w:name="_Toc30616"/>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蒙砂工序废水</w:t>
      </w:r>
      <w:bookmarkEnd w:id="75"/>
    </w:p>
    <w:p w14:paraId="538EAB3B">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76" w:name="_Toc9995"/>
      <w:r>
        <w:rPr>
          <w:rFonts w:hint="default" w:ascii="Times New Roman" w:hAnsi="Times New Roman" w:eastAsia="宋体" w:cs="Times New Roman"/>
          <w:sz w:val="24"/>
          <w:szCs w:val="24"/>
          <w:lang w:val="en-US" w:eastAsia="zh-CN"/>
        </w:rPr>
        <w:t>蒙砂工序废水（含蒙砂液）产生量为90t/a（0.36t/d）。该废水收集于密闭防渗储罐中，暂存于污水处理站。</w:t>
      </w:r>
      <w:bookmarkEnd w:id="76"/>
    </w:p>
    <w:p w14:paraId="0323641F">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77" w:name="_Toc10445"/>
      <w:r>
        <w:rPr>
          <w:rFonts w:hint="default" w:ascii="Times New Roman" w:hAnsi="Times New Roman" w:eastAsia="宋体" w:cs="Times New Roman"/>
          <w:sz w:val="24"/>
          <w:szCs w:val="24"/>
          <w:lang w:val="en-US" w:eastAsia="zh-CN"/>
        </w:rPr>
        <w:t>（2）化抛蚀刻工序废水</w:t>
      </w:r>
      <w:bookmarkEnd w:id="77"/>
    </w:p>
    <w:p w14:paraId="713BB33D">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78" w:name="_Toc15334"/>
      <w:r>
        <w:rPr>
          <w:rFonts w:hint="default" w:ascii="Times New Roman" w:hAnsi="Times New Roman" w:eastAsia="宋体" w:cs="Times New Roman"/>
          <w:sz w:val="24"/>
          <w:szCs w:val="24"/>
          <w:lang w:val="en-US" w:eastAsia="zh-CN"/>
        </w:rPr>
        <w:t>项目化抛蚀刻线设置一个酸槽，用于存储化抛液，酸槽容积为490L（L*B*H=0.7*0.7*1m），该废水收集于密闭防渗储罐中，暂存于污水处理站。</w:t>
      </w:r>
      <w:bookmarkEnd w:id="78"/>
    </w:p>
    <w:p w14:paraId="3E6866A0">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79" w:name="_Toc8043"/>
      <w:r>
        <w:rPr>
          <w:rFonts w:hint="default" w:ascii="Times New Roman" w:hAnsi="Times New Roman" w:eastAsia="宋体" w:cs="Times New Roman"/>
          <w:sz w:val="24"/>
          <w:szCs w:val="24"/>
          <w:lang w:val="en-US" w:eastAsia="zh-CN"/>
        </w:rPr>
        <w:t>（3）超声波清洗废水</w:t>
      </w:r>
      <w:bookmarkEnd w:id="79"/>
    </w:p>
    <w:p w14:paraId="27FC2E70">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80" w:name="_Toc11427"/>
      <w:r>
        <w:rPr>
          <w:rFonts w:hint="default" w:ascii="Times New Roman" w:hAnsi="Times New Roman" w:eastAsia="宋体" w:cs="Times New Roman"/>
          <w:sz w:val="24"/>
          <w:szCs w:val="24"/>
          <w:lang w:val="en-US" w:eastAsia="zh-CN"/>
        </w:rPr>
        <w:t>超声波清洗废水进入现有综合废水处理站处理。</w:t>
      </w:r>
      <w:bookmarkEnd w:id="80"/>
    </w:p>
    <w:p w14:paraId="3BE02404">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81" w:name="_Toc29461"/>
      <w:r>
        <w:rPr>
          <w:rFonts w:hint="default" w:ascii="Times New Roman" w:hAnsi="Times New Roman" w:eastAsia="宋体" w:cs="Times New Roman"/>
          <w:sz w:val="24"/>
          <w:szCs w:val="24"/>
          <w:lang w:val="en-US" w:eastAsia="zh-CN"/>
        </w:rPr>
        <w:t>（4）纯水制备浓水</w:t>
      </w:r>
      <w:bookmarkEnd w:id="81"/>
    </w:p>
    <w:p w14:paraId="18A93226">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82" w:name="_Toc21786"/>
      <w:r>
        <w:rPr>
          <w:rFonts w:hint="default" w:ascii="Times New Roman" w:hAnsi="Times New Roman" w:eastAsia="宋体" w:cs="Times New Roman"/>
          <w:sz w:val="24"/>
          <w:szCs w:val="24"/>
          <w:lang w:val="en-US" w:eastAsia="zh-CN"/>
        </w:rPr>
        <w:t>根据建设单位提供的资料，纯水制备浓水直接排入园区污水管网。</w:t>
      </w:r>
      <w:bookmarkEnd w:id="82"/>
    </w:p>
    <w:p w14:paraId="04F09E58">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83" w:name="_Toc20458"/>
      <w:r>
        <w:rPr>
          <w:rFonts w:hint="default" w:ascii="Times New Roman" w:hAnsi="Times New Roman" w:eastAsia="宋体" w:cs="Times New Roman"/>
          <w:sz w:val="24"/>
          <w:szCs w:val="24"/>
          <w:lang w:val="en-US" w:eastAsia="zh-CN"/>
        </w:rPr>
        <w:t>（5）碱液喷淋塔废水</w:t>
      </w:r>
      <w:bookmarkEnd w:id="83"/>
    </w:p>
    <w:p w14:paraId="3F9DE0A5">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84" w:name="_Toc31250"/>
      <w:r>
        <w:rPr>
          <w:rFonts w:hint="default" w:ascii="Times New Roman" w:hAnsi="Times New Roman" w:eastAsia="宋体" w:cs="Times New Roman"/>
          <w:sz w:val="24"/>
          <w:szCs w:val="24"/>
          <w:lang w:val="en-US" w:eastAsia="zh-CN"/>
        </w:rPr>
        <w:t>项目蒙砂、化抛工序无机废气采用碱液喷淋塔进行处理，该废水进入现有综合废水处理站处理。</w:t>
      </w:r>
      <w:bookmarkEnd w:id="84"/>
    </w:p>
    <w:p w14:paraId="11A92CA5">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85" w:name="_Toc29763"/>
      <w:r>
        <w:rPr>
          <w:rFonts w:hint="default" w:ascii="Times New Roman" w:hAnsi="Times New Roman" w:eastAsia="宋体" w:cs="Times New Roman"/>
          <w:sz w:val="24"/>
          <w:szCs w:val="24"/>
          <w:lang w:val="en-US" w:eastAsia="zh-CN"/>
        </w:rPr>
        <w:t>（6）车间清洁废水</w:t>
      </w:r>
      <w:bookmarkEnd w:id="85"/>
    </w:p>
    <w:p w14:paraId="00F52EB5">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86" w:name="_Toc611"/>
      <w:r>
        <w:rPr>
          <w:rFonts w:hint="default" w:ascii="Times New Roman" w:hAnsi="Times New Roman" w:eastAsia="宋体" w:cs="Times New Roman"/>
          <w:sz w:val="24"/>
          <w:szCs w:val="24"/>
          <w:lang w:val="en-US" w:eastAsia="zh-CN"/>
        </w:rPr>
        <w:t>车间清洁废水进入现有综合废水处理站处理。</w:t>
      </w:r>
      <w:bookmarkEnd w:id="86"/>
    </w:p>
    <w:p w14:paraId="18738C9B">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87" w:name="_Toc28124"/>
      <w:r>
        <w:rPr>
          <w:rFonts w:hint="default" w:ascii="Times New Roman" w:hAnsi="Times New Roman" w:eastAsia="宋体" w:cs="Times New Roman"/>
          <w:sz w:val="24"/>
          <w:szCs w:val="24"/>
          <w:lang w:val="en-US" w:eastAsia="zh-CN"/>
        </w:rPr>
        <w:t>（7）生活污水</w:t>
      </w:r>
      <w:bookmarkEnd w:id="87"/>
    </w:p>
    <w:p w14:paraId="2F15C85E">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88" w:name="_Toc1558"/>
      <w:r>
        <w:rPr>
          <w:rFonts w:hint="default" w:ascii="Times New Roman" w:hAnsi="Times New Roman" w:eastAsia="宋体" w:cs="Times New Roman"/>
          <w:sz w:val="24"/>
          <w:szCs w:val="24"/>
          <w:lang w:val="en-US" w:eastAsia="zh-CN"/>
        </w:rPr>
        <w:t>生活污水依托富士康园区分散式生化池处理后排入市政污水管网。</w:t>
      </w:r>
      <w:bookmarkEnd w:id="88"/>
    </w:p>
    <w:p w14:paraId="45603EA3">
      <w:pPr>
        <w:pStyle w:val="6"/>
        <w:keepNext/>
        <w:keepLines/>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bCs w:val="0"/>
          <w:color w:val="auto"/>
          <w:sz w:val="24"/>
          <w:lang w:val="en-US" w:eastAsia="zh-CN"/>
        </w:rPr>
      </w:pPr>
      <w:r>
        <w:rPr>
          <w:rFonts w:hint="default" w:ascii="Times New Roman" w:hAnsi="Times New Roman" w:eastAsia="宋体" w:cs="Times New Roman"/>
          <w:b/>
          <w:bCs w:val="0"/>
          <w:color w:val="auto"/>
          <w:sz w:val="24"/>
          <w:lang w:val="en-US" w:eastAsia="zh-CN"/>
        </w:rPr>
        <w:t>表</w:t>
      </w:r>
      <w:r>
        <w:rPr>
          <w:rFonts w:hint="eastAsia" w:cs="Times New Roman"/>
          <w:b/>
          <w:bCs w:val="0"/>
          <w:color w:val="auto"/>
          <w:sz w:val="24"/>
          <w:lang w:val="en-US" w:eastAsia="zh-CN"/>
        </w:rPr>
        <w:t>3-8</w:t>
      </w:r>
      <w:r>
        <w:rPr>
          <w:rFonts w:hint="default" w:ascii="Times New Roman" w:hAnsi="Times New Roman" w:eastAsia="宋体" w:cs="Times New Roman"/>
          <w:b/>
          <w:bCs w:val="0"/>
          <w:color w:val="auto"/>
          <w:sz w:val="24"/>
          <w:lang w:val="en-US" w:eastAsia="zh-CN"/>
        </w:rPr>
        <w:t xml:space="preserve">    </w:t>
      </w:r>
      <w:r>
        <w:rPr>
          <w:rFonts w:hint="eastAsia" w:ascii="Times New Roman" w:hAnsi="Times New Roman" w:eastAsia="宋体" w:cs="Times New Roman"/>
          <w:b/>
          <w:bCs w:val="0"/>
          <w:color w:val="auto"/>
          <w:sz w:val="24"/>
          <w:lang w:val="en-US" w:eastAsia="zh-CN"/>
        </w:rPr>
        <w:t>扩建项目</w:t>
      </w:r>
      <w:r>
        <w:rPr>
          <w:rFonts w:hint="default" w:ascii="Times New Roman" w:hAnsi="Times New Roman" w:eastAsia="宋体" w:cs="Times New Roman"/>
          <w:b/>
          <w:bCs w:val="0"/>
          <w:color w:val="auto"/>
          <w:sz w:val="24"/>
          <w:lang w:val="en-US" w:eastAsia="zh-CN"/>
        </w:rPr>
        <w:t>用排水量一览表</w:t>
      </w:r>
    </w:p>
    <w:tbl>
      <w:tblPr>
        <w:tblStyle w:val="119"/>
        <w:tblW w:w="5013" w:type="pct"/>
        <w:tblInd w:w="0" w:type="dxa"/>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0" w:type="dxa"/>
          <w:bottom w:w="0" w:type="dxa"/>
          <w:right w:w="0" w:type="dxa"/>
        </w:tblCellMar>
      </w:tblPr>
      <w:tblGrid>
        <w:gridCol w:w="690"/>
        <w:gridCol w:w="852"/>
        <w:gridCol w:w="1799"/>
        <w:gridCol w:w="1546"/>
        <w:gridCol w:w="1192"/>
        <w:gridCol w:w="1497"/>
        <w:gridCol w:w="1504"/>
      </w:tblGrid>
      <w:tr w14:paraId="1B9B63CA">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380" w:type="pct"/>
            <w:noWrap w:val="0"/>
            <w:vAlign w:val="center"/>
          </w:tcPr>
          <w:p w14:paraId="50DAEA5E">
            <w:pPr>
              <w:pStyle w:val="90"/>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eastAsia="宋体" w:cs="宋体"/>
                <w:color w:val="auto"/>
                <w:sz w:val="21"/>
                <w:szCs w:val="21"/>
                <w:lang w:val="en-US" w:eastAsia="zh-CN"/>
              </w:rPr>
            </w:pPr>
            <w:r>
              <w:rPr>
                <w:rFonts w:hint="default" w:eastAsia="宋体" w:cs="宋体"/>
                <w:color w:val="auto"/>
                <w:sz w:val="21"/>
                <w:szCs w:val="21"/>
                <w:lang w:val="en-US" w:eastAsia="zh-CN"/>
              </w:rPr>
              <w:t>序号</w:t>
            </w:r>
          </w:p>
        </w:tc>
        <w:tc>
          <w:tcPr>
            <w:tcW w:w="1459" w:type="pct"/>
            <w:gridSpan w:val="2"/>
            <w:noWrap w:val="0"/>
            <w:vAlign w:val="center"/>
          </w:tcPr>
          <w:p w14:paraId="2BE367A9">
            <w:pPr>
              <w:pStyle w:val="90"/>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eastAsia="宋体" w:cs="宋体"/>
                <w:color w:val="auto"/>
                <w:sz w:val="21"/>
                <w:szCs w:val="21"/>
                <w:lang w:val="en-US" w:eastAsia="zh-CN"/>
              </w:rPr>
            </w:pPr>
            <w:r>
              <w:rPr>
                <w:rFonts w:hint="default" w:eastAsia="宋体" w:cs="宋体"/>
                <w:color w:val="auto"/>
                <w:sz w:val="21"/>
                <w:szCs w:val="21"/>
                <w:lang w:val="en-US" w:eastAsia="zh-CN"/>
              </w:rPr>
              <w:t>使用对象</w:t>
            </w:r>
          </w:p>
        </w:tc>
        <w:tc>
          <w:tcPr>
            <w:tcW w:w="851" w:type="pct"/>
            <w:noWrap w:val="0"/>
            <w:vAlign w:val="center"/>
          </w:tcPr>
          <w:p w14:paraId="5A6DD267">
            <w:pPr>
              <w:pStyle w:val="90"/>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eastAsia="宋体" w:cs="宋体"/>
                <w:color w:val="auto"/>
                <w:sz w:val="21"/>
                <w:szCs w:val="21"/>
                <w:lang w:val="en-US" w:eastAsia="zh-CN"/>
              </w:rPr>
            </w:pPr>
            <w:r>
              <w:rPr>
                <w:rFonts w:hint="default" w:eastAsia="宋体" w:cs="宋体"/>
                <w:color w:val="auto"/>
                <w:sz w:val="21"/>
                <w:szCs w:val="21"/>
                <w:lang w:val="en-US" w:eastAsia="zh-CN"/>
              </w:rPr>
              <w:t>新鲜用水量</w:t>
            </w:r>
          </w:p>
          <w:p w14:paraId="10249C56">
            <w:pPr>
              <w:pStyle w:val="90"/>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eastAsia="宋体" w:cs="宋体"/>
                <w:color w:val="auto"/>
                <w:sz w:val="21"/>
                <w:szCs w:val="21"/>
                <w:lang w:val="en-US" w:eastAsia="zh-CN"/>
              </w:rPr>
            </w:pPr>
            <w:r>
              <w:rPr>
                <w:rFonts w:hint="default" w:eastAsia="宋体" w:cs="宋体"/>
                <w:color w:val="auto"/>
                <w:sz w:val="21"/>
                <w:szCs w:val="21"/>
                <w:lang w:val="en-US" w:eastAsia="zh-CN"/>
              </w:rPr>
              <w:t>（t/</w:t>
            </w:r>
            <w:r>
              <w:rPr>
                <w:rFonts w:hint="eastAsia" w:eastAsia="宋体" w:cs="宋体"/>
                <w:color w:val="auto"/>
                <w:sz w:val="21"/>
                <w:szCs w:val="21"/>
                <w:lang w:val="en-US" w:eastAsia="zh-CN"/>
              </w:rPr>
              <w:t>d</w:t>
            </w:r>
            <w:r>
              <w:rPr>
                <w:rFonts w:hint="default" w:eastAsia="宋体" w:cs="宋体"/>
                <w:color w:val="auto"/>
                <w:sz w:val="21"/>
                <w:szCs w:val="21"/>
                <w:lang w:val="en-US" w:eastAsia="zh-CN"/>
              </w:rPr>
              <w:t>）</w:t>
            </w:r>
          </w:p>
        </w:tc>
        <w:tc>
          <w:tcPr>
            <w:tcW w:w="656" w:type="pct"/>
            <w:noWrap w:val="0"/>
            <w:vAlign w:val="center"/>
          </w:tcPr>
          <w:p w14:paraId="382D6AB5">
            <w:pPr>
              <w:pStyle w:val="90"/>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eastAsia="宋体" w:cs="宋体"/>
                <w:color w:val="auto"/>
                <w:sz w:val="21"/>
                <w:szCs w:val="21"/>
                <w:lang w:val="en-US" w:eastAsia="zh-CN"/>
              </w:rPr>
            </w:pPr>
            <w:r>
              <w:rPr>
                <w:rFonts w:hint="default" w:eastAsia="宋体" w:cs="宋体"/>
                <w:color w:val="auto"/>
                <w:sz w:val="21"/>
                <w:szCs w:val="21"/>
                <w:lang w:val="en-US" w:eastAsia="zh-CN"/>
              </w:rPr>
              <w:t>排放系数</w:t>
            </w:r>
          </w:p>
        </w:tc>
        <w:tc>
          <w:tcPr>
            <w:tcW w:w="824" w:type="pct"/>
            <w:noWrap w:val="0"/>
            <w:vAlign w:val="center"/>
          </w:tcPr>
          <w:p w14:paraId="46830DB6">
            <w:pPr>
              <w:pStyle w:val="90"/>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eastAsia="宋体" w:cs="宋体"/>
                <w:color w:val="auto"/>
                <w:sz w:val="21"/>
                <w:szCs w:val="21"/>
                <w:lang w:val="en-US" w:eastAsia="zh-CN"/>
              </w:rPr>
            </w:pPr>
            <w:r>
              <w:rPr>
                <w:rFonts w:hint="default" w:eastAsia="宋体" w:cs="宋体"/>
                <w:color w:val="auto"/>
                <w:sz w:val="21"/>
                <w:szCs w:val="21"/>
                <w:lang w:val="en-US" w:eastAsia="zh-CN"/>
              </w:rPr>
              <w:t>损耗水量（t/</w:t>
            </w:r>
            <w:r>
              <w:rPr>
                <w:rFonts w:hint="eastAsia" w:eastAsia="宋体" w:cs="宋体"/>
                <w:color w:val="auto"/>
                <w:sz w:val="21"/>
                <w:szCs w:val="21"/>
                <w:lang w:val="en-US" w:eastAsia="zh-CN"/>
              </w:rPr>
              <w:t>d</w:t>
            </w:r>
            <w:r>
              <w:rPr>
                <w:rFonts w:hint="default" w:eastAsia="宋体" w:cs="宋体"/>
                <w:color w:val="auto"/>
                <w:sz w:val="21"/>
                <w:szCs w:val="21"/>
                <w:lang w:val="en-US" w:eastAsia="zh-CN"/>
              </w:rPr>
              <w:t>）</w:t>
            </w:r>
          </w:p>
        </w:tc>
        <w:tc>
          <w:tcPr>
            <w:tcW w:w="828" w:type="pct"/>
            <w:noWrap w:val="0"/>
            <w:vAlign w:val="center"/>
          </w:tcPr>
          <w:p w14:paraId="0924109C">
            <w:pPr>
              <w:pStyle w:val="90"/>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eastAsia="宋体" w:cs="宋体"/>
                <w:color w:val="auto"/>
                <w:sz w:val="21"/>
                <w:szCs w:val="21"/>
                <w:lang w:val="en-US" w:eastAsia="zh-CN"/>
              </w:rPr>
            </w:pPr>
            <w:r>
              <w:rPr>
                <w:rFonts w:hint="default" w:eastAsia="宋体" w:cs="宋体"/>
                <w:color w:val="auto"/>
                <w:sz w:val="21"/>
                <w:szCs w:val="21"/>
                <w:lang w:val="en-US" w:eastAsia="zh-CN"/>
              </w:rPr>
              <w:t>排放水量（t/</w:t>
            </w:r>
            <w:r>
              <w:rPr>
                <w:rFonts w:hint="eastAsia" w:eastAsia="宋体" w:cs="宋体"/>
                <w:color w:val="auto"/>
                <w:sz w:val="21"/>
                <w:szCs w:val="21"/>
                <w:lang w:val="en-US" w:eastAsia="zh-CN"/>
              </w:rPr>
              <w:t>d</w:t>
            </w:r>
            <w:r>
              <w:rPr>
                <w:rFonts w:hint="default" w:eastAsia="宋体" w:cs="宋体"/>
                <w:color w:val="auto"/>
                <w:sz w:val="21"/>
                <w:szCs w:val="21"/>
                <w:lang w:val="en-US" w:eastAsia="zh-CN"/>
              </w:rPr>
              <w:t>）</w:t>
            </w:r>
          </w:p>
        </w:tc>
      </w:tr>
      <w:tr w14:paraId="60C724C9">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380" w:type="pct"/>
            <w:noWrap w:val="0"/>
            <w:vAlign w:val="center"/>
          </w:tcPr>
          <w:p w14:paraId="4EBC8B2D">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1</w:t>
            </w:r>
          </w:p>
        </w:tc>
        <w:tc>
          <w:tcPr>
            <w:tcW w:w="1459" w:type="pct"/>
            <w:gridSpan w:val="2"/>
            <w:noWrap w:val="0"/>
            <w:vAlign w:val="center"/>
          </w:tcPr>
          <w:p w14:paraId="32D74514">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生活用水</w:t>
            </w:r>
          </w:p>
        </w:tc>
        <w:tc>
          <w:tcPr>
            <w:tcW w:w="851" w:type="pct"/>
            <w:noWrap w:val="0"/>
            <w:vAlign w:val="center"/>
          </w:tcPr>
          <w:p w14:paraId="3CE989AD">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10</w:t>
            </w:r>
          </w:p>
        </w:tc>
        <w:tc>
          <w:tcPr>
            <w:tcW w:w="656" w:type="pct"/>
            <w:noWrap w:val="0"/>
            <w:vAlign w:val="center"/>
          </w:tcPr>
          <w:p w14:paraId="1B0B1580">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0.</w:t>
            </w:r>
            <w:r>
              <w:rPr>
                <w:rFonts w:hint="eastAsia" w:eastAsia="宋体" w:cs="宋体"/>
                <w:color w:val="auto"/>
                <w:sz w:val="21"/>
                <w:szCs w:val="21"/>
                <w:lang w:val="en-US" w:eastAsia="zh-CN"/>
              </w:rPr>
              <w:t>9</w:t>
            </w:r>
          </w:p>
        </w:tc>
        <w:tc>
          <w:tcPr>
            <w:tcW w:w="824" w:type="pct"/>
            <w:noWrap w:val="0"/>
            <w:vAlign w:val="center"/>
          </w:tcPr>
          <w:p w14:paraId="0C0A81A4">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1</w:t>
            </w:r>
          </w:p>
        </w:tc>
        <w:tc>
          <w:tcPr>
            <w:tcW w:w="828" w:type="pct"/>
            <w:noWrap w:val="0"/>
            <w:vAlign w:val="center"/>
          </w:tcPr>
          <w:p w14:paraId="5D1A1582">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9</w:t>
            </w:r>
          </w:p>
        </w:tc>
      </w:tr>
      <w:tr w14:paraId="440DDE1F">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380" w:type="pct"/>
            <w:noWrap w:val="0"/>
            <w:vAlign w:val="center"/>
          </w:tcPr>
          <w:p w14:paraId="1B5459B3">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2</w:t>
            </w:r>
          </w:p>
        </w:tc>
        <w:tc>
          <w:tcPr>
            <w:tcW w:w="1459" w:type="pct"/>
            <w:gridSpan w:val="2"/>
            <w:noWrap w:val="0"/>
            <w:vAlign w:val="center"/>
          </w:tcPr>
          <w:p w14:paraId="6F3412F3">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碱液喷淋塔用水</w:t>
            </w:r>
          </w:p>
        </w:tc>
        <w:tc>
          <w:tcPr>
            <w:tcW w:w="851" w:type="pct"/>
            <w:noWrap w:val="0"/>
            <w:vAlign w:val="center"/>
          </w:tcPr>
          <w:p w14:paraId="6775231D">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0.25</w:t>
            </w:r>
          </w:p>
        </w:tc>
        <w:tc>
          <w:tcPr>
            <w:tcW w:w="656" w:type="pct"/>
            <w:noWrap w:val="0"/>
            <w:vAlign w:val="center"/>
          </w:tcPr>
          <w:p w14:paraId="2186A168">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w:t>
            </w:r>
          </w:p>
        </w:tc>
        <w:tc>
          <w:tcPr>
            <w:tcW w:w="824" w:type="pct"/>
            <w:noWrap w:val="0"/>
            <w:vAlign w:val="center"/>
          </w:tcPr>
          <w:p w14:paraId="0703C19D">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0.11</w:t>
            </w:r>
          </w:p>
        </w:tc>
        <w:tc>
          <w:tcPr>
            <w:tcW w:w="828" w:type="pct"/>
            <w:noWrap w:val="0"/>
            <w:vAlign w:val="center"/>
          </w:tcPr>
          <w:p w14:paraId="4B105FC2">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0.14</w:t>
            </w:r>
          </w:p>
        </w:tc>
      </w:tr>
      <w:tr w14:paraId="44C2CD12">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380" w:type="pct"/>
            <w:noWrap w:val="0"/>
            <w:vAlign w:val="center"/>
          </w:tcPr>
          <w:p w14:paraId="03478D8A">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3</w:t>
            </w:r>
          </w:p>
        </w:tc>
        <w:tc>
          <w:tcPr>
            <w:tcW w:w="1459" w:type="pct"/>
            <w:gridSpan w:val="2"/>
            <w:noWrap w:val="0"/>
            <w:vAlign w:val="center"/>
          </w:tcPr>
          <w:p w14:paraId="3FB89347">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车间</w:t>
            </w:r>
            <w:r>
              <w:rPr>
                <w:rFonts w:hint="eastAsia" w:eastAsia="宋体" w:cs="宋体"/>
                <w:color w:val="auto"/>
                <w:sz w:val="21"/>
                <w:szCs w:val="21"/>
                <w:lang w:val="en-US" w:eastAsia="zh-CN"/>
              </w:rPr>
              <w:t>清洁</w:t>
            </w:r>
            <w:r>
              <w:rPr>
                <w:rFonts w:hint="default" w:eastAsia="宋体" w:cs="宋体"/>
                <w:color w:val="auto"/>
                <w:sz w:val="21"/>
                <w:szCs w:val="21"/>
                <w:lang w:val="en-US" w:eastAsia="zh-CN"/>
              </w:rPr>
              <w:t>用水</w:t>
            </w:r>
          </w:p>
        </w:tc>
        <w:tc>
          <w:tcPr>
            <w:tcW w:w="851" w:type="pct"/>
            <w:noWrap w:val="0"/>
            <w:vAlign w:val="center"/>
          </w:tcPr>
          <w:p w14:paraId="5596247F">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0.40</w:t>
            </w:r>
          </w:p>
        </w:tc>
        <w:tc>
          <w:tcPr>
            <w:tcW w:w="656" w:type="pct"/>
            <w:noWrap w:val="0"/>
            <w:vAlign w:val="center"/>
          </w:tcPr>
          <w:p w14:paraId="58143BED">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0.</w:t>
            </w:r>
            <w:r>
              <w:rPr>
                <w:rFonts w:hint="eastAsia" w:eastAsia="宋体" w:cs="宋体"/>
                <w:color w:val="auto"/>
                <w:sz w:val="21"/>
                <w:szCs w:val="21"/>
                <w:lang w:val="en-US" w:eastAsia="zh-CN"/>
              </w:rPr>
              <w:t>9</w:t>
            </w:r>
          </w:p>
        </w:tc>
        <w:tc>
          <w:tcPr>
            <w:tcW w:w="824" w:type="pct"/>
            <w:noWrap w:val="0"/>
            <w:vAlign w:val="center"/>
          </w:tcPr>
          <w:p w14:paraId="5A6314A7">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0.04</w:t>
            </w:r>
          </w:p>
        </w:tc>
        <w:tc>
          <w:tcPr>
            <w:tcW w:w="828" w:type="pct"/>
            <w:noWrap w:val="0"/>
            <w:vAlign w:val="center"/>
          </w:tcPr>
          <w:p w14:paraId="274FDEB3">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0.36</w:t>
            </w:r>
          </w:p>
        </w:tc>
      </w:tr>
      <w:tr w14:paraId="19656C80">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380" w:type="pct"/>
            <w:noWrap w:val="0"/>
            <w:vAlign w:val="center"/>
          </w:tcPr>
          <w:p w14:paraId="207F862A">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4</w:t>
            </w:r>
          </w:p>
        </w:tc>
        <w:tc>
          <w:tcPr>
            <w:tcW w:w="469" w:type="pct"/>
            <w:vMerge w:val="restart"/>
            <w:tcBorders>
              <w:bottom w:val="nil"/>
            </w:tcBorders>
            <w:noWrap w:val="0"/>
            <w:vAlign w:val="center"/>
          </w:tcPr>
          <w:p w14:paraId="4B09978A">
            <w:pPr>
              <w:pStyle w:val="90"/>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eastAsia="宋体" w:cs="宋体"/>
                <w:color w:val="auto"/>
                <w:sz w:val="21"/>
                <w:szCs w:val="21"/>
                <w:lang w:val="en-US" w:eastAsia="zh-CN"/>
              </w:rPr>
            </w:pPr>
            <w:r>
              <w:rPr>
                <w:rFonts w:hint="default" w:eastAsia="宋体" w:cs="宋体"/>
                <w:color w:val="auto"/>
                <w:sz w:val="21"/>
                <w:szCs w:val="21"/>
                <w:lang w:val="en-US" w:eastAsia="zh-CN"/>
              </w:rPr>
              <w:t>纯水制备用水</w:t>
            </w:r>
          </w:p>
        </w:tc>
        <w:tc>
          <w:tcPr>
            <w:tcW w:w="990" w:type="pct"/>
            <w:noWrap w:val="0"/>
            <w:vAlign w:val="center"/>
          </w:tcPr>
          <w:p w14:paraId="1EA4FD1F">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清洗用水</w:t>
            </w:r>
          </w:p>
        </w:tc>
        <w:tc>
          <w:tcPr>
            <w:tcW w:w="851" w:type="pct"/>
            <w:noWrap w:val="0"/>
            <w:vAlign w:val="center"/>
          </w:tcPr>
          <w:p w14:paraId="1D4FDD41">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2.88（2.89）</w:t>
            </w:r>
          </w:p>
        </w:tc>
        <w:tc>
          <w:tcPr>
            <w:tcW w:w="656" w:type="pct"/>
            <w:noWrap w:val="0"/>
            <w:vAlign w:val="center"/>
          </w:tcPr>
          <w:p w14:paraId="5A888A97">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0.</w:t>
            </w:r>
            <w:r>
              <w:rPr>
                <w:rFonts w:hint="eastAsia" w:eastAsia="宋体" w:cs="宋体"/>
                <w:color w:val="auto"/>
                <w:sz w:val="21"/>
                <w:szCs w:val="21"/>
                <w:lang w:val="en-US" w:eastAsia="zh-CN"/>
              </w:rPr>
              <w:t>9</w:t>
            </w:r>
          </w:p>
        </w:tc>
        <w:tc>
          <w:tcPr>
            <w:tcW w:w="824" w:type="pct"/>
            <w:noWrap w:val="0"/>
            <w:vAlign w:val="center"/>
          </w:tcPr>
          <w:p w14:paraId="2C958E65">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0.29</w:t>
            </w:r>
          </w:p>
        </w:tc>
        <w:tc>
          <w:tcPr>
            <w:tcW w:w="828" w:type="pct"/>
            <w:noWrap w:val="0"/>
            <w:vAlign w:val="center"/>
          </w:tcPr>
          <w:p w14:paraId="3EFCE49A">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2.60</w:t>
            </w:r>
          </w:p>
        </w:tc>
      </w:tr>
      <w:tr w14:paraId="3D8D04B8">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380" w:type="pct"/>
            <w:noWrap w:val="0"/>
            <w:vAlign w:val="center"/>
          </w:tcPr>
          <w:p w14:paraId="4BFB966D">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5</w:t>
            </w:r>
          </w:p>
        </w:tc>
        <w:tc>
          <w:tcPr>
            <w:tcW w:w="469" w:type="pct"/>
            <w:vMerge w:val="continue"/>
            <w:tcBorders>
              <w:top w:val="nil"/>
              <w:bottom w:val="nil"/>
            </w:tcBorders>
            <w:noWrap w:val="0"/>
            <w:vAlign w:val="center"/>
          </w:tcPr>
          <w:p w14:paraId="46C8CBEF">
            <w:pPr>
              <w:pStyle w:val="90"/>
              <w:jc w:val="center"/>
              <w:rPr>
                <w:rFonts w:hint="default" w:eastAsia="宋体" w:cs="宋体"/>
                <w:color w:val="auto"/>
                <w:sz w:val="21"/>
                <w:szCs w:val="21"/>
                <w:lang w:val="en-US" w:eastAsia="zh-CN"/>
              </w:rPr>
            </w:pPr>
          </w:p>
        </w:tc>
        <w:tc>
          <w:tcPr>
            <w:tcW w:w="990" w:type="pct"/>
            <w:noWrap w:val="0"/>
            <w:vAlign w:val="center"/>
          </w:tcPr>
          <w:p w14:paraId="24A89523">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蒙砂用水</w:t>
            </w:r>
          </w:p>
        </w:tc>
        <w:tc>
          <w:tcPr>
            <w:tcW w:w="851" w:type="pct"/>
            <w:noWrap w:val="0"/>
            <w:vAlign w:val="center"/>
          </w:tcPr>
          <w:p w14:paraId="14F6CDAB">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0.08</w:t>
            </w:r>
          </w:p>
        </w:tc>
        <w:tc>
          <w:tcPr>
            <w:tcW w:w="656" w:type="pct"/>
            <w:noWrap w:val="0"/>
            <w:vAlign w:val="center"/>
          </w:tcPr>
          <w:p w14:paraId="36F0D8D6">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0.</w:t>
            </w:r>
            <w:r>
              <w:rPr>
                <w:rFonts w:hint="eastAsia" w:eastAsia="宋体" w:cs="宋体"/>
                <w:color w:val="auto"/>
                <w:sz w:val="21"/>
                <w:szCs w:val="21"/>
                <w:lang w:val="en-US" w:eastAsia="zh-CN"/>
              </w:rPr>
              <w:t>9</w:t>
            </w:r>
          </w:p>
        </w:tc>
        <w:tc>
          <w:tcPr>
            <w:tcW w:w="824" w:type="pct"/>
            <w:noWrap w:val="0"/>
            <w:vAlign w:val="center"/>
          </w:tcPr>
          <w:p w14:paraId="09679792">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0.10</w:t>
            </w:r>
          </w:p>
        </w:tc>
        <w:tc>
          <w:tcPr>
            <w:tcW w:w="828" w:type="pct"/>
            <w:noWrap w:val="0"/>
            <w:vAlign w:val="center"/>
          </w:tcPr>
          <w:p w14:paraId="2869BCBD">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0.36</w:t>
            </w:r>
          </w:p>
        </w:tc>
      </w:tr>
      <w:tr w14:paraId="76FA37DE">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380" w:type="pct"/>
            <w:noWrap w:val="0"/>
            <w:vAlign w:val="center"/>
          </w:tcPr>
          <w:p w14:paraId="462FF62F">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6</w:t>
            </w:r>
          </w:p>
        </w:tc>
        <w:tc>
          <w:tcPr>
            <w:tcW w:w="469" w:type="pct"/>
            <w:vMerge w:val="continue"/>
            <w:tcBorders>
              <w:top w:val="nil"/>
              <w:bottom w:val="nil"/>
            </w:tcBorders>
            <w:noWrap w:val="0"/>
            <w:vAlign w:val="center"/>
          </w:tcPr>
          <w:p w14:paraId="502E146D">
            <w:pPr>
              <w:pStyle w:val="90"/>
              <w:jc w:val="center"/>
              <w:rPr>
                <w:rFonts w:hint="default" w:eastAsia="宋体" w:cs="宋体"/>
                <w:color w:val="auto"/>
                <w:sz w:val="21"/>
                <w:szCs w:val="21"/>
                <w:lang w:val="en-US" w:eastAsia="zh-CN"/>
              </w:rPr>
            </w:pPr>
          </w:p>
        </w:tc>
        <w:tc>
          <w:tcPr>
            <w:tcW w:w="990" w:type="pct"/>
            <w:noWrap w:val="0"/>
            <w:vAlign w:val="center"/>
          </w:tcPr>
          <w:p w14:paraId="48A7F42D">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化抛蚀刻</w:t>
            </w:r>
            <w:r>
              <w:rPr>
                <w:rFonts w:hint="eastAsia" w:eastAsia="宋体" w:cs="宋体"/>
                <w:color w:val="auto"/>
                <w:sz w:val="21"/>
                <w:szCs w:val="21"/>
                <w:lang w:val="en-US" w:eastAsia="zh-CN"/>
              </w:rPr>
              <w:t>槽液</w:t>
            </w:r>
          </w:p>
        </w:tc>
        <w:tc>
          <w:tcPr>
            <w:tcW w:w="851" w:type="pct"/>
            <w:noWrap w:val="0"/>
            <w:vAlign w:val="center"/>
          </w:tcPr>
          <w:p w14:paraId="231D0B82">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w:t>
            </w:r>
          </w:p>
        </w:tc>
        <w:tc>
          <w:tcPr>
            <w:tcW w:w="656" w:type="pct"/>
            <w:noWrap w:val="0"/>
            <w:vAlign w:val="center"/>
          </w:tcPr>
          <w:p w14:paraId="4214F4E4">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0.8</w:t>
            </w:r>
          </w:p>
        </w:tc>
        <w:tc>
          <w:tcPr>
            <w:tcW w:w="824" w:type="pct"/>
            <w:noWrap w:val="0"/>
            <w:vAlign w:val="center"/>
          </w:tcPr>
          <w:p w14:paraId="3F6511F2">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0.01</w:t>
            </w:r>
          </w:p>
        </w:tc>
        <w:tc>
          <w:tcPr>
            <w:tcW w:w="828" w:type="pct"/>
            <w:noWrap w:val="0"/>
            <w:vAlign w:val="center"/>
          </w:tcPr>
          <w:p w14:paraId="37AD0949">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0.03</w:t>
            </w:r>
          </w:p>
        </w:tc>
      </w:tr>
      <w:tr w14:paraId="2BB7139E">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380" w:type="pct"/>
            <w:noWrap w:val="0"/>
            <w:vAlign w:val="center"/>
          </w:tcPr>
          <w:p w14:paraId="407AE042">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7</w:t>
            </w:r>
          </w:p>
        </w:tc>
        <w:tc>
          <w:tcPr>
            <w:tcW w:w="469" w:type="pct"/>
            <w:vMerge w:val="continue"/>
            <w:tcBorders>
              <w:top w:val="nil"/>
            </w:tcBorders>
            <w:noWrap w:val="0"/>
            <w:vAlign w:val="center"/>
          </w:tcPr>
          <w:p w14:paraId="09A1F0FB">
            <w:pPr>
              <w:pStyle w:val="90"/>
              <w:jc w:val="center"/>
              <w:rPr>
                <w:rFonts w:hint="default" w:eastAsia="宋体" w:cs="宋体"/>
                <w:color w:val="auto"/>
                <w:sz w:val="21"/>
                <w:szCs w:val="21"/>
                <w:lang w:val="en-US" w:eastAsia="zh-CN"/>
              </w:rPr>
            </w:pPr>
          </w:p>
        </w:tc>
        <w:tc>
          <w:tcPr>
            <w:tcW w:w="990" w:type="pct"/>
            <w:noWrap w:val="0"/>
            <w:vAlign w:val="center"/>
          </w:tcPr>
          <w:p w14:paraId="3AB783DC">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纯水制备浓水</w:t>
            </w:r>
          </w:p>
        </w:tc>
        <w:tc>
          <w:tcPr>
            <w:tcW w:w="851" w:type="pct"/>
            <w:noWrap w:val="0"/>
            <w:vAlign w:val="center"/>
          </w:tcPr>
          <w:p w14:paraId="26E5C2C5">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1.27</w:t>
            </w:r>
          </w:p>
        </w:tc>
        <w:tc>
          <w:tcPr>
            <w:tcW w:w="656" w:type="pct"/>
            <w:noWrap w:val="0"/>
            <w:vAlign w:val="center"/>
          </w:tcPr>
          <w:p w14:paraId="147DD8FB">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w:t>
            </w:r>
          </w:p>
        </w:tc>
        <w:tc>
          <w:tcPr>
            <w:tcW w:w="824" w:type="pct"/>
            <w:noWrap w:val="0"/>
            <w:vAlign w:val="center"/>
          </w:tcPr>
          <w:p w14:paraId="59FE00D8">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w:t>
            </w:r>
          </w:p>
        </w:tc>
        <w:tc>
          <w:tcPr>
            <w:tcW w:w="828" w:type="pct"/>
            <w:noWrap w:val="0"/>
            <w:vAlign w:val="center"/>
          </w:tcPr>
          <w:p w14:paraId="6EE320A4">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1.27</w:t>
            </w:r>
          </w:p>
        </w:tc>
      </w:tr>
      <w:tr w14:paraId="7FD0543C">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839" w:type="pct"/>
            <w:gridSpan w:val="3"/>
            <w:tcBorders>
              <w:bottom w:val="single" w:color="000000" w:sz="4" w:space="0"/>
            </w:tcBorders>
            <w:noWrap w:val="0"/>
            <w:vAlign w:val="center"/>
          </w:tcPr>
          <w:p w14:paraId="473C2608">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总计</w:t>
            </w:r>
          </w:p>
        </w:tc>
        <w:tc>
          <w:tcPr>
            <w:tcW w:w="851" w:type="pct"/>
            <w:tcBorders>
              <w:bottom w:val="single" w:color="000000" w:sz="4" w:space="0"/>
            </w:tcBorders>
            <w:noWrap w:val="0"/>
            <w:vAlign w:val="center"/>
          </w:tcPr>
          <w:p w14:paraId="4AC8EE04">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14.88（14.89）</w:t>
            </w:r>
          </w:p>
        </w:tc>
        <w:tc>
          <w:tcPr>
            <w:tcW w:w="656" w:type="pct"/>
            <w:tcBorders>
              <w:bottom w:val="single" w:color="000000" w:sz="4" w:space="0"/>
            </w:tcBorders>
            <w:noWrap w:val="0"/>
            <w:vAlign w:val="center"/>
          </w:tcPr>
          <w:p w14:paraId="6DC066F0">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w:t>
            </w:r>
          </w:p>
        </w:tc>
        <w:tc>
          <w:tcPr>
            <w:tcW w:w="824" w:type="pct"/>
            <w:tcBorders>
              <w:bottom w:val="single" w:color="000000" w:sz="4" w:space="0"/>
            </w:tcBorders>
            <w:noWrap w:val="0"/>
            <w:vAlign w:val="center"/>
          </w:tcPr>
          <w:p w14:paraId="1AC499BE">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1.55</w:t>
            </w:r>
          </w:p>
        </w:tc>
        <w:tc>
          <w:tcPr>
            <w:tcW w:w="828" w:type="pct"/>
            <w:tcBorders>
              <w:bottom w:val="single" w:color="000000" w:sz="4" w:space="0"/>
            </w:tcBorders>
            <w:noWrap w:val="0"/>
            <w:vAlign w:val="center"/>
          </w:tcPr>
          <w:p w14:paraId="52E3CF66">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13.76</w:t>
            </w:r>
          </w:p>
        </w:tc>
      </w:tr>
      <w:tr w14:paraId="4AC8245C">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380" w:type="pct"/>
            <w:tcBorders>
              <w:top w:val="single" w:color="000000" w:sz="4" w:space="0"/>
            </w:tcBorders>
            <w:noWrap w:val="0"/>
            <w:vAlign w:val="center"/>
          </w:tcPr>
          <w:p w14:paraId="1C4787D6">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序号</w:t>
            </w:r>
          </w:p>
        </w:tc>
        <w:tc>
          <w:tcPr>
            <w:tcW w:w="1459" w:type="pct"/>
            <w:gridSpan w:val="2"/>
            <w:tcBorders>
              <w:top w:val="single" w:color="000000" w:sz="4" w:space="0"/>
            </w:tcBorders>
            <w:noWrap w:val="0"/>
            <w:vAlign w:val="center"/>
          </w:tcPr>
          <w:p w14:paraId="6758EBC7">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使用对象</w:t>
            </w:r>
          </w:p>
        </w:tc>
        <w:tc>
          <w:tcPr>
            <w:tcW w:w="851" w:type="pct"/>
            <w:tcBorders>
              <w:top w:val="single" w:color="000000" w:sz="4" w:space="0"/>
            </w:tcBorders>
            <w:noWrap w:val="0"/>
            <w:vAlign w:val="center"/>
          </w:tcPr>
          <w:p w14:paraId="22CA2C3E">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新鲜用水量</w:t>
            </w:r>
          </w:p>
          <w:p w14:paraId="3F084C77">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（t/a）</w:t>
            </w:r>
          </w:p>
        </w:tc>
        <w:tc>
          <w:tcPr>
            <w:tcW w:w="656" w:type="pct"/>
            <w:tcBorders>
              <w:top w:val="single" w:color="000000" w:sz="4" w:space="0"/>
            </w:tcBorders>
            <w:noWrap w:val="0"/>
            <w:vAlign w:val="center"/>
          </w:tcPr>
          <w:p w14:paraId="31597CF1">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排放系数</w:t>
            </w:r>
          </w:p>
        </w:tc>
        <w:tc>
          <w:tcPr>
            <w:tcW w:w="824" w:type="pct"/>
            <w:tcBorders>
              <w:top w:val="single" w:color="000000" w:sz="4" w:space="0"/>
            </w:tcBorders>
            <w:noWrap w:val="0"/>
            <w:vAlign w:val="center"/>
          </w:tcPr>
          <w:p w14:paraId="60CB9321">
            <w:pPr>
              <w:pStyle w:val="90"/>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eastAsia="宋体" w:cs="宋体"/>
                <w:color w:val="auto"/>
                <w:sz w:val="21"/>
                <w:szCs w:val="21"/>
                <w:lang w:val="en-US" w:eastAsia="zh-CN"/>
              </w:rPr>
            </w:pPr>
            <w:r>
              <w:rPr>
                <w:rFonts w:hint="default" w:eastAsia="宋体" w:cs="宋体"/>
                <w:color w:val="auto"/>
                <w:sz w:val="21"/>
                <w:szCs w:val="21"/>
                <w:lang w:val="en-US" w:eastAsia="zh-CN"/>
              </w:rPr>
              <w:t>损耗水量（t/a）</w:t>
            </w:r>
          </w:p>
        </w:tc>
        <w:tc>
          <w:tcPr>
            <w:tcW w:w="828" w:type="pct"/>
            <w:tcBorders>
              <w:top w:val="single" w:color="000000" w:sz="4" w:space="0"/>
            </w:tcBorders>
            <w:noWrap w:val="0"/>
            <w:vAlign w:val="center"/>
          </w:tcPr>
          <w:p w14:paraId="775D0C0E">
            <w:pPr>
              <w:pStyle w:val="90"/>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eastAsia="宋体" w:cs="宋体"/>
                <w:color w:val="auto"/>
                <w:sz w:val="21"/>
                <w:szCs w:val="21"/>
                <w:lang w:val="en-US" w:eastAsia="zh-CN"/>
              </w:rPr>
            </w:pPr>
            <w:r>
              <w:rPr>
                <w:rFonts w:hint="default" w:eastAsia="宋体" w:cs="宋体"/>
                <w:color w:val="auto"/>
                <w:sz w:val="21"/>
                <w:szCs w:val="21"/>
                <w:lang w:val="en-US" w:eastAsia="zh-CN"/>
              </w:rPr>
              <w:t>排放水量（t/a）</w:t>
            </w:r>
          </w:p>
        </w:tc>
      </w:tr>
      <w:tr w14:paraId="16C1CAA6">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380" w:type="pct"/>
            <w:noWrap w:val="0"/>
            <w:vAlign w:val="center"/>
          </w:tcPr>
          <w:p w14:paraId="323784B6">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1</w:t>
            </w:r>
          </w:p>
        </w:tc>
        <w:tc>
          <w:tcPr>
            <w:tcW w:w="1459" w:type="pct"/>
            <w:gridSpan w:val="2"/>
            <w:noWrap w:val="0"/>
            <w:vAlign w:val="center"/>
          </w:tcPr>
          <w:p w14:paraId="61C6D22B">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生活用水</w:t>
            </w:r>
          </w:p>
        </w:tc>
        <w:tc>
          <w:tcPr>
            <w:tcW w:w="851" w:type="pct"/>
            <w:noWrap w:val="0"/>
            <w:vAlign w:val="center"/>
          </w:tcPr>
          <w:p w14:paraId="63057371">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2500</w:t>
            </w:r>
          </w:p>
        </w:tc>
        <w:tc>
          <w:tcPr>
            <w:tcW w:w="656" w:type="pct"/>
            <w:noWrap w:val="0"/>
            <w:vAlign w:val="center"/>
          </w:tcPr>
          <w:p w14:paraId="7289D1A6">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0.</w:t>
            </w:r>
            <w:r>
              <w:rPr>
                <w:rFonts w:hint="eastAsia" w:eastAsia="宋体" w:cs="宋体"/>
                <w:color w:val="auto"/>
                <w:sz w:val="21"/>
                <w:szCs w:val="21"/>
                <w:lang w:val="en-US" w:eastAsia="zh-CN"/>
              </w:rPr>
              <w:t>9</w:t>
            </w:r>
          </w:p>
        </w:tc>
        <w:tc>
          <w:tcPr>
            <w:tcW w:w="824" w:type="pct"/>
            <w:noWrap w:val="0"/>
            <w:vAlign w:val="center"/>
          </w:tcPr>
          <w:p w14:paraId="0E85FBB6">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250</w:t>
            </w:r>
          </w:p>
        </w:tc>
        <w:tc>
          <w:tcPr>
            <w:tcW w:w="828" w:type="pct"/>
            <w:noWrap w:val="0"/>
            <w:vAlign w:val="center"/>
          </w:tcPr>
          <w:p w14:paraId="65F12539">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2250</w:t>
            </w:r>
          </w:p>
        </w:tc>
      </w:tr>
      <w:tr w14:paraId="0C3A5895">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380" w:type="pct"/>
            <w:noWrap w:val="0"/>
            <w:vAlign w:val="center"/>
          </w:tcPr>
          <w:p w14:paraId="673C86A3">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2</w:t>
            </w:r>
          </w:p>
        </w:tc>
        <w:tc>
          <w:tcPr>
            <w:tcW w:w="1459" w:type="pct"/>
            <w:gridSpan w:val="2"/>
            <w:noWrap w:val="0"/>
            <w:vAlign w:val="center"/>
          </w:tcPr>
          <w:p w14:paraId="19F4992A">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碱液喷淋塔用水</w:t>
            </w:r>
          </w:p>
        </w:tc>
        <w:tc>
          <w:tcPr>
            <w:tcW w:w="851" w:type="pct"/>
            <w:noWrap w:val="0"/>
            <w:vAlign w:val="center"/>
          </w:tcPr>
          <w:p w14:paraId="118D4A5B">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62.5</w:t>
            </w:r>
          </w:p>
        </w:tc>
        <w:tc>
          <w:tcPr>
            <w:tcW w:w="656" w:type="pct"/>
            <w:noWrap w:val="0"/>
            <w:vAlign w:val="center"/>
          </w:tcPr>
          <w:p w14:paraId="37897D16">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w:t>
            </w:r>
          </w:p>
        </w:tc>
        <w:tc>
          <w:tcPr>
            <w:tcW w:w="824" w:type="pct"/>
            <w:noWrap w:val="0"/>
            <w:vAlign w:val="center"/>
          </w:tcPr>
          <w:p w14:paraId="660BF7E7">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26.5</w:t>
            </w:r>
          </w:p>
        </w:tc>
        <w:tc>
          <w:tcPr>
            <w:tcW w:w="828" w:type="pct"/>
            <w:noWrap w:val="0"/>
            <w:vAlign w:val="center"/>
          </w:tcPr>
          <w:p w14:paraId="38B06CD9">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36</w:t>
            </w:r>
          </w:p>
        </w:tc>
      </w:tr>
      <w:tr w14:paraId="2FB6FBE9">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380" w:type="pct"/>
            <w:noWrap w:val="0"/>
            <w:vAlign w:val="center"/>
          </w:tcPr>
          <w:p w14:paraId="16505698">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3</w:t>
            </w:r>
          </w:p>
        </w:tc>
        <w:tc>
          <w:tcPr>
            <w:tcW w:w="1459" w:type="pct"/>
            <w:gridSpan w:val="2"/>
            <w:noWrap w:val="0"/>
            <w:vAlign w:val="center"/>
          </w:tcPr>
          <w:p w14:paraId="18FD3B76">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车间</w:t>
            </w:r>
            <w:r>
              <w:rPr>
                <w:rFonts w:hint="eastAsia" w:eastAsia="宋体" w:cs="宋体"/>
                <w:color w:val="auto"/>
                <w:sz w:val="21"/>
                <w:szCs w:val="21"/>
                <w:lang w:val="en-US" w:eastAsia="zh-CN"/>
              </w:rPr>
              <w:t>清洁</w:t>
            </w:r>
            <w:r>
              <w:rPr>
                <w:rFonts w:hint="default" w:eastAsia="宋体" w:cs="宋体"/>
                <w:color w:val="auto"/>
                <w:sz w:val="21"/>
                <w:szCs w:val="21"/>
                <w:lang w:val="en-US" w:eastAsia="zh-CN"/>
              </w:rPr>
              <w:t>用水</w:t>
            </w:r>
          </w:p>
        </w:tc>
        <w:tc>
          <w:tcPr>
            <w:tcW w:w="851" w:type="pct"/>
            <w:noWrap w:val="0"/>
            <w:vAlign w:val="center"/>
          </w:tcPr>
          <w:p w14:paraId="3036314E">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100</w:t>
            </w:r>
          </w:p>
        </w:tc>
        <w:tc>
          <w:tcPr>
            <w:tcW w:w="656" w:type="pct"/>
            <w:noWrap w:val="0"/>
            <w:vAlign w:val="center"/>
          </w:tcPr>
          <w:p w14:paraId="2A52B396">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0.</w:t>
            </w:r>
            <w:r>
              <w:rPr>
                <w:rFonts w:hint="eastAsia" w:eastAsia="宋体" w:cs="宋体"/>
                <w:color w:val="auto"/>
                <w:sz w:val="21"/>
                <w:szCs w:val="21"/>
                <w:lang w:val="en-US" w:eastAsia="zh-CN"/>
              </w:rPr>
              <w:t>9</w:t>
            </w:r>
          </w:p>
        </w:tc>
        <w:tc>
          <w:tcPr>
            <w:tcW w:w="824" w:type="pct"/>
            <w:noWrap w:val="0"/>
            <w:vAlign w:val="center"/>
          </w:tcPr>
          <w:p w14:paraId="0952A6C8">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10</w:t>
            </w:r>
          </w:p>
        </w:tc>
        <w:tc>
          <w:tcPr>
            <w:tcW w:w="828" w:type="pct"/>
            <w:noWrap w:val="0"/>
            <w:vAlign w:val="center"/>
          </w:tcPr>
          <w:p w14:paraId="59464E88">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90</w:t>
            </w:r>
          </w:p>
        </w:tc>
      </w:tr>
      <w:tr w14:paraId="6A0D8F3C">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380" w:type="pct"/>
            <w:noWrap w:val="0"/>
            <w:vAlign w:val="center"/>
          </w:tcPr>
          <w:p w14:paraId="67E96E97">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4</w:t>
            </w:r>
          </w:p>
        </w:tc>
        <w:tc>
          <w:tcPr>
            <w:tcW w:w="469" w:type="pct"/>
            <w:vMerge w:val="restart"/>
            <w:tcBorders>
              <w:bottom w:val="nil"/>
            </w:tcBorders>
            <w:noWrap w:val="0"/>
            <w:vAlign w:val="center"/>
          </w:tcPr>
          <w:p w14:paraId="747558F3">
            <w:pPr>
              <w:pStyle w:val="90"/>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eastAsia="宋体" w:cs="宋体"/>
                <w:color w:val="auto"/>
                <w:sz w:val="21"/>
                <w:szCs w:val="21"/>
                <w:lang w:val="en-US" w:eastAsia="zh-CN"/>
              </w:rPr>
            </w:pPr>
            <w:r>
              <w:rPr>
                <w:rFonts w:hint="default" w:eastAsia="宋体" w:cs="宋体"/>
                <w:color w:val="auto"/>
                <w:sz w:val="21"/>
                <w:szCs w:val="21"/>
                <w:lang w:val="en-US" w:eastAsia="zh-CN"/>
              </w:rPr>
              <w:t>纯水制备用水</w:t>
            </w:r>
          </w:p>
        </w:tc>
        <w:tc>
          <w:tcPr>
            <w:tcW w:w="990" w:type="pct"/>
            <w:noWrap w:val="0"/>
            <w:vAlign w:val="center"/>
          </w:tcPr>
          <w:p w14:paraId="492B0402">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清洗用水</w:t>
            </w:r>
          </w:p>
        </w:tc>
        <w:tc>
          <w:tcPr>
            <w:tcW w:w="851" w:type="pct"/>
            <w:noWrap w:val="0"/>
            <w:vAlign w:val="center"/>
          </w:tcPr>
          <w:p w14:paraId="313E6678">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720（723.5）</w:t>
            </w:r>
          </w:p>
        </w:tc>
        <w:tc>
          <w:tcPr>
            <w:tcW w:w="656" w:type="pct"/>
            <w:noWrap w:val="0"/>
            <w:vAlign w:val="center"/>
          </w:tcPr>
          <w:p w14:paraId="421C9498">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0.</w:t>
            </w:r>
            <w:r>
              <w:rPr>
                <w:rFonts w:hint="eastAsia" w:eastAsia="宋体" w:cs="宋体"/>
                <w:color w:val="auto"/>
                <w:sz w:val="21"/>
                <w:szCs w:val="21"/>
                <w:lang w:val="en-US" w:eastAsia="zh-CN"/>
              </w:rPr>
              <w:t>9</w:t>
            </w:r>
          </w:p>
        </w:tc>
        <w:tc>
          <w:tcPr>
            <w:tcW w:w="824" w:type="pct"/>
            <w:noWrap w:val="0"/>
            <w:vAlign w:val="center"/>
          </w:tcPr>
          <w:p w14:paraId="22DE6520">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72.35</w:t>
            </w:r>
          </w:p>
        </w:tc>
        <w:tc>
          <w:tcPr>
            <w:tcW w:w="828" w:type="pct"/>
            <w:noWrap w:val="0"/>
            <w:vAlign w:val="center"/>
          </w:tcPr>
          <w:p w14:paraId="43FFA07A">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651.15</w:t>
            </w:r>
          </w:p>
        </w:tc>
      </w:tr>
      <w:tr w14:paraId="516EF4C7">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380" w:type="pct"/>
            <w:noWrap w:val="0"/>
            <w:vAlign w:val="center"/>
          </w:tcPr>
          <w:p w14:paraId="0D35D01F">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5</w:t>
            </w:r>
          </w:p>
        </w:tc>
        <w:tc>
          <w:tcPr>
            <w:tcW w:w="469" w:type="pct"/>
            <w:vMerge w:val="continue"/>
            <w:tcBorders>
              <w:top w:val="nil"/>
              <w:bottom w:val="nil"/>
            </w:tcBorders>
            <w:noWrap w:val="0"/>
            <w:vAlign w:val="center"/>
          </w:tcPr>
          <w:p w14:paraId="36F74F8E">
            <w:pPr>
              <w:pStyle w:val="90"/>
              <w:jc w:val="center"/>
              <w:rPr>
                <w:rFonts w:hint="default" w:eastAsia="宋体" w:cs="宋体"/>
                <w:color w:val="auto"/>
                <w:sz w:val="21"/>
                <w:szCs w:val="21"/>
                <w:lang w:val="en-US" w:eastAsia="zh-CN"/>
              </w:rPr>
            </w:pPr>
          </w:p>
        </w:tc>
        <w:tc>
          <w:tcPr>
            <w:tcW w:w="990" w:type="pct"/>
            <w:noWrap w:val="0"/>
            <w:vAlign w:val="center"/>
          </w:tcPr>
          <w:p w14:paraId="3443644D">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蒙砂用水</w:t>
            </w:r>
          </w:p>
        </w:tc>
        <w:tc>
          <w:tcPr>
            <w:tcW w:w="851" w:type="pct"/>
            <w:noWrap w:val="0"/>
            <w:vAlign w:val="center"/>
          </w:tcPr>
          <w:p w14:paraId="2842098D">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20</w:t>
            </w:r>
          </w:p>
        </w:tc>
        <w:tc>
          <w:tcPr>
            <w:tcW w:w="656" w:type="pct"/>
            <w:noWrap w:val="0"/>
            <w:vAlign w:val="center"/>
          </w:tcPr>
          <w:p w14:paraId="48CC57B0">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0.</w:t>
            </w:r>
            <w:r>
              <w:rPr>
                <w:rFonts w:hint="eastAsia" w:eastAsia="宋体" w:cs="宋体"/>
                <w:color w:val="auto"/>
                <w:sz w:val="21"/>
                <w:szCs w:val="21"/>
                <w:lang w:val="en-US" w:eastAsia="zh-CN"/>
              </w:rPr>
              <w:t>9</w:t>
            </w:r>
          </w:p>
        </w:tc>
        <w:tc>
          <w:tcPr>
            <w:tcW w:w="824" w:type="pct"/>
            <w:noWrap w:val="0"/>
            <w:vAlign w:val="center"/>
          </w:tcPr>
          <w:p w14:paraId="64579A83">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10</w:t>
            </w:r>
          </w:p>
        </w:tc>
        <w:tc>
          <w:tcPr>
            <w:tcW w:w="828" w:type="pct"/>
            <w:noWrap w:val="0"/>
            <w:vAlign w:val="center"/>
          </w:tcPr>
          <w:p w14:paraId="377032F7">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90</w:t>
            </w:r>
          </w:p>
        </w:tc>
      </w:tr>
      <w:tr w14:paraId="4F95F637">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380" w:type="pct"/>
            <w:noWrap w:val="0"/>
            <w:vAlign w:val="center"/>
          </w:tcPr>
          <w:p w14:paraId="79F8224A">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6</w:t>
            </w:r>
          </w:p>
        </w:tc>
        <w:tc>
          <w:tcPr>
            <w:tcW w:w="469" w:type="pct"/>
            <w:vMerge w:val="continue"/>
            <w:tcBorders>
              <w:top w:val="nil"/>
              <w:bottom w:val="nil"/>
            </w:tcBorders>
            <w:noWrap w:val="0"/>
            <w:vAlign w:val="center"/>
          </w:tcPr>
          <w:p w14:paraId="5E003282">
            <w:pPr>
              <w:pStyle w:val="90"/>
              <w:jc w:val="center"/>
              <w:rPr>
                <w:rFonts w:hint="default" w:eastAsia="宋体" w:cs="宋体"/>
                <w:color w:val="auto"/>
                <w:sz w:val="21"/>
                <w:szCs w:val="21"/>
                <w:lang w:val="en-US" w:eastAsia="zh-CN"/>
              </w:rPr>
            </w:pPr>
          </w:p>
        </w:tc>
        <w:tc>
          <w:tcPr>
            <w:tcW w:w="990" w:type="pct"/>
            <w:noWrap w:val="0"/>
            <w:vAlign w:val="center"/>
          </w:tcPr>
          <w:p w14:paraId="7071939F">
            <w:pPr>
              <w:pStyle w:val="90"/>
              <w:ind w:left="0" w:leftChars="0" w:firstLine="0" w:firstLineChars="0"/>
              <w:jc w:val="center"/>
              <w:rPr>
                <w:rFonts w:hint="default" w:eastAsia="宋体" w:cs="宋体"/>
                <w:color w:val="auto"/>
                <w:sz w:val="21"/>
                <w:szCs w:val="21"/>
                <w:lang w:val="en-US" w:eastAsia="zh-CN"/>
              </w:rPr>
            </w:pPr>
            <w:r>
              <w:rPr>
                <w:rFonts w:hint="default" w:eastAsia="宋体" w:cs="宋体"/>
                <w:color w:val="auto"/>
                <w:sz w:val="21"/>
                <w:szCs w:val="21"/>
                <w:lang w:val="en-US" w:eastAsia="zh-CN"/>
              </w:rPr>
              <w:t>化抛蚀刻</w:t>
            </w:r>
            <w:r>
              <w:rPr>
                <w:rFonts w:hint="eastAsia" w:eastAsia="宋体" w:cs="宋体"/>
                <w:color w:val="auto"/>
                <w:sz w:val="21"/>
                <w:szCs w:val="21"/>
                <w:lang w:val="en-US" w:eastAsia="zh-CN"/>
              </w:rPr>
              <w:t>槽液</w:t>
            </w:r>
          </w:p>
        </w:tc>
        <w:tc>
          <w:tcPr>
            <w:tcW w:w="851" w:type="pct"/>
            <w:noWrap w:val="0"/>
            <w:vAlign w:val="center"/>
          </w:tcPr>
          <w:p w14:paraId="78E66067">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w:t>
            </w:r>
          </w:p>
        </w:tc>
        <w:tc>
          <w:tcPr>
            <w:tcW w:w="656" w:type="pct"/>
            <w:noWrap w:val="0"/>
            <w:vAlign w:val="center"/>
          </w:tcPr>
          <w:p w14:paraId="4377F135">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0</w:t>
            </w:r>
            <w:r>
              <w:rPr>
                <w:rFonts w:hint="eastAsia" w:eastAsia="宋体" w:cs="宋体"/>
                <w:color w:val="auto"/>
                <w:sz w:val="21"/>
                <w:szCs w:val="21"/>
                <w:lang w:val="en-US" w:eastAsia="zh-CN"/>
              </w:rPr>
              <w:t>.8</w:t>
            </w:r>
          </w:p>
        </w:tc>
        <w:tc>
          <w:tcPr>
            <w:tcW w:w="824" w:type="pct"/>
            <w:noWrap w:val="0"/>
            <w:vAlign w:val="center"/>
          </w:tcPr>
          <w:p w14:paraId="151AF3FE">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2</w:t>
            </w:r>
          </w:p>
        </w:tc>
        <w:tc>
          <w:tcPr>
            <w:tcW w:w="828" w:type="pct"/>
            <w:noWrap w:val="0"/>
            <w:vAlign w:val="center"/>
          </w:tcPr>
          <w:p w14:paraId="11CD8504">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8</w:t>
            </w:r>
          </w:p>
        </w:tc>
      </w:tr>
      <w:tr w14:paraId="2C806941">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380" w:type="pct"/>
            <w:noWrap w:val="0"/>
            <w:vAlign w:val="center"/>
          </w:tcPr>
          <w:p w14:paraId="2EB8DEF4">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7</w:t>
            </w:r>
          </w:p>
        </w:tc>
        <w:tc>
          <w:tcPr>
            <w:tcW w:w="469" w:type="pct"/>
            <w:vMerge w:val="continue"/>
            <w:tcBorders>
              <w:top w:val="nil"/>
            </w:tcBorders>
            <w:noWrap w:val="0"/>
            <w:vAlign w:val="center"/>
          </w:tcPr>
          <w:p w14:paraId="3786A3F8">
            <w:pPr>
              <w:pStyle w:val="90"/>
              <w:jc w:val="center"/>
              <w:rPr>
                <w:rFonts w:hint="default" w:eastAsia="宋体" w:cs="宋体"/>
                <w:color w:val="auto"/>
                <w:sz w:val="21"/>
                <w:szCs w:val="21"/>
                <w:lang w:val="en-US" w:eastAsia="zh-CN"/>
              </w:rPr>
            </w:pPr>
          </w:p>
        </w:tc>
        <w:tc>
          <w:tcPr>
            <w:tcW w:w="990" w:type="pct"/>
            <w:noWrap w:val="0"/>
            <w:vAlign w:val="center"/>
          </w:tcPr>
          <w:p w14:paraId="07E9DB01">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纯水制备浓水</w:t>
            </w:r>
          </w:p>
        </w:tc>
        <w:tc>
          <w:tcPr>
            <w:tcW w:w="851" w:type="pct"/>
            <w:noWrap w:val="0"/>
            <w:vAlign w:val="center"/>
          </w:tcPr>
          <w:p w14:paraId="5C2F8F40">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317.14</w:t>
            </w:r>
          </w:p>
        </w:tc>
        <w:tc>
          <w:tcPr>
            <w:tcW w:w="656" w:type="pct"/>
            <w:noWrap w:val="0"/>
            <w:vAlign w:val="center"/>
          </w:tcPr>
          <w:p w14:paraId="165AB754">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w:t>
            </w:r>
          </w:p>
        </w:tc>
        <w:tc>
          <w:tcPr>
            <w:tcW w:w="824" w:type="pct"/>
            <w:noWrap w:val="0"/>
            <w:vAlign w:val="center"/>
          </w:tcPr>
          <w:p w14:paraId="6F26EEE9">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w:t>
            </w:r>
          </w:p>
        </w:tc>
        <w:tc>
          <w:tcPr>
            <w:tcW w:w="828" w:type="pct"/>
            <w:noWrap w:val="0"/>
            <w:vAlign w:val="center"/>
          </w:tcPr>
          <w:p w14:paraId="51FFC08C">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317.14</w:t>
            </w:r>
          </w:p>
        </w:tc>
      </w:tr>
      <w:tr w14:paraId="6381F66C">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839" w:type="pct"/>
            <w:gridSpan w:val="3"/>
            <w:noWrap w:val="0"/>
            <w:vAlign w:val="center"/>
          </w:tcPr>
          <w:p w14:paraId="5E18A9DD">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总计</w:t>
            </w:r>
          </w:p>
        </w:tc>
        <w:tc>
          <w:tcPr>
            <w:tcW w:w="851" w:type="pct"/>
            <w:noWrap w:val="0"/>
            <w:vAlign w:val="center"/>
          </w:tcPr>
          <w:p w14:paraId="24B6780B">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3</w:t>
            </w:r>
            <w:r>
              <w:rPr>
                <w:rFonts w:hint="eastAsia" w:eastAsia="宋体" w:cs="宋体"/>
                <w:color w:val="auto"/>
                <w:sz w:val="21"/>
                <w:szCs w:val="21"/>
                <w:lang w:val="en-US" w:eastAsia="zh-CN"/>
              </w:rPr>
              <w:t>719.64（3723.14）</w:t>
            </w:r>
          </w:p>
        </w:tc>
        <w:tc>
          <w:tcPr>
            <w:tcW w:w="656" w:type="pct"/>
            <w:noWrap w:val="0"/>
            <w:vAlign w:val="center"/>
          </w:tcPr>
          <w:p w14:paraId="6271F78F">
            <w:pPr>
              <w:pStyle w:val="90"/>
              <w:jc w:val="center"/>
              <w:rPr>
                <w:rFonts w:hint="default" w:eastAsia="宋体" w:cs="宋体"/>
                <w:color w:val="auto"/>
                <w:sz w:val="21"/>
                <w:szCs w:val="21"/>
                <w:lang w:val="en-US" w:eastAsia="zh-CN"/>
              </w:rPr>
            </w:pPr>
            <w:r>
              <w:rPr>
                <w:rFonts w:hint="default" w:eastAsia="宋体" w:cs="宋体"/>
                <w:color w:val="auto"/>
                <w:sz w:val="21"/>
                <w:szCs w:val="21"/>
                <w:lang w:val="en-US" w:eastAsia="zh-CN"/>
              </w:rPr>
              <w:t>/</w:t>
            </w:r>
          </w:p>
        </w:tc>
        <w:tc>
          <w:tcPr>
            <w:tcW w:w="824" w:type="pct"/>
            <w:noWrap w:val="0"/>
            <w:vAlign w:val="center"/>
          </w:tcPr>
          <w:p w14:paraId="38695528">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370.85</w:t>
            </w:r>
          </w:p>
        </w:tc>
        <w:tc>
          <w:tcPr>
            <w:tcW w:w="828" w:type="pct"/>
            <w:noWrap w:val="0"/>
            <w:vAlign w:val="center"/>
          </w:tcPr>
          <w:p w14:paraId="2831EB5A">
            <w:pPr>
              <w:pStyle w:val="90"/>
              <w:jc w:val="center"/>
              <w:rPr>
                <w:rFonts w:hint="default" w:eastAsia="宋体" w:cs="宋体"/>
                <w:color w:val="auto"/>
                <w:sz w:val="21"/>
                <w:szCs w:val="21"/>
                <w:lang w:val="en-US" w:eastAsia="zh-CN"/>
              </w:rPr>
            </w:pPr>
            <w:r>
              <w:rPr>
                <w:rFonts w:hint="eastAsia" w:eastAsia="宋体" w:cs="宋体"/>
                <w:color w:val="auto"/>
                <w:sz w:val="21"/>
                <w:szCs w:val="21"/>
                <w:lang w:val="en-US" w:eastAsia="zh-CN"/>
              </w:rPr>
              <w:t>3442.29</w:t>
            </w:r>
          </w:p>
        </w:tc>
      </w:tr>
    </w:tbl>
    <w:p w14:paraId="6586293D">
      <w:pPr>
        <w:bidi w:val="0"/>
        <w:rPr>
          <w:rFonts w:hint="default" w:ascii="Times New Roman" w:hAnsi="Times New Roman" w:cs="Times New Roman"/>
          <w:lang w:val="en-US" w:eastAsia="zh-CN"/>
        </w:rPr>
      </w:pPr>
      <w:bookmarkStart w:id="89" w:name="_Toc6380"/>
      <w:r>
        <w:rPr>
          <w:rFonts w:hint="default" w:ascii="Times New Roman" w:hAnsi="Times New Roman" w:cs="Times New Roman"/>
          <w:lang w:val="en-US" w:eastAsia="zh-CN"/>
        </w:rPr>
        <w:t>注：（）含清洗剂带水。</w:t>
      </w:r>
      <w:bookmarkEnd w:id="89"/>
    </w:p>
    <w:p w14:paraId="5B7E4F20">
      <w:pPr>
        <w:pStyle w:val="20"/>
        <w:spacing w:after="0" w:line="360" w:lineRule="auto"/>
        <w:ind w:left="0" w:leftChars="0"/>
        <w:jc w:val="center"/>
        <w:rPr>
          <w:rFonts w:hint="eastAsia"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object>
          <v:shape id="_x0000_i1025" o:spt="75" alt="" type="#_x0000_t75" style="height:246.65pt;width:439.6pt;" o:ole="t" filled="f" o:preferrelative="t" stroked="f" coordsize="21600,21600">
            <v:path/>
            <v:fill on="f" focussize="0,0"/>
            <v:stroke on="f"/>
            <v:imagedata r:id="rId17" o:title=""/>
            <o:lock v:ext="edit" aspectratio="f"/>
            <w10:wrap type="none"/>
            <w10:anchorlock/>
          </v:shape>
          <o:OLEObject Type="Embed" ProgID="Visio.Drawing.15" ShapeID="_x0000_i1025" DrawAspect="Content" ObjectID="_1468075725" r:id="rId16">
            <o:LockedField>false</o:LockedField>
          </o:OLEObject>
        </w:object>
      </w:r>
    </w:p>
    <w:p w14:paraId="2F3D92E9">
      <w:pPr>
        <w:pStyle w:val="20"/>
        <w:spacing w:after="0" w:line="360" w:lineRule="auto"/>
        <w:ind w:left="0" w:leftChars="0"/>
        <w:jc w:val="center"/>
        <w:rPr>
          <w:rFonts w:hint="eastAsia"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图</w:t>
      </w:r>
      <w:r>
        <w:rPr>
          <w:rFonts w:hint="eastAsia" w:cs="Times New Roman"/>
          <w:b/>
          <w:color w:val="auto"/>
          <w:sz w:val="24"/>
          <w:lang w:val="en-US" w:eastAsia="zh-CN"/>
        </w:rPr>
        <w:t>3</w:t>
      </w:r>
      <w:r>
        <w:rPr>
          <w:rFonts w:hint="eastAsia" w:ascii="Times New Roman" w:hAnsi="Times New Roman" w:eastAsia="宋体" w:cs="Times New Roman"/>
          <w:b/>
          <w:color w:val="auto"/>
          <w:sz w:val="24"/>
          <w:lang w:val="en-US" w:eastAsia="zh-CN"/>
        </w:rPr>
        <w:t>-1    扩建项目水平衡图（t/d）</w:t>
      </w:r>
    </w:p>
    <w:p w14:paraId="6BEF3A76">
      <w:pPr>
        <w:pStyle w:val="3"/>
      </w:pPr>
      <w:bookmarkStart w:id="90" w:name="_Toc520988559"/>
      <w:bookmarkStart w:id="91" w:name="_Toc513474960"/>
      <w:bookmarkStart w:id="92" w:name="_Toc23269"/>
      <w:bookmarkStart w:id="93" w:name="_Toc19342"/>
      <w:r>
        <w:t>3.5</w:t>
      </w:r>
      <w:bookmarkEnd w:id="90"/>
      <w:bookmarkEnd w:id="91"/>
      <w:r>
        <w:rPr>
          <w:rFonts w:ascii="Times New Roman" w:hAnsi="Times New Roman" w:eastAsia="宋体" w:cs="Times New Roman"/>
          <w:b/>
          <w:color w:val="auto"/>
          <w:kern w:val="2"/>
          <w:szCs w:val="24"/>
        </w:rPr>
        <w:t>工艺流程和产排污环节</w:t>
      </w:r>
      <w:bookmarkEnd w:id="92"/>
      <w:bookmarkEnd w:id="93"/>
    </w:p>
    <w:p w14:paraId="53BE0622">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sz w:val="24"/>
          <w:szCs w:val="24"/>
        </w:rPr>
      </w:pPr>
      <w:bookmarkStart w:id="94" w:name="_Toc14632"/>
      <w:bookmarkStart w:id="95" w:name="_Toc520988560"/>
      <w:bookmarkStart w:id="96" w:name="_Toc513474963"/>
      <w:r>
        <w:rPr>
          <w:rFonts w:hint="eastAsia"/>
          <w:sz w:val="24"/>
          <w:szCs w:val="24"/>
          <w:lang w:eastAsia="zh-CN"/>
        </w:rPr>
        <w:t>项目</w:t>
      </w:r>
      <w:r>
        <w:rPr>
          <w:sz w:val="24"/>
          <w:szCs w:val="24"/>
        </w:rPr>
        <w:t>具体</w:t>
      </w:r>
      <w:r>
        <w:rPr>
          <w:rFonts w:hint="eastAsia"/>
          <w:sz w:val="24"/>
          <w:szCs w:val="24"/>
          <w:lang w:val="en-US" w:eastAsia="zh-CN"/>
        </w:rPr>
        <w:t>生产工艺</w:t>
      </w:r>
      <w:r>
        <w:rPr>
          <w:sz w:val="24"/>
          <w:szCs w:val="24"/>
        </w:rPr>
        <w:t>流程及</w:t>
      </w:r>
      <w:r>
        <w:rPr>
          <w:rFonts w:hint="eastAsia"/>
          <w:sz w:val="24"/>
          <w:szCs w:val="24"/>
          <w:lang w:eastAsia="zh-CN"/>
        </w:rPr>
        <w:t>其生</w:t>
      </w:r>
      <w:r>
        <w:rPr>
          <w:sz w:val="24"/>
          <w:szCs w:val="24"/>
        </w:rPr>
        <w:t>产排污节点见下图。</w:t>
      </w:r>
      <w:bookmarkEnd w:id="94"/>
    </w:p>
    <w:p w14:paraId="115AC844">
      <w:pPr>
        <w:tabs>
          <w:tab w:val="left" w:pos="2940"/>
        </w:tabs>
        <w:jc w:val="center"/>
        <w:rPr>
          <w:color w:val="auto"/>
          <w:sz w:val="24"/>
        </w:rPr>
      </w:pPr>
      <w:r>
        <w:drawing>
          <wp:inline distT="0" distB="0" distL="114300" distR="114300">
            <wp:extent cx="5760085" cy="1822450"/>
            <wp:effectExtent l="0" t="0" r="12065" b="635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8"/>
                    <a:stretch>
                      <a:fillRect/>
                    </a:stretch>
                  </pic:blipFill>
                  <pic:spPr>
                    <a:xfrm>
                      <a:off x="0" y="0"/>
                      <a:ext cx="5760085" cy="1822450"/>
                    </a:xfrm>
                    <a:prstGeom prst="rect">
                      <a:avLst/>
                    </a:prstGeom>
                    <a:noFill/>
                    <a:ln>
                      <a:noFill/>
                    </a:ln>
                  </pic:spPr>
                </pic:pic>
              </a:graphicData>
            </a:graphic>
          </wp:inline>
        </w:drawing>
      </w:r>
    </w:p>
    <w:p w14:paraId="6643A440">
      <w:pPr>
        <w:bidi w:val="0"/>
        <w:rPr>
          <w:rFonts w:hint="default" w:ascii="Times New Roman" w:hAnsi="Times New Roman" w:eastAsia="宋体" w:cs="Times New Roman"/>
          <w:sz w:val="24"/>
          <w:szCs w:val="24"/>
        </w:rPr>
      </w:pPr>
      <w:bookmarkStart w:id="97" w:name="_Toc19208"/>
      <w:r>
        <w:rPr>
          <w:rFonts w:hint="default" w:ascii="Times New Roman" w:hAnsi="Times New Roman" w:eastAsia="宋体" w:cs="Times New Roman"/>
          <w:sz w:val="24"/>
          <w:szCs w:val="24"/>
        </w:rPr>
        <w:t>G:废气；S：固废；W：废水；N：噪声</w:t>
      </w:r>
      <w:bookmarkEnd w:id="97"/>
    </w:p>
    <w:p w14:paraId="40A54BF5">
      <w:pPr>
        <w:keepNext w:val="0"/>
        <w:keepLines w:val="0"/>
        <w:pageBreakBefore w:val="0"/>
        <w:widowControl w:val="0"/>
        <w:tabs>
          <w:tab w:val="left" w:pos="600"/>
        </w:tabs>
        <w:kinsoku/>
        <w:wordWrap/>
        <w:overflowPunct/>
        <w:topLinePunct w:val="0"/>
        <w:autoSpaceDE/>
        <w:autoSpaceDN/>
        <w:bidi w:val="0"/>
        <w:adjustRightInd/>
        <w:snapToGrid/>
        <w:spacing w:before="157" w:beforeLines="50" w:line="360" w:lineRule="auto"/>
        <w:ind w:firstLine="480" w:firstLineChars="200"/>
        <w:jc w:val="center"/>
        <w:textAlignment w:val="auto"/>
        <w:rPr>
          <w:rFonts w:hint="eastAsia"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图3</w:t>
      </w:r>
      <w:r>
        <w:rPr>
          <w:rFonts w:hint="eastAsia" w:cs="Times New Roman"/>
          <w:b/>
          <w:color w:val="auto"/>
          <w:sz w:val="24"/>
          <w:lang w:val="en-US" w:eastAsia="zh-CN"/>
        </w:rPr>
        <w:t>-3</w:t>
      </w:r>
      <w:r>
        <w:rPr>
          <w:rFonts w:hint="eastAsia" w:ascii="Times New Roman" w:hAnsi="Times New Roman" w:eastAsia="宋体" w:cs="Times New Roman"/>
          <w:b/>
          <w:color w:val="auto"/>
          <w:sz w:val="24"/>
          <w:lang w:val="en-US" w:eastAsia="zh-CN"/>
        </w:rPr>
        <w:t xml:space="preserve">  项目主要生产工艺流程及产排污节点图</w:t>
      </w:r>
    </w:p>
    <w:p w14:paraId="3DEF7267">
      <w:pPr>
        <w:adjustRightInd w:val="0"/>
        <w:snapToGrid w:val="0"/>
        <w:spacing w:line="360" w:lineRule="auto"/>
        <w:rPr>
          <w:b/>
          <w:bCs/>
          <w:color w:val="auto"/>
          <w:sz w:val="24"/>
        </w:rPr>
      </w:pPr>
      <w:r>
        <w:rPr>
          <w:b/>
          <w:bCs/>
          <w:color w:val="auto"/>
          <w:sz w:val="24"/>
        </w:rPr>
        <w:t>工艺流程简述：</w:t>
      </w:r>
    </w:p>
    <w:p w14:paraId="60C858C0">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98" w:name="_Toc978"/>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原料来源</w:t>
      </w:r>
      <w:bookmarkEnd w:id="98"/>
    </w:p>
    <w:p w14:paraId="7A2AFF47">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rPr>
      </w:pPr>
      <w:bookmarkStart w:id="99" w:name="_Toc21224"/>
      <w:r>
        <w:rPr>
          <w:rFonts w:hint="default" w:ascii="Times New Roman" w:hAnsi="Times New Roman" w:eastAsia="宋体" w:cs="Times New Roman"/>
          <w:sz w:val="24"/>
          <w:szCs w:val="24"/>
          <w:lang w:val="en-US" w:eastAsia="zh-CN"/>
        </w:rPr>
        <w:t>玻璃后盖半成品来源于原有项目B01车间半成品</w:t>
      </w:r>
      <w:r>
        <w:rPr>
          <w:rFonts w:hint="default" w:ascii="Times New Roman" w:hAnsi="Times New Roman" w:eastAsia="宋体" w:cs="Times New Roman"/>
          <w:sz w:val="24"/>
          <w:szCs w:val="24"/>
        </w:rPr>
        <w:t>。</w:t>
      </w:r>
      <w:bookmarkEnd w:id="99"/>
    </w:p>
    <w:p w14:paraId="1E56B57A">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00" w:name="_Toc27451"/>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凹面涂保护油</w:t>
      </w:r>
      <w:bookmarkEnd w:id="100"/>
    </w:p>
    <w:p w14:paraId="3C8117CF">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01" w:name="_Toc31667"/>
      <w:r>
        <w:rPr>
          <w:rFonts w:hint="default" w:ascii="Times New Roman" w:hAnsi="Times New Roman" w:eastAsia="宋体" w:cs="Times New Roman"/>
          <w:sz w:val="24"/>
          <w:szCs w:val="24"/>
          <w:lang w:val="en-US" w:eastAsia="zh-CN"/>
        </w:rPr>
        <w:t>将耐酸保护油墨采用保护油喷涂机均匀涂抹在3D玻璃凹面，保护产品背面，起到抗划伤的作用，并为后续AG蚀刻提供表面保护。</w:t>
      </w:r>
      <w:bookmarkEnd w:id="101"/>
    </w:p>
    <w:p w14:paraId="20EEDC60">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02" w:name="_Toc16229"/>
      <w:r>
        <w:rPr>
          <w:rFonts w:hint="default" w:ascii="Times New Roman" w:hAnsi="Times New Roman" w:eastAsia="宋体" w:cs="Times New Roman"/>
          <w:sz w:val="24"/>
          <w:szCs w:val="24"/>
          <w:lang w:val="en-US" w:eastAsia="zh-CN"/>
        </w:rPr>
        <w:t>此工序会产生G1-1油墨挥发废气、S1废油墨包装桶和N噪声。</w:t>
      </w:r>
      <w:bookmarkEnd w:id="102"/>
    </w:p>
    <w:p w14:paraId="0E34AE88">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03" w:name="_Toc20653"/>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烘烤</w:t>
      </w:r>
      <w:bookmarkEnd w:id="103"/>
    </w:p>
    <w:p w14:paraId="6163FF7E">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04" w:name="_Toc5290"/>
      <w:r>
        <w:rPr>
          <w:rFonts w:hint="default" w:ascii="Times New Roman" w:hAnsi="Times New Roman" w:eastAsia="宋体" w:cs="Times New Roman"/>
          <w:sz w:val="24"/>
          <w:szCs w:val="24"/>
          <w:lang w:val="en-US" w:eastAsia="zh-CN"/>
        </w:rPr>
        <w:t>采用立式烤箱对已涂保护油的工件进行烘烤，使保护油墨固化于工件表面，采用电加热，工作温度约120摄氏度，烘烤时间为5min。</w:t>
      </w:r>
      <w:bookmarkEnd w:id="104"/>
    </w:p>
    <w:p w14:paraId="7AEA7AD6">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05" w:name="_Toc31334"/>
      <w:r>
        <w:rPr>
          <w:rFonts w:hint="default" w:ascii="Times New Roman" w:hAnsi="Times New Roman" w:eastAsia="宋体" w:cs="Times New Roman"/>
          <w:sz w:val="24"/>
          <w:szCs w:val="24"/>
          <w:lang w:val="en-US" w:eastAsia="zh-CN"/>
        </w:rPr>
        <w:t>此工序会产生G1-2烘烤废气。</w:t>
      </w:r>
      <w:bookmarkEnd w:id="105"/>
    </w:p>
    <w:p w14:paraId="44ADAAFA">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06" w:name="_Toc10378"/>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凸面涂光刻胶</w:t>
      </w:r>
      <w:bookmarkEnd w:id="106"/>
    </w:p>
    <w:p w14:paraId="0A321F96">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07" w:name="_Toc25283"/>
      <w:r>
        <w:rPr>
          <w:rFonts w:hint="default" w:ascii="Times New Roman" w:hAnsi="Times New Roman" w:eastAsia="宋体" w:cs="Times New Roman"/>
          <w:sz w:val="24"/>
          <w:szCs w:val="24"/>
          <w:lang w:val="en-US" w:eastAsia="zh-CN"/>
        </w:rPr>
        <w:t>采用光刻胶喷涂机将专用光刻胶均匀涂抹在工件凸面，涂抹均匀后，采用立式烤箱对工件进行烘烤，采用电加热，工作温度约120摄氏度，烘烤时间为5min。</w:t>
      </w:r>
      <w:bookmarkEnd w:id="107"/>
    </w:p>
    <w:p w14:paraId="7D637682">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08" w:name="_Toc32280"/>
      <w:r>
        <w:rPr>
          <w:rFonts w:hint="default" w:ascii="Times New Roman" w:hAnsi="Times New Roman" w:eastAsia="宋体" w:cs="Times New Roman"/>
          <w:sz w:val="24"/>
          <w:szCs w:val="24"/>
          <w:lang w:val="en-US" w:eastAsia="zh-CN"/>
        </w:rPr>
        <w:t>此工序会产生G2光刻胶涂抹、S1废光刻胶桶及光刻废气G2。</w:t>
      </w:r>
      <w:bookmarkEnd w:id="108"/>
    </w:p>
    <w:p w14:paraId="08EF8F20">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09" w:name="_Toc17992"/>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黄光曝光</w:t>
      </w:r>
      <w:bookmarkEnd w:id="109"/>
    </w:p>
    <w:p w14:paraId="77A18671">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10" w:name="_Toc30364"/>
      <w:r>
        <w:rPr>
          <w:rFonts w:hint="default" w:ascii="Times New Roman" w:hAnsi="Times New Roman" w:eastAsia="宋体" w:cs="Times New Roman"/>
          <w:sz w:val="24"/>
          <w:szCs w:val="24"/>
          <w:lang w:val="en-US" w:eastAsia="zh-CN"/>
        </w:rPr>
        <w:t>采用黄光曝光机对涂抹光刻胶后的产品进行曝光，将工件放入光刻机中，然后使用遮罩来控制光照的位置和形状。光刻机会使用紫外线或其他光源照射光刻胶，使其在受到光的作用下发生化学反应。在曝光后，光刻胶的部分区域会发生化学变化，出现相应图形。</w:t>
      </w:r>
      <w:bookmarkEnd w:id="110"/>
    </w:p>
    <w:p w14:paraId="14E3BCC5">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11" w:name="_Toc1192"/>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val="en-US" w:eastAsia="zh-CN"/>
        </w:rPr>
        <w:t>显影</w:t>
      </w:r>
      <w:bookmarkEnd w:id="111"/>
    </w:p>
    <w:p w14:paraId="6997E938">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12" w:name="_Toc4187"/>
      <w:r>
        <w:rPr>
          <w:rFonts w:hint="default" w:ascii="Times New Roman" w:hAnsi="Times New Roman" w:eastAsia="宋体" w:cs="Times New Roman"/>
          <w:sz w:val="24"/>
          <w:szCs w:val="24"/>
          <w:lang w:val="en-US" w:eastAsia="zh-CN"/>
        </w:rPr>
        <w:t>将曝光后的工件置于显影液中，光刻胶在显影液中溶解，在光刻胶上形成三维图形。根据显影液MSDS，显影液主要成分为KOH、添加剂和水，其使用过程中可能产生极少量的有机废气。</w:t>
      </w:r>
      <w:bookmarkEnd w:id="112"/>
    </w:p>
    <w:p w14:paraId="014B8281">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13" w:name="_Toc21228"/>
      <w:r>
        <w:rPr>
          <w:rFonts w:hint="default" w:ascii="Times New Roman" w:hAnsi="Times New Roman" w:eastAsia="宋体" w:cs="Times New Roman"/>
          <w:sz w:val="24"/>
          <w:szCs w:val="24"/>
          <w:lang w:val="en-US" w:eastAsia="zh-CN"/>
        </w:rPr>
        <w:t>此工序会产生S3显影废液。</w:t>
      </w:r>
      <w:bookmarkEnd w:id="113"/>
    </w:p>
    <w:p w14:paraId="431EE569">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14" w:name="_Toc1200"/>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val="en-US" w:eastAsia="zh-CN"/>
        </w:rPr>
        <w:t>等离子清洗</w:t>
      </w:r>
      <w:bookmarkEnd w:id="114"/>
    </w:p>
    <w:p w14:paraId="4A1F8F6E">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15" w:name="_Toc17322"/>
      <w:r>
        <w:rPr>
          <w:rFonts w:hint="default" w:ascii="Times New Roman" w:hAnsi="Times New Roman" w:eastAsia="宋体" w:cs="Times New Roman"/>
          <w:sz w:val="24"/>
          <w:szCs w:val="24"/>
          <w:lang w:val="en-US" w:eastAsia="zh-CN"/>
        </w:rPr>
        <w:t>采用等离子清洗机对工件表面进行清洗。对气体施加足够的能量使之离化便成为等离子状态。等离子体的</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活性</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组分包括：离子、电子、原子、活性基团、激发态的核素（亚稳态）、光子等。等离子清洁机就是通过利用这些活性组分的性质来处理样品表面，从而实现清洁、涂覆等目的。</w:t>
      </w:r>
      <w:bookmarkEnd w:id="115"/>
    </w:p>
    <w:p w14:paraId="2E986094">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16" w:name="_Toc2010"/>
      <w:r>
        <w:rPr>
          <w:rFonts w:hint="default" w:ascii="Times New Roman" w:hAnsi="Times New Roman" w:eastAsia="宋体" w:cs="Times New Roman"/>
          <w:sz w:val="24"/>
          <w:szCs w:val="24"/>
          <w:lang w:val="en-US" w:eastAsia="zh-CN"/>
        </w:rPr>
        <w:t>此工序无污染物产生。</w:t>
      </w:r>
      <w:bookmarkEnd w:id="116"/>
    </w:p>
    <w:p w14:paraId="6C9A766D">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17" w:name="_Toc32293"/>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val="en-US" w:eastAsia="zh-CN"/>
        </w:rPr>
        <w:t>AG蚀刻</w:t>
      </w:r>
      <w:bookmarkEnd w:id="117"/>
    </w:p>
    <w:p w14:paraId="3428D337">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18" w:name="_Toc16414"/>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蒙砂液配置：在密闭罐内使用蒙砂粉和水按4</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1配置蒙砂液，待生产时经泵沿管打入蒙砂线中暂存池内。</w:t>
      </w:r>
      <w:bookmarkEnd w:id="118"/>
    </w:p>
    <w:p w14:paraId="0CCF93F4">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19" w:name="_Toc854"/>
      <w:r>
        <w:rPr>
          <w:rFonts w:hint="default" w:ascii="Times New Roman" w:hAnsi="Times New Roman" w:eastAsia="宋体" w:cs="Times New Roman"/>
          <w:sz w:val="24"/>
          <w:szCs w:val="24"/>
          <w:lang w:val="en-US" w:eastAsia="zh-CN"/>
        </w:rPr>
        <w:t>其反应化学方程式为：</w:t>
      </w:r>
      <w:bookmarkEnd w:id="119"/>
    </w:p>
    <w:p w14:paraId="76BC10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lang w:val="en-US" w:eastAsia="zh-CN"/>
        </w:rPr>
      </w:pPr>
      <w:bookmarkStart w:id="120" w:name="_Toc30521"/>
      <w:r>
        <w:rPr>
          <w:rFonts w:hint="default" w:ascii="Times New Roman" w:hAnsi="Times New Roman" w:eastAsia="宋体" w:cs="Times New Roman"/>
          <w:sz w:val="24"/>
          <w:szCs w:val="24"/>
        </w:rPr>
        <w:drawing>
          <wp:inline distT="0" distB="0" distL="114300" distR="114300">
            <wp:extent cx="1714500" cy="542925"/>
            <wp:effectExtent l="0" t="0" r="0" b="952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9"/>
                    <a:stretch>
                      <a:fillRect/>
                    </a:stretch>
                  </pic:blipFill>
                  <pic:spPr>
                    <a:xfrm>
                      <a:off x="0" y="0"/>
                      <a:ext cx="1714500" cy="542925"/>
                    </a:xfrm>
                    <a:prstGeom prst="rect">
                      <a:avLst/>
                    </a:prstGeom>
                    <a:noFill/>
                    <a:ln>
                      <a:noFill/>
                    </a:ln>
                  </pic:spPr>
                </pic:pic>
              </a:graphicData>
            </a:graphic>
          </wp:inline>
        </w:drawing>
      </w:r>
      <w:bookmarkEnd w:id="120"/>
    </w:p>
    <w:p w14:paraId="0C4DDF07">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21" w:name="_Toc6172"/>
      <w:r>
        <w:rPr>
          <w:rFonts w:hint="default" w:ascii="Times New Roman" w:hAnsi="Times New Roman" w:eastAsia="宋体" w:cs="Times New Roman"/>
          <w:sz w:val="24"/>
          <w:szCs w:val="24"/>
          <w:lang w:val="en-US" w:eastAsia="zh-CN"/>
        </w:rPr>
        <w:t>此过程会产生G3蒙砂废气。</w:t>
      </w:r>
      <w:bookmarkEnd w:id="121"/>
    </w:p>
    <w:p w14:paraId="2F6F935A">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22" w:name="_Toc24637"/>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蒙砂：蒙砂工序主要通过浸泡以蒙砂液对其表面进行腐蚀的生产工艺。</w:t>
      </w:r>
      <w:bookmarkEnd w:id="122"/>
    </w:p>
    <w:p w14:paraId="20A5C646">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23" w:name="_Toc26162"/>
      <w:r>
        <w:rPr>
          <w:rFonts w:hint="default" w:ascii="Times New Roman" w:hAnsi="Times New Roman" w:eastAsia="宋体" w:cs="Times New Roman"/>
          <w:sz w:val="24"/>
          <w:szCs w:val="24"/>
          <w:lang w:val="en-US" w:eastAsia="zh-CN"/>
        </w:rPr>
        <w:t>其反应化学方程式为：</w:t>
      </w:r>
      <w:bookmarkEnd w:id="123"/>
    </w:p>
    <w:p w14:paraId="04C043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lang w:val="en-US" w:eastAsia="zh-CN"/>
        </w:rPr>
      </w:pPr>
      <w:bookmarkStart w:id="124" w:name="_Toc23865"/>
      <w:r>
        <w:rPr>
          <w:rFonts w:hint="default" w:ascii="Times New Roman" w:hAnsi="Times New Roman" w:eastAsia="宋体" w:cs="Times New Roman"/>
          <w:sz w:val="24"/>
          <w:szCs w:val="24"/>
        </w:rPr>
        <w:drawing>
          <wp:inline distT="0" distB="0" distL="114300" distR="114300">
            <wp:extent cx="1962150" cy="1762125"/>
            <wp:effectExtent l="0" t="0" r="0" b="952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0"/>
                    <a:stretch>
                      <a:fillRect/>
                    </a:stretch>
                  </pic:blipFill>
                  <pic:spPr>
                    <a:xfrm>
                      <a:off x="0" y="0"/>
                      <a:ext cx="1962150" cy="1762125"/>
                    </a:xfrm>
                    <a:prstGeom prst="rect">
                      <a:avLst/>
                    </a:prstGeom>
                    <a:noFill/>
                    <a:ln>
                      <a:noFill/>
                    </a:ln>
                  </pic:spPr>
                </pic:pic>
              </a:graphicData>
            </a:graphic>
          </wp:inline>
        </w:drawing>
      </w:r>
      <w:bookmarkEnd w:id="124"/>
    </w:p>
    <w:p w14:paraId="79EEC6CB">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25" w:name="_Toc12703"/>
      <w:r>
        <w:rPr>
          <w:rFonts w:hint="default" w:ascii="Times New Roman" w:hAnsi="Times New Roman" w:eastAsia="宋体" w:cs="Times New Roman"/>
          <w:sz w:val="24"/>
          <w:szCs w:val="24"/>
          <w:lang w:val="en-US" w:eastAsia="zh-CN"/>
        </w:rPr>
        <w:t>此工序会产生G3蒙砂废气，S4蚀刻线废槽渣和W1蒙砂废水。</w:t>
      </w:r>
      <w:bookmarkEnd w:id="125"/>
    </w:p>
    <w:p w14:paraId="7C7D951C">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26" w:name="_Toc19309"/>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化抛蚀刻</w:t>
      </w:r>
      <w:bookmarkEnd w:id="126"/>
    </w:p>
    <w:p w14:paraId="24CE77E3">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27" w:name="_Toc11951"/>
      <w:r>
        <w:rPr>
          <w:rFonts w:hint="default" w:ascii="Times New Roman" w:hAnsi="Times New Roman" w:eastAsia="宋体" w:cs="Times New Roman"/>
          <w:sz w:val="24"/>
          <w:szCs w:val="24"/>
          <w:lang w:val="en-US" w:eastAsia="zh-CN"/>
        </w:rPr>
        <w:t>蒙砂后的玻璃送入化抛车间内的化抛蚀刻槽，化抛蚀刻工序是利用酸的腐蚀性对玻璃表面进行化学腐蚀抛光。</w:t>
      </w:r>
      <w:bookmarkEnd w:id="127"/>
    </w:p>
    <w:p w14:paraId="26E67EE4">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28" w:name="_Toc20953"/>
      <w:r>
        <w:rPr>
          <w:rFonts w:hint="default" w:ascii="Times New Roman" w:hAnsi="Times New Roman" w:eastAsia="宋体" w:cs="Times New Roman"/>
          <w:sz w:val="24"/>
          <w:szCs w:val="24"/>
          <w:lang w:val="en-US" w:eastAsia="zh-CN"/>
        </w:rPr>
        <w:t>此工序会产生G4化抛废气和W2化抛废水。</w:t>
      </w:r>
      <w:bookmarkEnd w:id="128"/>
    </w:p>
    <w:p w14:paraId="3F8CDF94">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29" w:name="_Toc9404"/>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val="en-US" w:eastAsia="zh-CN"/>
        </w:rPr>
        <w:t>退油</w:t>
      </w:r>
      <w:bookmarkEnd w:id="129"/>
    </w:p>
    <w:p w14:paraId="29376DDC">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30" w:name="_Toc19803"/>
      <w:r>
        <w:rPr>
          <w:rFonts w:hint="default" w:ascii="Times New Roman" w:hAnsi="Times New Roman" w:eastAsia="宋体" w:cs="Times New Roman"/>
          <w:sz w:val="24"/>
          <w:szCs w:val="24"/>
          <w:lang w:val="en-US" w:eastAsia="zh-CN"/>
        </w:rPr>
        <w:t>采用氢氧化钠溶液对工件表面进行退油，去除工件表面的酸性物质。</w:t>
      </w:r>
      <w:bookmarkEnd w:id="130"/>
      <w:bookmarkStart w:id="131" w:name="_Toc11353"/>
      <w:r>
        <w:rPr>
          <w:rFonts w:hint="default" w:ascii="Times New Roman" w:hAnsi="Times New Roman" w:eastAsia="宋体" w:cs="Times New Roman"/>
          <w:sz w:val="24"/>
          <w:szCs w:val="24"/>
          <w:lang w:val="en-US" w:eastAsia="zh-CN"/>
        </w:rPr>
        <w:t>退油槽内氢氧化钠溶液定期补充，每天更换一次。</w:t>
      </w:r>
      <w:bookmarkEnd w:id="131"/>
    </w:p>
    <w:p w14:paraId="4FF2B4E0">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32" w:name="_Toc3778"/>
      <w:r>
        <w:rPr>
          <w:rFonts w:hint="default" w:ascii="Times New Roman" w:hAnsi="Times New Roman" w:eastAsia="宋体" w:cs="Times New Roman"/>
          <w:sz w:val="24"/>
          <w:szCs w:val="24"/>
          <w:lang w:val="en-US" w:eastAsia="zh-CN"/>
        </w:rPr>
        <w:t>此工序会产生S5退油废槽液。</w:t>
      </w:r>
      <w:bookmarkEnd w:id="132"/>
    </w:p>
    <w:p w14:paraId="0CD50FCF">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33" w:name="_Toc2959"/>
      <w:r>
        <w:rPr>
          <w:rFonts w:hint="default" w:ascii="Times New Roman" w:hAnsi="Times New Roman" w:eastAsia="宋体" w:cs="Times New Roman"/>
          <w:sz w:val="24"/>
          <w:szCs w:val="24"/>
          <w:lang w:val="en-US" w:eastAsia="zh-CN"/>
        </w:rPr>
        <w:t>（10）清洗烘干</w:t>
      </w:r>
      <w:bookmarkEnd w:id="133"/>
    </w:p>
    <w:p w14:paraId="3D6A4C17">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34" w:name="_Toc640"/>
      <w:r>
        <w:rPr>
          <w:rFonts w:hint="default" w:ascii="Times New Roman" w:hAnsi="Times New Roman" w:eastAsia="宋体" w:cs="Times New Roman"/>
          <w:sz w:val="24"/>
          <w:szCs w:val="24"/>
          <w:lang w:val="en-US" w:eastAsia="zh-CN"/>
        </w:rPr>
        <w:t>采用超声波清洗机在常温条件下对退油后的工件表面进行清洗，清洗后吹干待用，此工序中清洗机使用纯水。</w:t>
      </w:r>
      <w:bookmarkEnd w:id="134"/>
    </w:p>
    <w:p w14:paraId="169C9BAC">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35" w:name="_Toc2385"/>
      <w:r>
        <w:rPr>
          <w:rFonts w:hint="default" w:ascii="Times New Roman" w:hAnsi="Times New Roman" w:eastAsia="宋体" w:cs="Times New Roman"/>
          <w:sz w:val="24"/>
          <w:szCs w:val="24"/>
          <w:lang w:val="en-US" w:eastAsia="zh-CN"/>
        </w:rPr>
        <w:t>此工序会产生W3清洗废水。</w:t>
      </w:r>
      <w:bookmarkEnd w:id="135"/>
    </w:p>
    <w:p w14:paraId="2D9163A4">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36" w:name="_Toc22241"/>
      <w:r>
        <w:rPr>
          <w:rFonts w:hint="default" w:ascii="Times New Roman" w:hAnsi="Times New Roman" w:eastAsia="宋体" w:cs="Times New Roman"/>
          <w:sz w:val="24"/>
          <w:szCs w:val="24"/>
          <w:lang w:val="en-US" w:eastAsia="zh-CN"/>
        </w:rPr>
        <w:t>（11）检验</w:t>
      </w:r>
      <w:bookmarkEnd w:id="136"/>
    </w:p>
    <w:p w14:paraId="1ADA594A">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37" w:name="_Toc6488"/>
      <w:r>
        <w:rPr>
          <w:rFonts w:hint="default" w:ascii="Times New Roman" w:hAnsi="Times New Roman" w:eastAsia="宋体" w:cs="Times New Roman"/>
          <w:sz w:val="24"/>
          <w:szCs w:val="24"/>
          <w:lang w:val="en-US" w:eastAsia="zh-CN"/>
        </w:rPr>
        <w:t>清洗后的玻璃产品进入检片区进行检查，主要采用灯检、粗糙度仪、透过率仪、雾度仪、光泽度仪等仪器进行检测，合格产品进入下一道工序。</w:t>
      </w:r>
      <w:bookmarkEnd w:id="137"/>
    </w:p>
    <w:p w14:paraId="29A44892">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38" w:name="_Toc7403"/>
      <w:r>
        <w:rPr>
          <w:rFonts w:hint="default" w:ascii="Times New Roman" w:hAnsi="Times New Roman" w:eastAsia="宋体" w:cs="Times New Roman"/>
          <w:sz w:val="24"/>
          <w:szCs w:val="24"/>
          <w:lang w:val="en-US" w:eastAsia="zh-CN"/>
        </w:rPr>
        <w:t>此工序会产生S6不合格件。</w:t>
      </w:r>
      <w:bookmarkEnd w:id="138"/>
    </w:p>
    <w:p w14:paraId="596E2403">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39" w:name="_Toc3069"/>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lang w:val="en-US" w:eastAsia="zh-CN"/>
        </w:rPr>
        <w:t>钢化、蒸镀</w:t>
      </w:r>
      <w:bookmarkEnd w:id="139"/>
    </w:p>
    <w:p w14:paraId="31390C44">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40" w:name="_Toc342"/>
      <w:r>
        <w:rPr>
          <w:rFonts w:hint="default" w:ascii="Times New Roman" w:hAnsi="Times New Roman" w:eastAsia="宋体" w:cs="Times New Roman"/>
          <w:sz w:val="24"/>
          <w:szCs w:val="24"/>
          <w:lang w:val="en-US" w:eastAsia="zh-CN"/>
        </w:rPr>
        <w:t>此工序在B01厂房中进行，利用B01已建生产线实施。</w:t>
      </w:r>
      <w:bookmarkEnd w:id="140"/>
    </w:p>
    <w:p w14:paraId="5B3ADC76">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bookmarkStart w:id="141" w:name="_Toc2512"/>
      <w:r>
        <w:rPr>
          <w:rFonts w:hint="default" w:ascii="Times New Roman" w:hAnsi="Times New Roman" w:eastAsia="宋体" w:cs="Times New Roman"/>
          <w:sz w:val="24"/>
          <w:szCs w:val="24"/>
          <w:lang w:val="en-US" w:eastAsia="zh-CN"/>
        </w:rPr>
        <w:t>（13）装配后入库</w:t>
      </w:r>
      <w:bookmarkEnd w:id="141"/>
    </w:p>
    <w:p w14:paraId="6C65F686">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eastAsia" w:ascii="Times New Roman" w:hAnsi="Times New Roman" w:eastAsia="宋体" w:cs="Times New Roman"/>
          <w:bCs/>
          <w:color w:val="auto"/>
          <w:lang w:val="en-US" w:eastAsia="zh-CN"/>
        </w:rPr>
      </w:pPr>
      <w:bookmarkStart w:id="142" w:name="_Toc26177"/>
      <w:r>
        <w:rPr>
          <w:rFonts w:hint="default" w:ascii="Times New Roman" w:hAnsi="Times New Roman" w:eastAsia="宋体" w:cs="Times New Roman"/>
          <w:sz w:val="24"/>
          <w:szCs w:val="24"/>
          <w:lang w:val="en-US" w:eastAsia="zh-CN"/>
        </w:rPr>
        <w:t>采用专用的电池盖背胶组装线、Deco用户面组装线、Deco系统面组装线点胶组装线、镜片组装线将需要装配的配件装配至后盖上，形成产品。</w:t>
      </w:r>
      <w:bookmarkEnd w:id="142"/>
    </w:p>
    <w:p w14:paraId="41C121C8">
      <w:pPr>
        <w:widowControl w:val="0"/>
        <w:numPr>
          <w:ilvl w:val="0"/>
          <w:numId w:val="0"/>
        </w:numPr>
        <w:tabs>
          <w:tab w:val="left" w:pos="612"/>
        </w:tabs>
        <w:spacing w:line="360" w:lineRule="auto"/>
        <w:contextualSpacing/>
        <w:jc w:val="both"/>
        <w:outlineLvl w:val="1"/>
        <w:rPr>
          <w:rFonts w:hint="eastAsia" w:ascii="Times New Roman" w:hAnsi="Times New Roman" w:eastAsia="宋体" w:cs="Times New Roman"/>
          <w:b/>
          <w:bCs w:val="0"/>
          <w:color w:val="auto"/>
          <w:sz w:val="24"/>
          <w:lang w:val="en-US" w:eastAsia="zh-CN"/>
        </w:rPr>
        <w:sectPr>
          <w:pgSz w:w="11906" w:h="16838"/>
          <w:pgMar w:top="1440" w:right="1440" w:bottom="1440" w:left="1440" w:header="851" w:footer="992" w:gutter="0"/>
          <w:cols w:space="720" w:num="1"/>
          <w:docGrid w:type="linesAndChars" w:linePitch="312" w:charSpace="0"/>
        </w:sectPr>
      </w:pPr>
      <w:bookmarkStart w:id="143" w:name="_Toc8446"/>
      <w:bookmarkStart w:id="144" w:name="_Toc1201"/>
      <w:bookmarkStart w:id="145" w:name="_Toc361"/>
      <w:r>
        <w:rPr>
          <w:rFonts w:hint="eastAsia" w:cs="Times New Roman"/>
          <w:b/>
          <w:bCs w:val="0"/>
          <w:color w:val="auto"/>
          <w:sz w:val="24"/>
          <w:lang w:val="en-US" w:eastAsia="zh-CN"/>
        </w:rPr>
        <w:t>3.5.2</w:t>
      </w:r>
      <w:r>
        <w:rPr>
          <w:rFonts w:hint="eastAsia" w:ascii="Times New Roman" w:hAnsi="Times New Roman" w:eastAsia="宋体" w:cs="Times New Roman"/>
          <w:b/>
          <w:bCs w:val="0"/>
          <w:color w:val="auto"/>
          <w:sz w:val="24"/>
          <w:lang w:val="en-US" w:eastAsia="zh-CN"/>
        </w:rPr>
        <w:t>组装生产线工艺流程及产污</w:t>
      </w:r>
      <w:r>
        <w:rPr>
          <w:b/>
          <w:bCs/>
          <w:color w:val="auto"/>
          <w:sz w:val="24"/>
        </w:rPr>
        <w:t>环节分析</w:t>
      </w:r>
      <w:bookmarkEnd w:id="143"/>
      <w:bookmarkEnd w:id="144"/>
      <w:bookmarkEnd w:id="145"/>
    </w:p>
    <w:p w14:paraId="51254AAF">
      <w:pPr>
        <w:rPr>
          <w:rFonts w:hint="default"/>
          <w:lang w:val="en-US" w:eastAsia="zh-CN"/>
        </w:rPr>
      </w:pPr>
    </w:p>
    <w:p w14:paraId="5ED0F180">
      <w:pPr>
        <w:bidi w:val="0"/>
      </w:pPr>
      <w:bookmarkStart w:id="146" w:name="_Toc11149"/>
      <w:r>
        <w:drawing>
          <wp:inline distT="0" distB="0" distL="114300" distR="114300">
            <wp:extent cx="8998585" cy="3980180"/>
            <wp:effectExtent l="0" t="0" r="12065" b="127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1"/>
                    <a:stretch>
                      <a:fillRect/>
                    </a:stretch>
                  </pic:blipFill>
                  <pic:spPr>
                    <a:xfrm>
                      <a:off x="0" y="0"/>
                      <a:ext cx="8998585" cy="3980180"/>
                    </a:xfrm>
                    <a:prstGeom prst="rect">
                      <a:avLst/>
                    </a:prstGeom>
                    <a:noFill/>
                    <a:ln>
                      <a:noFill/>
                    </a:ln>
                  </pic:spPr>
                </pic:pic>
              </a:graphicData>
            </a:graphic>
          </wp:inline>
        </w:drawing>
      </w:r>
      <w:bookmarkEnd w:id="146"/>
    </w:p>
    <w:p w14:paraId="64B3370A">
      <w:pPr>
        <w:bidi w:val="0"/>
        <w:jc w:val="center"/>
        <w:rPr>
          <w:rFonts w:hint="default" w:ascii="Times New Roman" w:hAnsi="Times New Roman" w:eastAsia="宋体" w:cs="Times New Roman"/>
          <w:b/>
          <w:bCs/>
          <w:sz w:val="24"/>
          <w:szCs w:val="24"/>
        </w:rPr>
      </w:pPr>
      <w:bookmarkStart w:id="147" w:name="_Toc6846"/>
      <w:r>
        <w:rPr>
          <w:rFonts w:hint="default" w:ascii="Times New Roman" w:hAnsi="Times New Roman" w:eastAsia="宋体" w:cs="Times New Roman"/>
          <w:b/>
          <w:bCs/>
          <w:sz w:val="24"/>
          <w:szCs w:val="24"/>
        </w:rPr>
        <w:t>图</w:t>
      </w:r>
      <w:r>
        <w:rPr>
          <w:rFonts w:hint="default" w:ascii="Times New Roman" w:hAnsi="Times New Roman" w:eastAsia="宋体" w:cs="Times New Roman"/>
          <w:b/>
          <w:bCs/>
          <w:sz w:val="24"/>
          <w:szCs w:val="24"/>
          <w:lang w:val="en-US" w:eastAsia="zh-CN"/>
        </w:rPr>
        <w:t>3-4  项目装配工艺</w:t>
      </w:r>
      <w:r>
        <w:rPr>
          <w:rFonts w:hint="default" w:ascii="Times New Roman" w:hAnsi="Times New Roman" w:eastAsia="宋体" w:cs="Times New Roman"/>
          <w:b/>
          <w:bCs/>
          <w:sz w:val="24"/>
          <w:szCs w:val="24"/>
        </w:rPr>
        <w:t>流程及产排污节点图</w:t>
      </w:r>
      <w:bookmarkEnd w:id="147"/>
    </w:p>
    <w:p w14:paraId="09CB00A8">
      <w:pPr>
        <w:pStyle w:val="4"/>
        <w:rPr>
          <w:b/>
          <w:color w:val="auto"/>
          <w:sz w:val="24"/>
        </w:rPr>
      </w:pPr>
    </w:p>
    <w:p w14:paraId="7CB281A1">
      <w:pPr>
        <w:rPr>
          <w:b/>
          <w:color w:val="auto"/>
          <w:sz w:val="24"/>
        </w:rPr>
        <w:sectPr>
          <w:pgSz w:w="16838" w:h="11906" w:orient="landscape"/>
          <w:pgMar w:top="1440" w:right="1440" w:bottom="1440" w:left="1440" w:header="851" w:footer="992" w:gutter="0"/>
          <w:cols w:space="720" w:num="1"/>
          <w:docGrid w:type="linesAndChars" w:linePitch="312" w:charSpace="0"/>
        </w:sectPr>
      </w:pPr>
    </w:p>
    <w:p w14:paraId="18ECE251">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eastAsia" w:ascii="Times New Roman" w:hAnsi="Times New Roman" w:eastAsia="宋体" w:cs="Times New Roman"/>
          <w:bCs/>
          <w:color w:val="auto"/>
          <w:lang w:val="en-US" w:eastAsia="zh-CN"/>
        </w:rPr>
      </w:pPr>
      <w:bookmarkStart w:id="148" w:name="_Toc8962"/>
      <w:r>
        <w:rPr>
          <w:rFonts w:hint="default" w:ascii="Times New Roman" w:hAnsi="Times New Roman" w:eastAsia="宋体" w:cs="Times New Roman"/>
          <w:sz w:val="24"/>
          <w:szCs w:val="24"/>
          <w:lang w:val="en-US" w:eastAsia="zh-CN"/>
        </w:rPr>
        <w:t>装配主要工艺为采用环保胶进行各组件粘接组装。此装配过程中涉及点胶工序，会产生G5装配废气和废化学品包装物S8。</w:t>
      </w:r>
      <w:bookmarkEnd w:id="148"/>
    </w:p>
    <w:p w14:paraId="585D1479">
      <w:pPr>
        <w:widowControl w:val="0"/>
        <w:numPr>
          <w:ilvl w:val="0"/>
          <w:numId w:val="0"/>
        </w:numPr>
        <w:tabs>
          <w:tab w:val="left" w:pos="612"/>
        </w:tabs>
        <w:spacing w:line="360" w:lineRule="auto"/>
        <w:contextualSpacing/>
        <w:jc w:val="both"/>
        <w:outlineLvl w:val="1"/>
        <w:rPr>
          <w:rFonts w:hint="eastAsia" w:ascii="Times New Roman" w:hAnsi="Times New Roman" w:eastAsia="宋体" w:cs="Times New Roman"/>
          <w:b/>
          <w:bCs w:val="0"/>
          <w:color w:val="auto"/>
          <w:sz w:val="24"/>
          <w:lang w:val="en-US" w:eastAsia="zh-CN"/>
        </w:rPr>
      </w:pPr>
      <w:bookmarkStart w:id="149" w:name="_Toc23487"/>
      <w:r>
        <w:rPr>
          <w:rFonts w:hint="eastAsia" w:cs="Times New Roman"/>
          <w:b/>
          <w:bCs w:val="0"/>
          <w:color w:val="auto"/>
          <w:sz w:val="24"/>
          <w:lang w:val="en-US" w:eastAsia="zh-CN"/>
        </w:rPr>
        <w:t>3.5.3</w:t>
      </w:r>
      <w:r>
        <w:rPr>
          <w:rFonts w:hint="eastAsia" w:ascii="Times New Roman" w:hAnsi="Times New Roman" w:eastAsia="宋体" w:cs="Times New Roman"/>
          <w:b/>
          <w:bCs w:val="0"/>
          <w:color w:val="auto"/>
          <w:sz w:val="24"/>
          <w:lang w:val="en-US" w:eastAsia="zh-CN"/>
        </w:rPr>
        <w:t>其他产污环节</w:t>
      </w:r>
      <w:bookmarkEnd w:id="149"/>
    </w:p>
    <w:p w14:paraId="2DAB1BB3">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（1）厂区生产过程将会产生少量的普通废包装物S7、化学品包装物S8和废配件S9。</w:t>
      </w:r>
    </w:p>
    <w:p w14:paraId="616674FD">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（2）废气治理会产生废活性炭S10和喷淋塔废水W5。</w:t>
      </w:r>
    </w:p>
    <w:p w14:paraId="10D212EE">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（3）员工生活会产生生活污水W6、生活垃圾S11。</w:t>
      </w:r>
    </w:p>
    <w:p w14:paraId="714878CC">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以下为项目产污一览表：</w:t>
      </w:r>
    </w:p>
    <w:p w14:paraId="4428C4C0">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eastAsia="宋体"/>
          <w:b/>
          <w:color w:val="FF0000"/>
          <w:kern w:val="0"/>
          <w:sz w:val="24"/>
          <w:szCs w:val="24"/>
          <w:highlight w:val="none"/>
          <w:lang w:eastAsia="zh-CN"/>
        </w:rPr>
      </w:pPr>
      <w:r>
        <w:rPr>
          <w:b/>
          <w:color w:val="auto"/>
          <w:kern w:val="0"/>
          <w:sz w:val="24"/>
          <w:szCs w:val="24"/>
          <w:highlight w:val="none"/>
        </w:rPr>
        <w:t>表</w:t>
      </w:r>
      <w:r>
        <w:rPr>
          <w:rFonts w:hint="eastAsia"/>
          <w:b/>
          <w:color w:val="auto"/>
          <w:kern w:val="0"/>
          <w:sz w:val="24"/>
          <w:szCs w:val="24"/>
          <w:highlight w:val="none"/>
          <w:lang w:val="en-US" w:eastAsia="zh-CN"/>
        </w:rPr>
        <w:t>3-9</w:t>
      </w:r>
      <w:r>
        <w:rPr>
          <w:b/>
          <w:color w:val="auto"/>
          <w:kern w:val="0"/>
          <w:sz w:val="24"/>
          <w:szCs w:val="24"/>
          <w:highlight w:val="none"/>
        </w:rPr>
        <w:t xml:space="preserve">  项目产污环节汇总一览表</w:t>
      </w:r>
    </w:p>
    <w:tbl>
      <w:tblPr>
        <w:tblStyle w:val="35"/>
        <w:tblW w:w="494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1561"/>
        <w:gridCol w:w="1245"/>
        <w:gridCol w:w="1499"/>
        <w:gridCol w:w="1846"/>
        <w:gridCol w:w="2375"/>
      </w:tblGrid>
      <w:tr w14:paraId="057A2B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noWrap w:val="0"/>
            <w:vAlign w:val="center"/>
          </w:tcPr>
          <w:p w14:paraId="097E1540">
            <w:pPr>
              <w:tabs>
                <w:tab w:val="left" w:pos="2694"/>
              </w:tabs>
              <w:jc w:val="center"/>
              <w:rPr>
                <w:bCs/>
                <w:color w:val="auto"/>
                <w:kern w:val="0"/>
                <w:szCs w:val="21"/>
              </w:rPr>
            </w:pPr>
            <w:r>
              <w:rPr>
                <w:rFonts w:hint="eastAsia"/>
                <w:color w:val="auto"/>
                <w:szCs w:val="21"/>
              </w:rPr>
              <w:t>类别</w:t>
            </w:r>
          </w:p>
        </w:tc>
        <w:tc>
          <w:tcPr>
            <w:tcW w:w="854" w:type="pct"/>
            <w:noWrap w:val="0"/>
            <w:vAlign w:val="center"/>
          </w:tcPr>
          <w:p w14:paraId="7C588EE7">
            <w:pPr>
              <w:tabs>
                <w:tab w:val="left" w:pos="2694"/>
              </w:tabs>
              <w:jc w:val="center"/>
              <w:rPr>
                <w:bCs/>
                <w:color w:val="auto"/>
                <w:kern w:val="0"/>
                <w:szCs w:val="21"/>
              </w:rPr>
            </w:pPr>
            <w:r>
              <w:rPr>
                <w:rFonts w:hint="eastAsia"/>
                <w:color w:val="auto"/>
                <w:szCs w:val="21"/>
              </w:rPr>
              <w:t>编号</w:t>
            </w:r>
          </w:p>
        </w:tc>
        <w:tc>
          <w:tcPr>
            <w:tcW w:w="681" w:type="pct"/>
            <w:noWrap w:val="0"/>
            <w:vAlign w:val="center"/>
          </w:tcPr>
          <w:p w14:paraId="29F4DBA4">
            <w:pPr>
              <w:tabs>
                <w:tab w:val="left" w:pos="2694"/>
              </w:tabs>
              <w:jc w:val="center"/>
              <w:rPr>
                <w:bCs/>
                <w:color w:val="auto"/>
                <w:kern w:val="0"/>
                <w:szCs w:val="21"/>
              </w:rPr>
            </w:pPr>
            <w:r>
              <w:rPr>
                <w:rFonts w:hint="eastAsia"/>
                <w:color w:val="auto"/>
                <w:szCs w:val="21"/>
                <w:lang w:val="en-US" w:eastAsia="zh-CN"/>
              </w:rPr>
              <w:t>生产环节</w:t>
            </w:r>
          </w:p>
        </w:tc>
        <w:tc>
          <w:tcPr>
            <w:tcW w:w="820" w:type="pct"/>
            <w:noWrap w:val="0"/>
            <w:vAlign w:val="center"/>
          </w:tcPr>
          <w:p w14:paraId="229A521F">
            <w:pPr>
              <w:tabs>
                <w:tab w:val="left" w:pos="2694"/>
              </w:tabs>
              <w:jc w:val="center"/>
              <w:rPr>
                <w:bCs/>
                <w:color w:val="auto"/>
                <w:kern w:val="0"/>
                <w:szCs w:val="21"/>
              </w:rPr>
            </w:pPr>
            <w:r>
              <w:rPr>
                <w:rFonts w:hint="eastAsia"/>
                <w:color w:val="auto"/>
                <w:szCs w:val="21"/>
              </w:rPr>
              <w:t>排污节点</w:t>
            </w:r>
          </w:p>
        </w:tc>
        <w:tc>
          <w:tcPr>
            <w:tcW w:w="1010" w:type="pct"/>
            <w:noWrap w:val="0"/>
            <w:vAlign w:val="center"/>
          </w:tcPr>
          <w:p w14:paraId="5328D48A">
            <w:pPr>
              <w:tabs>
                <w:tab w:val="left" w:pos="2694"/>
              </w:tabs>
              <w:jc w:val="center"/>
              <w:rPr>
                <w:bCs/>
                <w:color w:val="auto"/>
                <w:kern w:val="0"/>
                <w:szCs w:val="21"/>
              </w:rPr>
            </w:pPr>
            <w:r>
              <w:rPr>
                <w:rFonts w:hint="eastAsia"/>
                <w:color w:val="auto"/>
                <w:szCs w:val="21"/>
              </w:rPr>
              <w:t>主要污染物</w:t>
            </w:r>
          </w:p>
        </w:tc>
        <w:tc>
          <w:tcPr>
            <w:tcW w:w="1299" w:type="pct"/>
            <w:noWrap w:val="0"/>
            <w:vAlign w:val="center"/>
          </w:tcPr>
          <w:p w14:paraId="41FD6DDB">
            <w:pPr>
              <w:tabs>
                <w:tab w:val="left" w:pos="2694"/>
              </w:tabs>
              <w:jc w:val="center"/>
              <w:rPr>
                <w:bCs/>
                <w:color w:val="auto"/>
                <w:kern w:val="0"/>
                <w:szCs w:val="21"/>
              </w:rPr>
            </w:pPr>
            <w:r>
              <w:rPr>
                <w:rFonts w:hint="eastAsia"/>
                <w:color w:val="auto"/>
                <w:szCs w:val="21"/>
              </w:rPr>
              <w:t>措施及去向</w:t>
            </w:r>
          </w:p>
        </w:tc>
      </w:tr>
      <w:tr w14:paraId="5F1CE2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vMerge w:val="restart"/>
            <w:noWrap w:val="0"/>
            <w:vAlign w:val="center"/>
          </w:tcPr>
          <w:p w14:paraId="6784D15D">
            <w:pPr>
              <w:widowControl/>
              <w:adjustRightInd w:val="0"/>
              <w:snapToGrid w:val="0"/>
              <w:jc w:val="center"/>
              <w:rPr>
                <w:rFonts w:hint="eastAsia"/>
                <w:bCs/>
                <w:color w:val="auto"/>
                <w:kern w:val="0"/>
                <w:szCs w:val="21"/>
              </w:rPr>
            </w:pPr>
            <w:r>
              <w:rPr>
                <w:rFonts w:hint="eastAsia"/>
                <w:bCs/>
                <w:color w:val="auto"/>
                <w:kern w:val="0"/>
                <w:szCs w:val="21"/>
              </w:rPr>
              <w:t>废水</w:t>
            </w:r>
          </w:p>
        </w:tc>
        <w:tc>
          <w:tcPr>
            <w:tcW w:w="854" w:type="pct"/>
            <w:noWrap w:val="0"/>
            <w:vAlign w:val="center"/>
          </w:tcPr>
          <w:p w14:paraId="117FBB13">
            <w:pPr>
              <w:widowControl/>
              <w:adjustRightInd w:val="0"/>
              <w:snapToGrid w:val="0"/>
              <w:jc w:val="center"/>
              <w:rPr>
                <w:rFonts w:hint="default" w:eastAsia="宋体"/>
                <w:bCs/>
                <w:color w:val="auto"/>
                <w:kern w:val="0"/>
                <w:szCs w:val="21"/>
                <w:lang w:val="en-US" w:eastAsia="zh-CN"/>
              </w:rPr>
            </w:pPr>
            <w:r>
              <w:rPr>
                <w:rFonts w:hint="eastAsia"/>
                <w:bCs/>
                <w:color w:val="auto"/>
                <w:kern w:val="0"/>
                <w:szCs w:val="21"/>
              </w:rPr>
              <w:t>W</w:t>
            </w:r>
            <w:r>
              <w:rPr>
                <w:rFonts w:hint="eastAsia"/>
                <w:bCs/>
                <w:color w:val="auto"/>
                <w:kern w:val="0"/>
                <w:szCs w:val="21"/>
                <w:lang w:val="en-US" w:eastAsia="zh-CN"/>
              </w:rPr>
              <w:t>1蒙砂废水</w:t>
            </w:r>
          </w:p>
        </w:tc>
        <w:tc>
          <w:tcPr>
            <w:tcW w:w="681" w:type="pct"/>
            <w:noWrap w:val="0"/>
            <w:vAlign w:val="center"/>
          </w:tcPr>
          <w:p w14:paraId="580768BE">
            <w:pPr>
              <w:widowControl/>
              <w:adjustRightInd w:val="0"/>
              <w:snapToGrid w:val="0"/>
              <w:jc w:val="center"/>
              <w:rPr>
                <w:rFonts w:hint="eastAsia" w:eastAsia="宋体"/>
                <w:bCs/>
                <w:color w:val="auto"/>
                <w:kern w:val="0"/>
                <w:szCs w:val="21"/>
                <w:lang w:eastAsia="zh-CN"/>
              </w:rPr>
            </w:pPr>
            <w:r>
              <w:rPr>
                <w:rFonts w:hint="eastAsia"/>
                <w:bCs/>
                <w:color w:val="auto"/>
                <w:kern w:val="0"/>
                <w:szCs w:val="21"/>
                <w:lang w:val="en-US" w:eastAsia="zh-CN"/>
              </w:rPr>
              <w:t>蒙砂</w:t>
            </w:r>
          </w:p>
        </w:tc>
        <w:tc>
          <w:tcPr>
            <w:tcW w:w="820" w:type="pct"/>
            <w:noWrap w:val="0"/>
            <w:vAlign w:val="center"/>
          </w:tcPr>
          <w:p w14:paraId="6E9B970E">
            <w:pPr>
              <w:widowControl/>
              <w:adjustRightInd w:val="0"/>
              <w:snapToGrid w:val="0"/>
              <w:jc w:val="center"/>
              <w:rPr>
                <w:rFonts w:hint="default" w:eastAsia="宋体"/>
                <w:bCs/>
                <w:color w:val="auto"/>
                <w:kern w:val="0"/>
                <w:szCs w:val="21"/>
                <w:lang w:val="en-US" w:eastAsia="zh-CN"/>
              </w:rPr>
            </w:pPr>
            <w:r>
              <w:rPr>
                <w:rFonts w:hint="eastAsia"/>
                <w:bCs/>
                <w:color w:val="auto"/>
                <w:kern w:val="0"/>
                <w:szCs w:val="21"/>
                <w:lang w:val="en-US" w:eastAsia="zh-CN"/>
              </w:rPr>
              <w:t>AG蚀刻线</w:t>
            </w:r>
          </w:p>
        </w:tc>
        <w:tc>
          <w:tcPr>
            <w:tcW w:w="1010" w:type="pct"/>
            <w:noWrap w:val="0"/>
            <w:vAlign w:val="center"/>
          </w:tcPr>
          <w:p w14:paraId="3643C999">
            <w:pPr>
              <w:keepNext w:val="0"/>
              <w:keepLines w:val="0"/>
              <w:widowControl/>
              <w:suppressLineNumbers w:val="0"/>
              <w:jc w:val="center"/>
              <w:textAlignment w:val="center"/>
              <w:rPr>
                <w:rFonts w:hint="default" w:eastAsia="宋体"/>
                <w:bCs/>
                <w:color w:val="auto"/>
                <w:kern w:val="0"/>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pH</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COD</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r>
              <w:rPr>
                <w:rFonts w:hint="eastAsia" w:ascii="宋体" w:hAnsi="宋体" w:eastAsia="宋体" w:cs="宋体"/>
                <w:i w:val="0"/>
                <w:iCs w:val="0"/>
                <w:color w:val="auto"/>
                <w:kern w:val="0"/>
                <w:sz w:val="21"/>
                <w:szCs w:val="21"/>
                <w:u w:val="none"/>
                <w:lang w:val="en-US" w:eastAsia="zh-CN" w:bidi="ar"/>
              </w:rPr>
              <w:t>、氨氮、</w:t>
            </w:r>
            <w:r>
              <w:rPr>
                <w:rFonts w:hint="default" w:ascii="Times New Roman" w:hAnsi="Times New Roman" w:eastAsia="宋体" w:cs="Times New Roman"/>
                <w:i w:val="0"/>
                <w:iCs w:val="0"/>
                <w:color w:val="auto"/>
                <w:kern w:val="0"/>
                <w:sz w:val="21"/>
                <w:szCs w:val="21"/>
                <w:u w:val="none"/>
                <w:lang w:val="en-US" w:eastAsia="zh-CN" w:bidi="ar"/>
              </w:rPr>
              <w:t>SS</w:t>
            </w:r>
            <w:r>
              <w:rPr>
                <w:rFonts w:hint="eastAsia" w:ascii="宋体" w:hAnsi="宋体" w:eastAsia="宋体" w:cs="宋体"/>
                <w:i w:val="0"/>
                <w:iCs w:val="0"/>
                <w:color w:val="auto"/>
                <w:kern w:val="0"/>
                <w:sz w:val="21"/>
                <w:szCs w:val="21"/>
                <w:u w:val="none"/>
                <w:lang w:val="en-US" w:eastAsia="zh-CN" w:bidi="ar"/>
              </w:rPr>
              <w:t>、氟化物</w:t>
            </w:r>
          </w:p>
        </w:tc>
        <w:tc>
          <w:tcPr>
            <w:tcW w:w="1299" w:type="pct"/>
            <w:vMerge w:val="restart"/>
            <w:noWrap w:val="0"/>
            <w:vAlign w:val="center"/>
          </w:tcPr>
          <w:p w14:paraId="6B329277">
            <w:pPr>
              <w:widowControl/>
              <w:adjustRightInd w:val="0"/>
              <w:snapToGrid w:val="0"/>
              <w:jc w:val="center"/>
              <w:rPr>
                <w:rFonts w:hint="default" w:eastAsia="宋体"/>
                <w:bCs/>
                <w:color w:val="auto"/>
                <w:kern w:val="0"/>
                <w:szCs w:val="21"/>
                <w:lang w:val="en-US" w:eastAsia="zh-CN"/>
              </w:rPr>
            </w:pPr>
            <w:r>
              <w:rPr>
                <w:rFonts w:hint="default" w:eastAsia="宋体"/>
                <w:bCs/>
                <w:color w:val="auto"/>
                <w:kern w:val="0"/>
                <w:szCs w:val="21"/>
                <w:lang w:val="en-US" w:eastAsia="zh-CN"/>
              </w:rPr>
              <w:t>收集于密闭防渗储罐中，</w:t>
            </w:r>
            <w:r>
              <w:rPr>
                <w:rFonts w:hint="default" w:eastAsia="宋体"/>
                <w:bCs/>
                <w:color w:val="auto"/>
                <w:kern w:val="0"/>
                <w:szCs w:val="21"/>
                <w:highlight w:val="none"/>
                <w:lang w:val="en-US" w:eastAsia="zh-CN"/>
              </w:rPr>
              <w:t>暂存于</w:t>
            </w:r>
            <w:r>
              <w:rPr>
                <w:rFonts w:hint="eastAsia"/>
                <w:bCs/>
                <w:color w:val="auto"/>
                <w:kern w:val="0"/>
                <w:szCs w:val="21"/>
                <w:highlight w:val="none"/>
                <w:lang w:val="en-US" w:eastAsia="zh-CN"/>
              </w:rPr>
              <w:t>污水处理站，定期交由有资质的单位处理。</w:t>
            </w:r>
          </w:p>
        </w:tc>
      </w:tr>
      <w:tr w14:paraId="2BB1BE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vMerge w:val="continue"/>
            <w:noWrap w:val="0"/>
            <w:vAlign w:val="center"/>
          </w:tcPr>
          <w:p w14:paraId="368EECC8">
            <w:pPr>
              <w:widowControl/>
              <w:adjustRightInd w:val="0"/>
              <w:snapToGrid w:val="0"/>
              <w:jc w:val="center"/>
              <w:rPr>
                <w:rFonts w:hint="eastAsia"/>
                <w:bCs/>
                <w:color w:val="auto"/>
                <w:kern w:val="0"/>
                <w:szCs w:val="21"/>
              </w:rPr>
            </w:pPr>
          </w:p>
        </w:tc>
        <w:tc>
          <w:tcPr>
            <w:tcW w:w="854" w:type="pct"/>
            <w:noWrap w:val="0"/>
            <w:vAlign w:val="center"/>
          </w:tcPr>
          <w:p w14:paraId="2BDE8957">
            <w:pPr>
              <w:widowControl/>
              <w:adjustRightInd w:val="0"/>
              <w:snapToGrid w:val="0"/>
              <w:jc w:val="center"/>
              <w:rPr>
                <w:rFonts w:hint="default" w:eastAsia="宋体"/>
                <w:bCs/>
                <w:color w:val="auto"/>
                <w:kern w:val="0"/>
                <w:szCs w:val="21"/>
                <w:lang w:val="en-US" w:eastAsia="zh-CN"/>
              </w:rPr>
            </w:pPr>
            <w:r>
              <w:rPr>
                <w:rFonts w:hint="eastAsia"/>
                <w:bCs/>
                <w:color w:val="auto"/>
                <w:kern w:val="0"/>
                <w:szCs w:val="21"/>
                <w:lang w:val="en-US" w:eastAsia="zh-CN"/>
              </w:rPr>
              <w:t>W2化抛废水</w:t>
            </w:r>
          </w:p>
        </w:tc>
        <w:tc>
          <w:tcPr>
            <w:tcW w:w="681" w:type="pct"/>
            <w:noWrap w:val="0"/>
            <w:vAlign w:val="center"/>
          </w:tcPr>
          <w:p w14:paraId="3B7C2844">
            <w:pPr>
              <w:widowControl/>
              <w:adjustRightInd w:val="0"/>
              <w:snapToGrid w:val="0"/>
              <w:jc w:val="center"/>
              <w:rPr>
                <w:rFonts w:hint="eastAsia" w:eastAsia="宋体"/>
                <w:bCs/>
                <w:color w:val="auto"/>
                <w:kern w:val="0"/>
                <w:szCs w:val="21"/>
                <w:lang w:val="en-US" w:eastAsia="zh-CN"/>
              </w:rPr>
            </w:pPr>
            <w:r>
              <w:rPr>
                <w:rFonts w:hint="eastAsia"/>
                <w:bCs/>
                <w:color w:val="auto"/>
                <w:kern w:val="0"/>
                <w:szCs w:val="21"/>
                <w:lang w:val="en-US" w:eastAsia="zh-CN"/>
              </w:rPr>
              <w:t>化抛</w:t>
            </w:r>
          </w:p>
        </w:tc>
        <w:tc>
          <w:tcPr>
            <w:tcW w:w="820" w:type="pct"/>
            <w:noWrap w:val="0"/>
            <w:vAlign w:val="center"/>
          </w:tcPr>
          <w:p w14:paraId="2224F69B">
            <w:pPr>
              <w:widowControl/>
              <w:adjustRightInd w:val="0"/>
              <w:snapToGrid w:val="0"/>
              <w:jc w:val="center"/>
              <w:rPr>
                <w:rFonts w:hint="eastAsia"/>
                <w:bCs/>
                <w:color w:val="auto"/>
                <w:kern w:val="0"/>
                <w:szCs w:val="21"/>
              </w:rPr>
            </w:pPr>
            <w:r>
              <w:rPr>
                <w:rFonts w:hint="eastAsia"/>
                <w:bCs/>
                <w:color w:val="auto"/>
                <w:kern w:val="0"/>
                <w:szCs w:val="21"/>
                <w:lang w:val="en-US" w:eastAsia="zh-CN"/>
              </w:rPr>
              <w:t>AG蚀刻线</w:t>
            </w:r>
          </w:p>
        </w:tc>
        <w:tc>
          <w:tcPr>
            <w:tcW w:w="1010" w:type="pct"/>
            <w:noWrap w:val="0"/>
            <w:vAlign w:val="center"/>
          </w:tcPr>
          <w:p w14:paraId="5544C4E6">
            <w:pPr>
              <w:keepNext w:val="0"/>
              <w:keepLines w:val="0"/>
              <w:widowControl/>
              <w:suppressLineNumbers w:val="0"/>
              <w:jc w:val="center"/>
              <w:textAlignment w:val="center"/>
              <w:rPr>
                <w:rFonts w:hint="eastAsia"/>
                <w:bCs/>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pH</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COD</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r>
              <w:rPr>
                <w:rFonts w:hint="eastAsia" w:ascii="宋体" w:hAnsi="宋体" w:eastAsia="宋体" w:cs="宋体"/>
                <w:i w:val="0"/>
                <w:iCs w:val="0"/>
                <w:color w:val="auto"/>
                <w:kern w:val="0"/>
                <w:sz w:val="21"/>
                <w:szCs w:val="21"/>
                <w:u w:val="none"/>
                <w:lang w:val="en-US" w:eastAsia="zh-CN" w:bidi="ar"/>
              </w:rPr>
              <w:t>、氨氮、</w:t>
            </w:r>
            <w:r>
              <w:rPr>
                <w:rFonts w:hint="default" w:ascii="Times New Roman" w:hAnsi="Times New Roman" w:eastAsia="宋体" w:cs="Times New Roman"/>
                <w:i w:val="0"/>
                <w:iCs w:val="0"/>
                <w:color w:val="auto"/>
                <w:kern w:val="0"/>
                <w:sz w:val="21"/>
                <w:szCs w:val="21"/>
                <w:u w:val="none"/>
                <w:lang w:val="en-US" w:eastAsia="zh-CN" w:bidi="ar"/>
              </w:rPr>
              <w:t>SS</w:t>
            </w:r>
            <w:r>
              <w:rPr>
                <w:rFonts w:hint="eastAsia" w:ascii="宋体" w:hAnsi="宋体" w:eastAsia="宋体" w:cs="宋体"/>
                <w:i w:val="0"/>
                <w:iCs w:val="0"/>
                <w:color w:val="auto"/>
                <w:kern w:val="0"/>
                <w:sz w:val="21"/>
                <w:szCs w:val="21"/>
                <w:u w:val="none"/>
                <w:lang w:val="en-US" w:eastAsia="zh-CN" w:bidi="ar"/>
              </w:rPr>
              <w:t>、氟化物</w:t>
            </w:r>
          </w:p>
        </w:tc>
        <w:tc>
          <w:tcPr>
            <w:tcW w:w="1299" w:type="pct"/>
            <w:vMerge w:val="continue"/>
            <w:noWrap w:val="0"/>
            <w:vAlign w:val="center"/>
          </w:tcPr>
          <w:p w14:paraId="3D8BAA94">
            <w:pPr>
              <w:widowControl/>
              <w:adjustRightInd w:val="0"/>
              <w:snapToGrid w:val="0"/>
              <w:jc w:val="center"/>
              <w:rPr>
                <w:rFonts w:hint="eastAsia"/>
                <w:color w:val="auto"/>
                <w:szCs w:val="21"/>
              </w:rPr>
            </w:pPr>
          </w:p>
        </w:tc>
      </w:tr>
      <w:tr w14:paraId="39F55D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vMerge w:val="continue"/>
            <w:noWrap w:val="0"/>
            <w:vAlign w:val="center"/>
          </w:tcPr>
          <w:p w14:paraId="03D9D8DD">
            <w:pPr>
              <w:widowControl/>
              <w:adjustRightInd w:val="0"/>
              <w:snapToGrid w:val="0"/>
              <w:jc w:val="center"/>
              <w:rPr>
                <w:rFonts w:hint="eastAsia"/>
                <w:bCs/>
                <w:color w:val="auto"/>
                <w:kern w:val="0"/>
                <w:szCs w:val="21"/>
              </w:rPr>
            </w:pPr>
          </w:p>
        </w:tc>
        <w:tc>
          <w:tcPr>
            <w:tcW w:w="854" w:type="pct"/>
            <w:shd w:val="clear" w:color="auto" w:fill="auto"/>
            <w:noWrap w:val="0"/>
            <w:vAlign w:val="center"/>
          </w:tcPr>
          <w:p w14:paraId="16912598">
            <w:pPr>
              <w:widowControl/>
              <w:adjustRightInd w:val="0"/>
              <w:snapToGrid w:val="0"/>
              <w:jc w:val="center"/>
              <w:rPr>
                <w:rFonts w:hint="eastAsia" w:ascii="Times New Roman" w:hAnsi="Times New Roman" w:eastAsia="宋体" w:cs="Times New Roman"/>
                <w:bCs/>
                <w:color w:val="auto"/>
                <w:kern w:val="0"/>
                <w:sz w:val="21"/>
                <w:szCs w:val="21"/>
                <w:lang w:val="en-US" w:eastAsia="zh-CN" w:bidi="ar-SA"/>
              </w:rPr>
            </w:pPr>
            <w:r>
              <w:rPr>
                <w:rFonts w:hint="eastAsia"/>
                <w:bCs/>
                <w:color w:val="auto"/>
                <w:kern w:val="0"/>
                <w:szCs w:val="21"/>
                <w:lang w:val="en-US" w:eastAsia="zh-CN"/>
              </w:rPr>
              <w:t>W5喷淋废水</w:t>
            </w:r>
          </w:p>
        </w:tc>
        <w:tc>
          <w:tcPr>
            <w:tcW w:w="681" w:type="pct"/>
            <w:shd w:val="clear" w:color="auto" w:fill="auto"/>
            <w:noWrap w:val="0"/>
            <w:vAlign w:val="center"/>
          </w:tcPr>
          <w:p w14:paraId="1C57D842">
            <w:pPr>
              <w:widowControl/>
              <w:adjustRightInd w:val="0"/>
              <w:snapToGrid w:val="0"/>
              <w:jc w:val="center"/>
              <w:rPr>
                <w:rFonts w:hint="eastAsia" w:ascii="Times New Roman" w:hAnsi="Times New Roman" w:eastAsia="宋体" w:cs="Times New Roman"/>
                <w:bCs/>
                <w:color w:val="auto"/>
                <w:kern w:val="0"/>
                <w:sz w:val="21"/>
                <w:szCs w:val="21"/>
                <w:lang w:val="en-US" w:eastAsia="zh-CN" w:bidi="ar-SA"/>
              </w:rPr>
            </w:pPr>
            <w:r>
              <w:rPr>
                <w:rFonts w:hint="eastAsia"/>
                <w:bCs/>
                <w:color w:val="auto"/>
                <w:kern w:val="0"/>
                <w:szCs w:val="21"/>
                <w:lang w:val="en-US" w:eastAsia="zh-CN"/>
              </w:rPr>
              <w:t>废气治理</w:t>
            </w:r>
          </w:p>
        </w:tc>
        <w:tc>
          <w:tcPr>
            <w:tcW w:w="820" w:type="pct"/>
            <w:shd w:val="clear" w:color="auto" w:fill="auto"/>
            <w:noWrap w:val="0"/>
            <w:vAlign w:val="center"/>
          </w:tcPr>
          <w:p w14:paraId="7172EDEE">
            <w:pPr>
              <w:widowControl/>
              <w:adjustRightInd w:val="0"/>
              <w:snapToGrid w:val="0"/>
              <w:jc w:val="center"/>
              <w:rPr>
                <w:rFonts w:hint="eastAsia" w:ascii="Times New Roman" w:hAnsi="Times New Roman" w:eastAsia="宋体" w:cs="Times New Roman"/>
                <w:bCs/>
                <w:color w:val="auto"/>
                <w:kern w:val="0"/>
                <w:sz w:val="21"/>
                <w:szCs w:val="21"/>
                <w:lang w:val="en-US" w:eastAsia="zh-CN" w:bidi="ar-SA"/>
              </w:rPr>
            </w:pPr>
            <w:r>
              <w:rPr>
                <w:rFonts w:hint="eastAsia"/>
                <w:bCs/>
                <w:color w:val="auto"/>
                <w:kern w:val="0"/>
                <w:szCs w:val="21"/>
                <w:lang w:val="en-US" w:eastAsia="zh-CN"/>
              </w:rPr>
              <w:t>废气处理设施</w:t>
            </w:r>
          </w:p>
        </w:tc>
        <w:tc>
          <w:tcPr>
            <w:tcW w:w="1010" w:type="pct"/>
            <w:shd w:val="clear" w:color="auto" w:fill="auto"/>
            <w:noWrap w:val="0"/>
            <w:vAlign w:val="center"/>
          </w:tcPr>
          <w:p w14:paraId="73D81FD7">
            <w:pPr>
              <w:keepNext w:val="0"/>
              <w:keepLines w:val="0"/>
              <w:widowControl/>
              <w:suppressLineNumbers w:val="0"/>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pH</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COD</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SS</w:t>
            </w:r>
            <w:r>
              <w:rPr>
                <w:rFonts w:hint="eastAsia" w:ascii="宋体" w:hAnsi="宋体" w:eastAsia="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氟化物</w:t>
            </w:r>
          </w:p>
        </w:tc>
        <w:tc>
          <w:tcPr>
            <w:tcW w:w="1299" w:type="pct"/>
            <w:vMerge w:val="continue"/>
            <w:noWrap w:val="0"/>
            <w:vAlign w:val="center"/>
          </w:tcPr>
          <w:p w14:paraId="6BEA1C8B">
            <w:pPr>
              <w:widowControl/>
              <w:adjustRightInd w:val="0"/>
              <w:snapToGrid w:val="0"/>
              <w:jc w:val="center"/>
              <w:rPr>
                <w:rFonts w:hint="eastAsia"/>
                <w:color w:val="auto"/>
                <w:szCs w:val="21"/>
              </w:rPr>
            </w:pPr>
          </w:p>
        </w:tc>
      </w:tr>
      <w:tr w14:paraId="6F158D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vMerge w:val="continue"/>
            <w:noWrap w:val="0"/>
            <w:vAlign w:val="center"/>
          </w:tcPr>
          <w:p w14:paraId="1EE46489">
            <w:pPr>
              <w:widowControl/>
              <w:adjustRightInd w:val="0"/>
              <w:snapToGrid w:val="0"/>
              <w:jc w:val="center"/>
              <w:rPr>
                <w:rFonts w:hint="eastAsia"/>
                <w:bCs/>
                <w:color w:val="auto"/>
                <w:kern w:val="0"/>
                <w:szCs w:val="21"/>
              </w:rPr>
            </w:pPr>
          </w:p>
        </w:tc>
        <w:tc>
          <w:tcPr>
            <w:tcW w:w="854" w:type="pct"/>
            <w:noWrap w:val="0"/>
            <w:vAlign w:val="center"/>
          </w:tcPr>
          <w:p w14:paraId="15F664D6">
            <w:pPr>
              <w:widowControl/>
              <w:adjustRightInd w:val="0"/>
              <w:snapToGrid w:val="0"/>
              <w:jc w:val="center"/>
              <w:rPr>
                <w:rFonts w:hint="default" w:eastAsia="宋体"/>
                <w:bCs/>
                <w:color w:val="auto"/>
                <w:kern w:val="0"/>
                <w:szCs w:val="21"/>
                <w:lang w:val="en-US" w:eastAsia="zh-CN"/>
              </w:rPr>
            </w:pPr>
            <w:r>
              <w:rPr>
                <w:rFonts w:hint="eastAsia"/>
                <w:bCs/>
                <w:color w:val="auto"/>
                <w:kern w:val="0"/>
                <w:szCs w:val="21"/>
                <w:lang w:val="en-US" w:eastAsia="zh-CN"/>
              </w:rPr>
              <w:t>W3超声波清洗废水</w:t>
            </w:r>
          </w:p>
        </w:tc>
        <w:tc>
          <w:tcPr>
            <w:tcW w:w="681" w:type="pct"/>
            <w:noWrap w:val="0"/>
            <w:vAlign w:val="center"/>
          </w:tcPr>
          <w:p w14:paraId="35F1E0D7">
            <w:pPr>
              <w:widowControl/>
              <w:adjustRightInd w:val="0"/>
              <w:snapToGrid w:val="0"/>
              <w:jc w:val="center"/>
              <w:rPr>
                <w:rFonts w:hint="default" w:eastAsia="宋体"/>
                <w:bCs/>
                <w:color w:val="auto"/>
                <w:kern w:val="0"/>
                <w:szCs w:val="21"/>
                <w:lang w:val="en-US" w:eastAsia="zh-CN"/>
              </w:rPr>
            </w:pPr>
            <w:r>
              <w:rPr>
                <w:rFonts w:hint="eastAsia"/>
                <w:bCs/>
                <w:color w:val="auto"/>
                <w:kern w:val="0"/>
                <w:szCs w:val="21"/>
                <w:lang w:val="en-US" w:eastAsia="zh-CN"/>
              </w:rPr>
              <w:t>超声波清洗</w:t>
            </w:r>
          </w:p>
        </w:tc>
        <w:tc>
          <w:tcPr>
            <w:tcW w:w="820" w:type="pct"/>
            <w:noWrap w:val="0"/>
            <w:vAlign w:val="center"/>
          </w:tcPr>
          <w:p w14:paraId="79F2E6C1">
            <w:pPr>
              <w:widowControl/>
              <w:adjustRightInd w:val="0"/>
              <w:snapToGrid w:val="0"/>
              <w:jc w:val="center"/>
              <w:rPr>
                <w:rFonts w:hint="default" w:eastAsia="宋体"/>
                <w:bCs/>
                <w:color w:val="auto"/>
                <w:kern w:val="0"/>
                <w:szCs w:val="21"/>
                <w:lang w:val="en-US" w:eastAsia="zh-CN"/>
              </w:rPr>
            </w:pPr>
            <w:r>
              <w:rPr>
                <w:rFonts w:hint="eastAsia"/>
                <w:bCs/>
                <w:color w:val="auto"/>
                <w:kern w:val="0"/>
                <w:szCs w:val="21"/>
                <w:lang w:val="en-US" w:eastAsia="zh-CN"/>
              </w:rPr>
              <w:t>超声波清洗机</w:t>
            </w:r>
          </w:p>
        </w:tc>
        <w:tc>
          <w:tcPr>
            <w:tcW w:w="1010" w:type="pct"/>
            <w:noWrap w:val="0"/>
            <w:vAlign w:val="center"/>
          </w:tcPr>
          <w:p w14:paraId="2EB214D4">
            <w:pPr>
              <w:keepNext w:val="0"/>
              <w:keepLines w:val="0"/>
              <w:widowControl/>
              <w:suppressLineNumbers w:val="0"/>
              <w:jc w:val="center"/>
              <w:textAlignment w:val="center"/>
              <w:rPr>
                <w:rFonts w:hint="default"/>
                <w:bCs/>
                <w:color w:val="auto"/>
                <w:kern w:val="0"/>
                <w:szCs w:val="21"/>
                <w:lang w:val="en-US"/>
              </w:rPr>
            </w:pPr>
            <w:r>
              <w:rPr>
                <w:rFonts w:hint="default" w:ascii="Times New Roman" w:hAnsi="Times New Roman" w:eastAsia="宋体" w:cs="Times New Roman"/>
                <w:i w:val="0"/>
                <w:iCs w:val="0"/>
                <w:color w:val="auto"/>
                <w:kern w:val="0"/>
                <w:sz w:val="21"/>
                <w:szCs w:val="21"/>
                <w:u w:val="none"/>
                <w:lang w:val="en-US" w:eastAsia="zh-CN" w:bidi="ar"/>
              </w:rPr>
              <w:t>pH</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COD</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SS</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LAS</w:t>
            </w:r>
            <w:r>
              <w:rPr>
                <w:rFonts w:hint="eastAsia" w:ascii="宋体" w:hAnsi="宋体" w:eastAsia="宋体" w:cs="宋体"/>
                <w:i w:val="0"/>
                <w:iCs w:val="0"/>
                <w:color w:val="auto"/>
                <w:kern w:val="0"/>
                <w:sz w:val="21"/>
                <w:szCs w:val="21"/>
                <w:u w:val="none"/>
                <w:lang w:val="en-US" w:eastAsia="zh-CN" w:bidi="ar"/>
              </w:rPr>
              <w:t>、总磷、总氮</w:t>
            </w:r>
          </w:p>
        </w:tc>
        <w:tc>
          <w:tcPr>
            <w:tcW w:w="1299" w:type="pct"/>
            <w:vMerge w:val="restart"/>
            <w:noWrap w:val="0"/>
            <w:vAlign w:val="center"/>
          </w:tcPr>
          <w:p w14:paraId="349DE1F5">
            <w:pPr>
              <w:widowControl/>
              <w:adjustRightInd w:val="0"/>
              <w:snapToGrid w:val="0"/>
              <w:jc w:val="center"/>
              <w:rPr>
                <w:rFonts w:hint="eastAsia"/>
                <w:color w:val="auto"/>
                <w:szCs w:val="21"/>
              </w:rPr>
            </w:pPr>
            <w:r>
              <w:rPr>
                <w:rFonts w:hint="eastAsia"/>
                <w:bCs/>
                <w:color w:val="auto"/>
                <w:kern w:val="0"/>
                <w:szCs w:val="21"/>
                <w:lang w:val="en-US" w:eastAsia="zh-CN"/>
              </w:rPr>
              <w:t>进入原有项目已建综合污水处理站处理</w:t>
            </w:r>
          </w:p>
        </w:tc>
      </w:tr>
      <w:tr w14:paraId="5AD982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vMerge w:val="continue"/>
            <w:noWrap w:val="0"/>
            <w:vAlign w:val="center"/>
          </w:tcPr>
          <w:p w14:paraId="7B8C9C31">
            <w:pPr>
              <w:widowControl/>
              <w:adjustRightInd w:val="0"/>
              <w:snapToGrid w:val="0"/>
              <w:jc w:val="center"/>
              <w:rPr>
                <w:rFonts w:hint="eastAsia"/>
                <w:bCs/>
                <w:color w:val="auto"/>
                <w:kern w:val="0"/>
                <w:szCs w:val="21"/>
              </w:rPr>
            </w:pPr>
          </w:p>
        </w:tc>
        <w:tc>
          <w:tcPr>
            <w:tcW w:w="854" w:type="pct"/>
            <w:noWrap w:val="0"/>
            <w:vAlign w:val="center"/>
          </w:tcPr>
          <w:p w14:paraId="1ADD0AD5">
            <w:pPr>
              <w:widowControl/>
              <w:adjustRightInd w:val="0"/>
              <w:snapToGrid w:val="0"/>
              <w:jc w:val="center"/>
              <w:rPr>
                <w:rFonts w:hint="default"/>
                <w:bCs/>
                <w:color w:val="auto"/>
                <w:kern w:val="0"/>
                <w:szCs w:val="21"/>
                <w:lang w:val="en-US" w:eastAsia="zh-CN"/>
              </w:rPr>
            </w:pPr>
            <w:r>
              <w:rPr>
                <w:rFonts w:hint="eastAsia"/>
                <w:bCs/>
                <w:color w:val="auto"/>
                <w:kern w:val="0"/>
                <w:szCs w:val="21"/>
                <w:lang w:val="en-US" w:eastAsia="zh-CN"/>
              </w:rPr>
              <w:t>W6车间清洗水</w:t>
            </w:r>
          </w:p>
        </w:tc>
        <w:tc>
          <w:tcPr>
            <w:tcW w:w="681" w:type="pct"/>
            <w:noWrap w:val="0"/>
            <w:vAlign w:val="center"/>
          </w:tcPr>
          <w:p w14:paraId="3EEBBC9F">
            <w:pPr>
              <w:widowControl/>
              <w:adjustRightInd w:val="0"/>
              <w:snapToGrid w:val="0"/>
              <w:jc w:val="center"/>
              <w:rPr>
                <w:rFonts w:hint="default" w:eastAsia="宋体"/>
                <w:bCs/>
                <w:color w:val="auto"/>
                <w:kern w:val="0"/>
                <w:szCs w:val="21"/>
                <w:lang w:val="en-US" w:eastAsia="zh-CN"/>
              </w:rPr>
            </w:pPr>
            <w:r>
              <w:rPr>
                <w:rFonts w:hint="eastAsia"/>
                <w:bCs/>
                <w:color w:val="auto"/>
                <w:kern w:val="0"/>
                <w:szCs w:val="21"/>
                <w:lang w:val="en-US" w:eastAsia="zh-CN"/>
              </w:rPr>
              <w:t>车间清洁</w:t>
            </w:r>
          </w:p>
        </w:tc>
        <w:tc>
          <w:tcPr>
            <w:tcW w:w="820" w:type="pct"/>
            <w:noWrap w:val="0"/>
            <w:vAlign w:val="center"/>
          </w:tcPr>
          <w:p w14:paraId="2C039AE4">
            <w:pPr>
              <w:widowControl/>
              <w:adjustRightInd w:val="0"/>
              <w:snapToGrid w:val="0"/>
              <w:jc w:val="center"/>
              <w:rPr>
                <w:rFonts w:hint="eastAsia" w:eastAsia="宋体"/>
                <w:bCs/>
                <w:color w:val="auto"/>
                <w:kern w:val="0"/>
                <w:szCs w:val="21"/>
                <w:lang w:val="en-US" w:eastAsia="zh-CN"/>
              </w:rPr>
            </w:pPr>
            <w:r>
              <w:rPr>
                <w:rFonts w:hint="eastAsia"/>
                <w:bCs/>
                <w:color w:val="auto"/>
                <w:kern w:val="0"/>
                <w:szCs w:val="21"/>
                <w:lang w:val="en-US" w:eastAsia="zh-CN"/>
              </w:rPr>
              <w:t>/</w:t>
            </w:r>
          </w:p>
        </w:tc>
        <w:tc>
          <w:tcPr>
            <w:tcW w:w="1010" w:type="pct"/>
            <w:noWrap w:val="0"/>
            <w:vAlign w:val="center"/>
          </w:tcPr>
          <w:p w14:paraId="3B62C6B5">
            <w:pPr>
              <w:keepNext w:val="0"/>
              <w:keepLines w:val="0"/>
              <w:widowControl/>
              <w:suppressLineNumbers w:val="0"/>
              <w:jc w:val="center"/>
              <w:textAlignment w:val="center"/>
              <w:rPr>
                <w:rFonts w:hint="default" w:eastAsia="宋体"/>
                <w:bCs/>
                <w:color w:val="auto"/>
                <w:kern w:val="0"/>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pH</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COD</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SS</w:t>
            </w:r>
            <w:r>
              <w:rPr>
                <w:rFonts w:hint="eastAsia" w:ascii="宋体" w:hAnsi="宋体" w:eastAsia="宋体" w:cs="宋体"/>
                <w:i w:val="0"/>
                <w:iCs w:val="0"/>
                <w:color w:val="auto"/>
                <w:kern w:val="0"/>
                <w:sz w:val="21"/>
                <w:szCs w:val="21"/>
                <w:u w:val="none"/>
                <w:lang w:val="en-US" w:eastAsia="zh-CN" w:bidi="ar"/>
              </w:rPr>
              <w:t>、氨氮、总磷、总氮、石油类</w:t>
            </w:r>
          </w:p>
        </w:tc>
        <w:tc>
          <w:tcPr>
            <w:tcW w:w="1299" w:type="pct"/>
            <w:vMerge w:val="continue"/>
            <w:noWrap w:val="0"/>
            <w:vAlign w:val="center"/>
          </w:tcPr>
          <w:p w14:paraId="75C66F66">
            <w:pPr>
              <w:widowControl/>
              <w:adjustRightInd w:val="0"/>
              <w:snapToGrid w:val="0"/>
              <w:jc w:val="center"/>
              <w:rPr>
                <w:rFonts w:hint="eastAsia"/>
                <w:color w:val="auto"/>
                <w:szCs w:val="21"/>
              </w:rPr>
            </w:pPr>
          </w:p>
        </w:tc>
      </w:tr>
      <w:tr w14:paraId="20DBB5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vMerge w:val="continue"/>
            <w:noWrap w:val="0"/>
            <w:vAlign w:val="center"/>
          </w:tcPr>
          <w:p w14:paraId="7F0D5AE7">
            <w:pPr>
              <w:widowControl/>
              <w:adjustRightInd w:val="0"/>
              <w:snapToGrid w:val="0"/>
              <w:jc w:val="center"/>
              <w:rPr>
                <w:rFonts w:hint="eastAsia"/>
                <w:bCs/>
                <w:color w:val="auto"/>
                <w:kern w:val="0"/>
                <w:szCs w:val="21"/>
              </w:rPr>
            </w:pPr>
          </w:p>
        </w:tc>
        <w:tc>
          <w:tcPr>
            <w:tcW w:w="854" w:type="pct"/>
            <w:noWrap w:val="0"/>
            <w:vAlign w:val="center"/>
          </w:tcPr>
          <w:p w14:paraId="421AAD09">
            <w:pPr>
              <w:widowControl/>
              <w:adjustRightInd w:val="0"/>
              <w:snapToGrid w:val="0"/>
              <w:jc w:val="center"/>
              <w:rPr>
                <w:rFonts w:hint="eastAsia" w:eastAsia="宋体"/>
                <w:bCs/>
                <w:color w:val="auto"/>
                <w:kern w:val="0"/>
                <w:sz w:val="21"/>
                <w:szCs w:val="21"/>
                <w:lang w:val="en-US" w:eastAsia="zh-CN" w:bidi="ar-SA"/>
              </w:rPr>
            </w:pPr>
            <w:r>
              <w:rPr>
                <w:rFonts w:hint="eastAsia"/>
                <w:bCs/>
                <w:color w:val="auto"/>
                <w:kern w:val="0"/>
                <w:szCs w:val="21"/>
                <w:lang w:val="en-US" w:eastAsia="zh-CN"/>
              </w:rPr>
              <w:t>W4纯水制备浓水</w:t>
            </w:r>
          </w:p>
        </w:tc>
        <w:tc>
          <w:tcPr>
            <w:tcW w:w="681" w:type="pct"/>
            <w:noWrap w:val="0"/>
            <w:vAlign w:val="center"/>
          </w:tcPr>
          <w:p w14:paraId="0078B18C">
            <w:pPr>
              <w:widowControl/>
              <w:adjustRightInd w:val="0"/>
              <w:snapToGrid w:val="0"/>
              <w:jc w:val="center"/>
              <w:rPr>
                <w:rFonts w:hint="eastAsia" w:eastAsia="宋体"/>
                <w:bCs/>
                <w:color w:val="auto"/>
                <w:kern w:val="0"/>
                <w:sz w:val="21"/>
                <w:szCs w:val="21"/>
                <w:lang w:val="en-US" w:eastAsia="zh-CN" w:bidi="ar-SA"/>
              </w:rPr>
            </w:pPr>
            <w:r>
              <w:rPr>
                <w:rFonts w:hint="eastAsia"/>
                <w:bCs/>
                <w:color w:val="auto"/>
                <w:kern w:val="0"/>
                <w:szCs w:val="21"/>
                <w:lang w:val="en-US" w:eastAsia="zh-CN"/>
              </w:rPr>
              <w:t>纯水制备</w:t>
            </w:r>
          </w:p>
        </w:tc>
        <w:tc>
          <w:tcPr>
            <w:tcW w:w="820" w:type="pct"/>
            <w:noWrap w:val="0"/>
            <w:vAlign w:val="center"/>
          </w:tcPr>
          <w:p w14:paraId="50F2DDFC">
            <w:pPr>
              <w:widowControl/>
              <w:adjustRightInd w:val="0"/>
              <w:snapToGrid w:val="0"/>
              <w:jc w:val="center"/>
              <w:rPr>
                <w:rFonts w:hint="eastAsia" w:eastAsia="宋体"/>
                <w:bCs/>
                <w:color w:val="auto"/>
                <w:kern w:val="0"/>
                <w:sz w:val="21"/>
                <w:szCs w:val="21"/>
                <w:lang w:val="en-US" w:eastAsia="zh-CN" w:bidi="ar-SA"/>
              </w:rPr>
            </w:pPr>
            <w:r>
              <w:rPr>
                <w:rFonts w:hint="eastAsia"/>
                <w:bCs/>
                <w:color w:val="auto"/>
                <w:kern w:val="0"/>
                <w:szCs w:val="21"/>
                <w:lang w:val="en-US" w:eastAsia="zh-CN"/>
              </w:rPr>
              <w:t>纯水制备设备</w:t>
            </w:r>
          </w:p>
        </w:tc>
        <w:tc>
          <w:tcPr>
            <w:tcW w:w="1010" w:type="pct"/>
            <w:noWrap w:val="0"/>
            <w:vAlign w:val="center"/>
          </w:tcPr>
          <w:p w14:paraId="05A5AEA4">
            <w:pPr>
              <w:keepNext w:val="0"/>
              <w:keepLines w:val="0"/>
              <w:widowControl/>
              <w:suppressLineNumbers w:val="0"/>
              <w:jc w:val="center"/>
              <w:textAlignment w:val="center"/>
              <w:rPr>
                <w:rFonts w:hint="default" w:eastAsia="宋体"/>
                <w:bCs/>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pH</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COD</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SS</w:t>
            </w:r>
          </w:p>
        </w:tc>
        <w:tc>
          <w:tcPr>
            <w:tcW w:w="1299" w:type="pct"/>
            <w:noWrap w:val="0"/>
            <w:vAlign w:val="center"/>
          </w:tcPr>
          <w:p w14:paraId="75A5D253">
            <w:pPr>
              <w:widowControl/>
              <w:adjustRightInd w:val="0"/>
              <w:snapToGrid w:val="0"/>
              <w:jc w:val="center"/>
              <w:rPr>
                <w:rFonts w:hint="default" w:eastAsia="宋体"/>
                <w:color w:val="auto"/>
                <w:szCs w:val="21"/>
                <w:lang w:val="en-US" w:eastAsia="zh-CN"/>
              </w:rPr>
            </w:pPr>
            <w:r>
              <w:rPr>
                <w:rFonts w:hint="eastAsia"/>
                <w:color w:val="auto"/>
                <w:szCs w:val="21"/>
                <w:lang w:val="en-US" w:eastAsia="zh-CN"/>
              </w:rPr>
              <w:t>直接排入园区污水管网</w:t>
            </w:r>
          </w:p>
        </w:tc>
      </w:tr>
      <w:tr w14:paraId="1E9DA2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vMerge w:val="continue"/>
            <w:noWrap w:val="0"/>
            <w:vAlign w:val="center"/>
          </w:tcPr>
          <w:p w14:paraId="7288407B">
            <w:pPr>
              <w:widowControl/>
              <w:adjustRightInd w:val="0"/>
              <w:snapToGrid w:val="0"/>
              <w:jc w:val="center"/>
              <w:rPr>
                <w:rFonts w:hint="eastAsia"/>
                <w:bCs/>
                <w:color w:val="auto"/>
                <w:kern w:val="0"/>
                <w:szCs w:val="21"/>
              </w:rPr>
            </w:pPr>
          </w:p>
        </w:tc>
        <w:tc>
          <w:tcPr>
            <w:tcW w:w="854" w:type="pct"/>
            <w:noWrap w:val="0"/>
            <w:vAlign w:val="center"/>
          </w:tcPr>
          <w:p w14:paraId="54F06BBC">
            <w:pPr>
              <w:widowControl/>
              <w:adjustRightInd w:val="0"/>
              <w:snapToGrid w:val="0"/>
              <w:jc w:val="center"/>
              <w:rPr>
                <w:rFonts w:hint="default"/>
                <w:bCs/>
                <w:color w:val="auto"/>
                <w:kern w:val="0"/>
                <w:szCs w:val="21"/>
                <w:lang w:val="en-US" w:eastAsia="zh-CN"/>
              </w:rPr>
            </w:pPr>
            <w:r>
              <w:rPr>
                <w:rFonts w:hint="eastAsia"/>
                <w:bCs/>
                <w:color w:val="auto"/>
                <w:kern w:val="0"/>
                <w:szCs w:val="21"/>
                <w:lang w:val="en-US" w:eastAsia="zh-CN"/>
              </w:rPr>
              <w:t>W7生活污水</w:t>
            </w:r>
          </w:p>
        </w:tc>
        <w:tc>
          <w:tcPr>
            <w:tcW w:w="681" w:type="pct"/>
            <w:noWrap w:val="0"/>
            <w:vAlign w:val="center"/>
          </w:tcPr>
          <w:p w14:paraId="0AEC86B8">
            <w:pPr>
              <w:widowControl/>
              <w:adjustRightInd w:val="0"/>
              <w:snapToGrid w:val="0"/>
              <w:jc w:val="center"/>
              <w:rPr>
                <w:rFonts w:hint="default" w:eastAsia="宋体"/>
                <w:bCs/>
                <w:color w:val="auto"/>
                <w:kern w:val="0"/>
                <w:szCs w:val="21"/>
                <w:lang w:val="en-US" w:eastAsia="zh-CN"/>
              </w:rPr>
            </w:pPr>
            <w:r>
              <w:rPr>
                <w:rFonts w:hint="eastAsia"/>
                <w:bCs/>
                <w:color w:val="auto"/>
                <w:kern w:val="0"/>
                <w:szCs w:val="21"/>
                <w:lang w:val="en-US" w:eastAsia="zh-CN"/>
              </w:rPr>
              <w:t>工人日常</w:t>
            </w:r>
          </w:p>
        </w:tc>
        <w:tc>
          <w:tcPr>
            <w:tcW w:w="820" w:type="pct"/>
            <w:noWrap w:val="0"/>
            <w:vAlign w:val="center"/>
          </w:tcPr>
          <w:p w14:paraId="039CF6F0">
            <w:pPr>
              <w:widowControl/>
              <w:adjustRightInd w:val="0"/>
              <w:snapToGrid w:val="0"/>
              <w:jc w:val="center"/>
              <w:rPr>
                <w:rFonts w:hint="eastAsia" w:eastAsia="宋体"/>
                <w:bCs/>
                <w:color w:val="auto"/>
                <w:kern w:val="0"/>
                <w:szCs w:val="21"/>
                <w:lang w:val="en-US" w:eastAsia="zh-CN"/>
              </w:rPr>
            </w:pPr>
            <w:r>
              <w:rPr>
                <w:rFonts w:hint="eastAsia"/>
                <w:bCs/>
                <w:color w:val="auto"/>
                <w:kern w:val="0"/>
                <w:szCs w:val="21"/>
                <w:lang w:val="en-US" w:eastAsia="zh-CN"/>
              </w:rPr>
              <w:t>/</w:t>
            </w:r>
          </w:p>
        </w:tc>
        <w:tc>
          <w:tcPr>
            <w:tcW w:w="1010" w:type="pct"/>
            <w:noWrap w:val="0"/>
            <w:vAlign w:val="center"/>
          </w:tcPr>
          <w:p w14:paraId="490B7D08">
            <w:pPr>
              <w:keepNext w:val="0"/>
              <w:keepLines w:val="0"/>
              <w:widowControl/>
              <w:suppressLineNumbers w:val="0"/>
              <w:jc w:val="center"/>
              <w:textAlignment w:val="center"/>
              <w:rPr>
                <w:rFonts w:hint="default" w:eastAsia="宋体"/>
                <w:bCs/>
                <w:color w:val="auto"/>
                <w:kern w:val="0"/>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pH</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COD</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SS</w:t>
            </w:r>
            <w:r>
              <w:rPr>
                <w:rFonts w:hint="eastAsia" w:ascii="宋体" w:hAnsi="宋体" w:eastAsia="宋体" w:cs="宋体"/>
                <w:i w:val="0"/>
                <w:iCs w:val="0"/>
                <w:color w:val="auto"/>
                <w:kern w:val="0"/>
                <w:sz w:val="21"/>
                <w:szCs w:val="21"/>
                <w:u w:val="none"/>
                <w:lang w:val="en-US" w:eastAsia="zh-CN" w:bidi="ar"/>
              </w:rPr>
              <w:t>、氨氮、</w:t>
            </w:r>
            <w:r>
              <w:rPr>
                <w:rFonts w:hint="default" w:ascii="Times New Roman" w:hAnsi="Times New Roman" w:eastAsia="宋体" w:cs="Times New Roman"/>
                <w:i w:val="0"/>
                <w:iCs w:val="0"/>
                <w:color w:val="auto"/>
                <w:kern w:val="0"/>
                <w:sz w:val="21"/>
                <w:szCs w:val="21"/>
                <w:u w:val="none"/>
                <w:lang w:val="en-US" w:eastAsia="zh-CN" w:bidi="ar"/>
              </w:rPr>
              <w:t>LAS</w:t>
            </w:r>
            <w:r>
              <w:rPr>
                <w:rFonts w:hint="eastAsia" w:ascii="宋体" w:hAnsi="宋体" w:eastAsia="宋体" w:cs="宋体"/>
                <w:i w:val="0"/>
                <w:iCs w:val="0"/>
                <w:color w:val="auto"/>
                <w:kern w:val="0"/>
                <w:sz w:val="21"/>
                <w:szCs w:val="21"/>
                <w:u w:val="none"/>
                <w:lang w:val="en-US" w:eastAsia="zh-CN" w:bidi="ar"/>
              </w:rPr>
              <w:t>、总磷、总氮</w:t>
            </w:r>
          </w:p>
        </w:tc>
        <w:tc>
          <w:tcPr>
            <w:tcW w:w="1299" w:type="pct"/>
            <w:noWrap w:val="0"/>
            <w:vAlign w:val="center"/>
          </w:tcPr>
          <w:p w14:paraId="20368BBF">
            <w:pPr>
              <w:widowControl/>
              <w:adjustRightInd w:val="0"/>
              <w:snapToGrid w:val="0"/>
              <w:jc w:val="center"/>
              <w:rPr>
                <w:rFonts w:hint="default" w:eastAsia="宋体"/>
                <w:color w:val="auto"/>
                <w:szCs w:val="21"/>
                <w:lang w:val="en-US" w:eastAsia="zh-CN"/>
              </w:rPr>
            </w:pPr>
            <w:r>
              <w:rPr>
                <w:rFonts w:hint="eastAsia"/>
                <w:color w:val="auto"/>
                <w:szCs w:val="21"/>
                <w:lang w:val="en-US" w:eastAsia="zh-CN"/>
              </w:rPr>
              <w:t>依托富士康园区已建分散式生化池处理</w:t>
            </w:r>
          </w:p>
        </w:tc>
      </w:tr>
      <w:tr w14:paraId="037F27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vMerge w:val="restart"/>
            <w:noWrap w:val="0"/>
            <w:vAlign w:val="center"/>
          </w:tcPr>
          <w:p w14:paraId="11740D7F">
            <w:pPr>
              <w:widowControl/>
              <w:adjustRightInd w:val="0"/>
              <w:snapToGrid w:val="0"/>
              <w:jc w:val="center"/>
              <w:rPr>
                <w:rFonts w:hint="eastAsia"/>
                <w:bCs/>
                <w:color w:val="auto"/>
                <w:kern w:val="0"/>
                <w:szCs w:val="21"/>
              </w:rPr>
            </w:pPr>
            <w:r>
              <w:rPr>
                <w:rFonts w:hint="eastAsia"/>
                <w:bCs/>
                <w:color w:val="auto"/>
                <w:kern w:val="0"/>
                <w:szCs w:val="21"/>
              </w:rPr>
              <w:t>废气</w:t>
            </w:r>
          </w:p>
        </w:tc>
        <w:tc>
          <w:tcPr>
            <w:tcW w:w="854" w:type="pct"/>
            <w:noWrap w:val="0"/>
            <w:vAlign w:val="center"/>
          </w:tcPr>
          <w:p w14:paraId="43D39D1A">
            <w:pPr>
              <w:widowControl/>
              <w:adjustRightInd w:val="0"/>
              <w:snapToGrid w:val="0"/>
              <w:jc w:val="center"/>
              <w:rPr>
                <w:rFonts w:hint="default" w:eastAsia="宋体"/>
                <w:bCs/>
                <w:color w:val="auto"/>
                <w:kern w:val="0"/>
                <w:szCs w:val="21"/>
                <w:lang w:val="en-US" w:eastAsia="zh-CN"/>
              </w:rPr>
            </w:pPr>
            <w:r>
              <w:rPr>
                <w:rFonts w:hint="eastAsia"/>
                <w:bCs/>
                <w:color w:val="auto"/>
                <w:kern w:val="0"/>
                <w:szCs w:val="21"/>
              </w:rPr>
              <w:t>G1-1</w:t>
            </w:r>
            <w:r>
              <w:rPr>
                <w:rFonts w:hint="eastAsia"/>
                <w:bCs/>
                <w:color w:val="auto"/>
                <w:kern w:val="0"/>
                <w:szCs w:val="21"/>
                <w:lang w:val="en-US" w:eastAsia="zh-CN"/>
              </w:rPr>
              <w:t>油墨挥发废气</w:t>
            </w:r>
          </w:p>
        </w:tc>
        <w:tc>
          <w:tcPr>
            <w:tcW w:w="681" w:type="pct"/>
            <w:noWrap w:val="0"/>
            <w:vAlign w:val="center"/>
          </w:tcPr>
          <w:p w14:paraId="3212A446">
            <w:pPr>
              <w:widowControl/>
              <w:adjustRightInd w:val="0"/>
              <w:snapToGrid w:val="0"/>
              <w:jc w:val="center"/>
              <w:rPr>
                <w:rFonts w:hint="default" w:eastAsia="宋体"/>
                <w:bCs/>
                <w:color w:val="auto"/>
                <w:kern w:val="0"/>
                <w:szCs w:val="21"/>
                <w:lang w:val="en-US" w:eastAsia="zh-CN"/>
              </w:rPr>
            </w:pPr>
            <w:r>
              <w:rPr>
                <w:rFonts w:hint="eastAsia"/>
                <w:bCs/>
                <w:color w:val="auto"/>
                <w:kern w:val="0"/>
                <w:szCs w:val="21"/>
                <w:lang w:val="en-US" w:eastAsia="zh-CN"/>
              </w:rPr>
              <w:t>凹面涂保护油</w:t>
            </w:r>
          </w:p>
        </w:tc>
        <w:tc>
          <w:tcPr>
            <w:tcW w:w="820" w:type="pct"/>
            <w:noWrap w:val="0"/>
            <w:vAlign w:val="center"/>
          </w:tcPr>
          <w:p w14:paraId="273F17EA">
            <w:pPr>
              <w:widowControl/>
              <w:adjustRightInd w:val="0"/>
              <w:snapToGrid w:val="0"/>
              <w:jc w:val="center"/>
              <w:rPr>
                <w:rFonts w:hint="eastAsia" w:eastAsia="宋体"/>
                <w:bCs/>
                <w:color w:val="auto"/>
                <w:kern w:val="0"/>
                <w:szCs w:val="21"/>
                <w:lang w:eastAsia="zh-CN"/>
              </w:rPr>
            </w:pPr>
            <w:r>
              <w:rPr>
                <w:rFonts w:hint="eastAsia"/>
                <w:bCs/>
                <w:color w:val="auto"/>
                <w:kern w:val="0"/>
                <w:szCs w:val="21"/>
                <w:lang w:val="en-US" w:eastAsia="zh-CN"/>
              </w:rPr>
              <w:t>凹面涂油机</w:t>
            </w:r>
          </w:p>
        </w:tc>
        <w:tc>
          <w:tcPr>
            <w:tcW w:w="1010" w:type="pct"/>
            <w:noWrap w:val="0"/>
            <w:vAlign w:val="center"/>
          </w:tcPr>
          <w:p w14:paraId="70847A2F">
            <w:pPr>
              <w:widowControl/>
              <w:adjustRightInd w:val="0"/>
              <w:snapToGrid w:val="0"/>
              <w:jc w:val="center"/>
              <w:rPr>
                <w:bCs/>
                <w:color w:val="auto"/>
                <w:kern w:val="0"/>
                <w:szCs w:val="21"/>
              </w:rPr>
            </w:pPr>
            <w:r>
              <w:rPr>
                <w:rFonts w:hint="eastAsia"/>
                <w:bCs/>
                <w:color w:val="auto"/>
                <w:kern w:val="0"/>
                <w:szCs w:val="21"/>
              </w:rPr>
              <w:t>非甲烷总烃</w:t>
            </w:r>
          </w:p>
        </w:tc>
        <w:tc>
          <w:tcPr>
            <w:tcW w:w="1299" w:type="pct"/>
            <w:vMerge w:val="restart"/>
            <w:noWrap w:val="0"/>
            <w:vAlign w:val="center"/>
          </w:tcPr>
          <w:p w14:paraId="0747DAE0">
            <w:pPr>
              <w:widowControl/>
              <w:adjustRightInd w:val="0"/>
              <w:snapToGrid w:val="0"/>
              <w:jc w:val="center"/>
              <w:rPr>
                <w:rFonts w:hint="default" w:eastAsia="宋体"/>
                <w:bCs/>
                <w:color w:val="auto"/>
                <w:kern w:val="0"/>
                <w:szCs w:val="21"/>
                <w:highlight w:val="none"/>
                <w:lang w:val="en-US" w:eastAsia="zh-CN"/>
              </w:rPr>
            </w:pPr>
            <w:r>
              <w:rPr>
                <w:rFonts w:hint="eastAsia"/>
                <w:bCs/>
                <w:color w:val="auto"/>
                <w:kern w:val="0"/>
                <w:szCs w:val="21"/>
                <w:highlight w:val="none"/>
              </w:rPr>
              <w:t>收集后</w:t>
            </w:r>
            <w:r>
              <w:rPr>
                <w:rFonts w:hint="eastAsia"/>
                <w:color w:val="auto"/>
                <w:szCs w:val="21"/>
                <w:highlight w:val="none"/>
              </w:rPr>
              <w:t>通过风管经</w:t>
            </w:r>
            <w:r>
              <w:rPr>
                <w:rFonts w:hint="eastAsia"/>
                <w:bCs/>
                <w:color w:val="auto"/>
                <w:szCs w:val="21"/>
                <w:highlight w:val="none"/>
              </w:rPr>
              <w:t>废气处理装置（工艺：两级活性炭吸附，风量为</w:t>
            </w:r>
            <w:r>
              <w:rPr>
                <w:rFonts w:hint="eastAsia"/>
                <w:bCs/>
                <w:color w:val="auto"/>
                <w:szCs w:val="21"/>
                <w:highlight w:val="none"/>
                <w:lang w:val="en-US" w:eastAsia="zh-CN"/>
              </w:rPr>
              <w:t>10</w:t>
            </w:r>
            <w:r>
              <w:rPr>
                <w:rFonts w:hint="eastAsia"/>
                <w:bCs/>
                <w:color w:val="auto"/>
                <w:szCs w:val="21"/>
                <w:highlight w:val="none"/>
              </w:rPr>
              <w:t>000</w:t>
            </w:r>
            <w:r>
              <w:rPr>
                <w:rFonts w:hint="eastAsia"/>
                <w:color w:val="auto"/>
                <w:szCs w:val="21"/>
                <w:highlight w:val="none"/>
                <w:lang w:eastAsia="zh-CN"/>
              </w:rPr>
              <w:t>m</w:t>
            </w:r>
            <w:r>
              <w:rPr>
                <w:rFonts w:hint="eastAsia"/>
                <w:color w:val="auto"/>
                <w:szCs w:val="21"/>
                <w:highlight w:val="none"/>
                <w:vertAlign w:val="superscript"/>
                <w:lang w:val="en-US" w:eastAsia="zh-CN"/>
              </w:rPr>
              <w:t>3</w:t>
            </w:r>
            <w:r>
              <w:rPr>
                <w:rFonts w:hint="eastAsia"/>
                <w:color w:val="auto"/>
                <w:szCs w:val="21"/>
                <w:highlight w:val="none"/>
              </w:rPr>
              <w:t>/h</w:t>
            </w:r>
            <w:r>
              <w:rPr>
                <w:rFonts w:hint="eastAsia"/>
                <w:color w:val="auto"/>
                <w:szCs w:val="21"/>
                <w:highlight w:val="none"/>
                <w:lang w:eastAsia="zh-CN"/>
              </w:rPr>
              <w:t>），</w:t>
            </w:r>
            <w:r>
              <w:rPr>
                <w:rFonts w:hint="eastAsia"/>
                <w:bCs/>
                <w:color w:val="auto"/>
                <w:szCs w:val="21"/>
                <w:highlight w:val="none"/>
              </w:rPr>
              <w:t>处理达标后</w:t>
            </w:r>
            <w:r>
              <w:rPr>
                <w:rFonts w:hint="eastAsia"/>
                <w:bCs/>
                <w:color w:val="auto"/>
                <w:szCs w:val="21"/>
                <w:highlight w:val="none"/>
                <w:lang w:val="en-US" w:eastAsia="zh-CN"/>
              </w:rPr>
              <w:t>有组织排放</w:t>
            </w:r>
          </w:p>
        </w:tc>
      </w:tr>
      <w:tr w14:paraId="1CDD5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vMerge w:val="continue"/>
            <w:noWrap w:val="0"/>
            <w:vAlign w:val="center"/>
          </w:tcPr>
          <w:p w14:paraId="7FA4C309">
            <w:pPr>
              <w:widowControl/>
              <w:adjustRightInd w:val="0"/>
              <w:snapToGrid w:val="0"/>
              <w:jc w:val="center"/>
              <w:rPr>
                <w:rFonts w:hint="eastAsia"/>
                <w:bCs/>
                <w:color w:val="auto"/>
                <w:kern w:val="0"/>
                <w:szCs w:val="21"/>
              </w:rPr>
            </w:pPr>
          </w:p>
        </w:tc>
        <w:tc>
          <w:tcPr>
            <w:tcW w:w="854" w:type="pct"/>
            <w:noWrap w:val="0"/>
            <w:vAlign w:val="center"/>
          </w:tcPr>
          <w:p w14:paraId="12CE067E">
            <w:pPr>
              <w:widowControl/>
              <w:adjustRightInd w:val="0"/>
              <w:snapToGrid w:val="0"/>
              <w:jc w:val="center"/>
              <w:rPr>
                <w:rFonts w:hint="default" w:eastAsia="宋体"/>
                <w:bCs/>
                <w:color w:val="auto"/>
                <w:kern w:val="0"/>
                <w:szCs w:val="21"/>
                <w:lang w:val="en-US" w:eastAsia="zh-CN"/>
              </w:rPr>
            </w:pPr>
            <w:r>
              <w:rPr>
                <w:rFonts w:hint="eastAsia"/>
                <w:bCs/>
                <w:color w:val="auto"/>
                <w:kern w:val="0"/>
                <w:szCs w:val="21"/>
                <w:lang w:val="en-US" w:eastAsia="zh-CN"/>
              </w:rPr>
              <w:t>G1-2烘烤废气</w:t>
            </w:r>
          </w:p>
        </w:tc>
        <w:tc>
          <w:tcPr>
            <w:tcW w:w="681" w:type="pct"/>
            <w:noWrap w:val="0"/>
            <w:vAlign w:val="center"/>
          </w:tcPr>
          <w:p w14:paraId="0176C509">
            <w:pPr>
              <w:widowControl/>
              <w:adjustRightInd w:val="0"/>
              <w:snapToGrid w:val="0"/>
              <w:jc w:val="center"/>
              <w:rPr>
                <w:rFonts w:hint="eastAsia" w:eastAsia="宋体"/>
                <w:bCs/>
                <w:color w:val="auto"/>
                <w:kern w:val="0"/>
                <w:szCs w:val="21"/>
                <w:lang w:val="en-US" w:eastAsia="zh-CN"/>
              </w:rPr>
            </w:pPr>
            <w:r>
              <w:rPr>
                <w:rFonts w:hint="eastAsia"/>
                <w:bCs/>
                <w:color w:val="auto"/>
                <w:kern w:val="0"/>
                <w:szCs w:val="21"/>
                <w:lang w:val="en-US" w:eastAsia="zh-CN"/>
              </w:rPr>
              <w:t>烘烤</w:t>
            </w:r>
          </w:p>
        </w:tc>
        <w:tc>
          <w:tcPr>
            <w:tcW w:w="820" w:type="pct"/>
            <w:noWrap w:val="0"/>
            <w:vAlign w:val="center"/>
          </w:tcPr>
          <w:p w14:paraId="3B8ED043">
            <w:pPr>
              <w:widowControl/>
              <w:adjustRightInd w:val="0"/>
              <w:snapToGrid w:val="0"/>
              <w:jc w:val="center"/>
              <w:rPr>
                <w:rFonts w:hint="default" w:eastAsia="宋体"/>
                <w:bCs/>
                <w:color w:val="auto"/>
                <w:kern w:val="0"/>
                <w:szCs w:val="21"/>
                <w:lang w:val="en-US" w:eastAsia="zh-CN"/>
              </w:rPr>
            </w:pPr>
            <w:r>
              <w:rPr>
                <w:rFonts w:hint="eastAsia"/>
                <w:bCs/>
                <w:color w:val="auto"/>
                <w:kern w:val="0"/>
                <w:szCs w:val="21"/>
                <w:lang w:val="en-US" w:eastAsia="zh-CN"/>
              </w:rPr>
              <w:t>立式烤箱</w:t>
            </w:r>
          </w:p>
        </w:tc>
        <w:tc>
          <w:tcPr>
            <w:tcW w:w="1010" w:type="pct"/>
            <w:noWrap w:val="0"/>
            <w:vAlign w:val="center"/>
          </w:tcPr>
          <w:p w14:paraId="61C8348A">
            <w:pPr>
              <w:widowControl/>
              <w:adjustRightInd w:val="0"/>
              <w:snapToGrid w:val="0"/>
              <w:jc w:val="center"/>
              <w:rPr>
                <w:rFonts w:hint="eastAsia"/>
                <w:bCs/>
                <w:color w:val="auto"/>
                <w:kern w:val="0"/>
                <w:szCs w:val="21"/>
              </w:rPr>
            </w:pPr>
            <w:r>
              <w:rPr>
                <w:rFonts w:hint="eastAsia"/>
                <w:bCs/>
                <w:color w:val="auto"/>
                <w:kern w:val="0"/>
                <w:szCs w:val="21"/>
              </w:rPr>
              <w:t>非甲烷总烃</w:t>
            </w:r>
          </w:p>
        </w:tc>
        <w:tc>
          <w:tcPr>
            <w:tcW w:w="1299" w:type="pct"/>
            <w:vMerge w:val="continue"/>
            <w:noWrap w:val="0"/>
            <w:vAlign w:val="center"/>
          </w:tcPr>
          <w:p w14:paraId="4623C733">
            <w:pPr>
              <w:widowControl/>
              <w:adjustRightInd w:val="0"/>
              <w:snapToGrid w:val="0"/>
              <w:jc w:val="center"/>
              <w:rPr>
                <w:rFonts w:hint="eastAsia"/>
                <w:bCs/>
                <w:color w:val="auto"/>
                <w:kern w:val="0"/>
                <w:szCs w:val="21"/>
              </w:rPr>
            </w:pPr>
          </w:p>
        </w:tc>
      </w:tr>
      <w:tr w14:paraId="1F2E4A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vMerge w:val="continue"/>
            <w:noWrap w:val="0"/>
            <w:vAlign w:val="center"/>
          </w:tcPr>
          <w:p w14:paraId="7DBE781B">
            <w:pPr>
              <w:widowControl/>
              <w:adjustRightInd w:val="0"/>
              <w:snapToGrid w:val="0"/>
              <w:jc w:val="center"/>
              <w:rPr>
                <w:rFonts w:hint="eastAsia"/>
                <w:bCs/>
                <w:color w:val="auto"/>
                <w:kern w:val="0"/>
                <w:szCs w:val="21"/>
              </w:rPr>
            </w:pPr>
          </w:p>
        </w:tc>
        <w:tc>
          <w:tcPr>
            <w:tcW w:w="854" w:type="pct"/>
            <w:noWrap w:val="0"/>
            <w:vAlign w:val="center"/>
          </w:tcPr>
          <w:p w14:paraId="198CF5F5">
            <w:pPr>
              <w:widowControl/>
              <w:adjustRightInd w:val="0"/>
              <w:snapToGrid w:val="0"/>
              <w:jc w:val="center"/>
              <w:rPr>
                <w:rFonts w:hint="default" w:eastAsia="宋体"/>
                <w:bCs/>
                <w:color w:val="auto"/>
                <w:kern w:val="0"/>
                <w:szCs w:val="21"/>
                <w:lang w:val="en-US" w:eastAsia="zh-CN"/>
              </w:rPr>
            </w:pPr>
            <w:r>
              <w:rPr>
                <w:rFonts w:hint="eastAsia"/>
                <w:bCs/>
                <w:color w:val="auto"/>
                <w:kern w:val="0"/>
                <w:szCs w:val="21"/>
                <w:lang w:val="en-US" w:eastAsia="zh-CN"/>
              </w:rPr>
              <w:t>G2光刻胶涂抹废气</w:t>
            </w:r>
          </w:p>
        </w:tc>
        <w:tc>
          <w:tcPr>
            <w:tcW w:w="681" w:type="pct"/>
            <w:noWrap w:val="0"/>
            <w:vAlign w:val="center"/>
          </w:tcPr>
          <w:p w14:paraId="581FDDDC">
            <w:pPr>
              <w:widowControl/>
              <w:adjustRightInd w:val="0"/>
              <w:snapToGrid w:val="0"/>
              <w:jc w:val="center"/>
              <w:rPr>
                <w:rFonts w:hint="default" w:eastAsia="宋体"/>
                <w:bCs/>
                <w:color w:val="auto"/>
                <w:kern w:val="0"/>
                <w:szCs w:val="21"/>
                <w:lang w:val="en-US" w:eastAsia="zh-CN"/>
              </w:rPr>
            </w:pPr>
            <w:r>
              <w:rPr>
                <w:rFonts w:hint="eastAsia"/>
                <w:bCs/>
                <w:color w:val="auto"/>
                <w:kern w:val="0"/>
                <w:szCs w:val="21"/>
                <w:lang w:val="en-US" w:eastAsia="zh-CN"/>
              </w:rPr>
              <w:t>光刻胶涂抹和烘干</w:t>
            </w:r>
          </w:p>
        </w:tc>
        <w:tc>
          <w:tcPr>
            <w:tcW w:w="820" w:type="pct"/>
            <w:noWrap w:val="0"/>
            <w:vAlign w:val="center"/>
          </w:tcPr>
          <w:p w14:paraId="20C86D73">
            <w:pPr>
              <w:widowControl/>
              <w:adjustRightInd w:val="0"/>
              <w:snapToGrid w:val="0"/>
              <w:jc w:val="center"/>
              <w:rPr>
                <w:rFonts w:hint="default" w:eastAsia="宋体"/>
                <w:bCs/>
                <w:color w:val="auto"/>
                <w:kern w:val="0"/>
                <w:szCs w:val="21"/>
                <w:lang w:val="en-US" w:eastAsia="zh-CN"/>
              </w:rPr>
            </w:pPr>
            <w:r>
              <w:rPr>
                <w:rFonts w:hint="eastAsia"/>
                <w:bCs/>
                <w:color w:val="auto"/>
                <w:kern w:val="0"/>
                <w:szCs w:val="21"/>
                <w:lang w:val="en-US" w:eastAsia="zh-CN"/>
              </w:rPr>
              <w:t>光刻机和烤箱</w:t>
            </w:r>
          </w:p>
        </w:tc>
        <w:tc>
          <w:tcPr>
            <w:tcW w:w="1010" w:type="pct"/>
            <w:noWrap w:val="0"/>
            <w:vAlign w:val="center"/>
          </w:tcPr>
          <w:p w14:paraId="26BFDDC0">
            <w:pPr>
              <w:widowControl/>
              <w:adjustRightInd w:val="0"/>
              <w:snapToGrid w:val="0"/>
              <w:jc w:val="center"/>
              <w:rPr>
                <w:rFonts w:hint="eastAsia"/>
                <w:bCs/>
                <w:color w:val="auto"/>
                <w:kern w:val="0"/>
                <w:szCs w:val="21"/>
              </w:rPr>
            </w:pPr>
            <w:r>
              <w:rPr>
                <w:rFonts w:hint="eastAsia"/>
                <w:bCs/>
                <w:color w:val="auto"/>
                <w:kern w:val="0"/>
                <w:szCs w:val="21"/>
              </w:rPr>
              <w:t>非甲烷总烃</w:t>
            </w:r>
          </w:p>
        </w:tc>
        <w:tc>
          <w:tcPr>
            <w:tcW w:w="1299" w:type="pct"/>
            <w:vMerge w:val="continue"/>
            <w:noWrap w:val="0"/>
            <w:vAlign w:val="center"/>
          </w:tcPr>
          <w:p w14:paraId="5FCDC685">
            <w:pPr>
              <w:widowControl/>
              <w:adjustRightInd w:val="0"/>
              <w:snapToGrid w:val="0"/>
              <w:jc w:val="center"/>
              <w:rPr>
                <w:rFonts w:hint="default"/>
                <w:bCs/>
                <w:color w:val="auto"/>
                <w:kern w:val="0"/>
                <w:szCs w:val="21"/>
                <w:lang w:val="en-US"/>
              </w:rPr>
            </w:pPr>
          </w:p>
        </w:tc>
      </w:tr>
      <w:tr w14:paraId="70FB53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vMerge w:val="continue"/>
            <w:noWrap w:val="0"/>
            <w:vAlign w:val="center"/>
          </w:tcPr>
          <w:p w14:paraId="2C63D9AF">
            <w:pPr>
              <w:widowControl/>
              <w:adjustRightInd w:val="0"/>
              <w:snapToGrid w:val="0"/>
              <w:jc w:val="center"/>
              <w:rPr>
                <w:rFonts w:hint="eastAsia"/>
                <w:bCs/>
                <w:color w:val="auto"/>
                <w:kern w:val="0"/>
                <w:szCs w:val="21"/>
              </w:rPr>
            </w:pPr>
          </w:p>
        </w:tc>
        <w:tc>
          <w:tcPr>
            <w:tcW w:w="854" w:type="pct"/>
            <w:shd w:val="clear" w:color="auto" w:fill="auto"/>
            <w:noWrap w:val="0"/>
            <w:vAlign w:val="center"/>
          </w:tcPr>
          <w:p w14:paraId="1DF57B0E">
            <w:pPr>
              <w:widowControl/>
              <w:adjustRightInd w:val="0"/>
              <w:snapToGrid w:val="0"/>
              <w:jc w:val="center"/>
              <w:rPr>
                <w:rFonts w:hint="eastAsia" w:ascii="Times New Roman" w:hAnsi="Times New Roman" w:eastAsia="宋体" w:cs="Times New Roman"/>
                <w:bCs/>
                <w:color w:val="auto"/>
                <w:kern w:val="0"/>
                <w:sz w:val="21"/>
                <w:szCs w:val="21"/>
                <w:lang w:val="en-US" w:eastAsia="zh-CN" w:bidi="ar-SA"/>
              </w:rPr>
            </w:pPr>
            <w:r>
              <w:rPr>
                <w:rFonts w:hint="eastAsia"/>
                <w:bCs/>
                <w:color w:val="auto"/>
                <w:kern w:val="0"/>
                <w:szCs w:val="21"/>
                <w:lang w:val="en-US" w:eastAsia="zh-CN"/>
              </w:rPr>
              <w:t>G5装配废气</w:t>
            </w:r>
          </w:p>
        </w:tc>
        <w:tc>
          <w:tcPr>
            <w:tcW w:w="681" w:type="pct"/>
            <w:shd w:val="clear" w:color="auto" w:fill="auto"/>
            <w:noWrap w:val="0"/>
            <w:vAlign w:val="center"/>
          </w:tcPr>
          <w:p w14:paraId="60E6335C">
            <w:pPr>
              <w:widowControl/>
              <w:adjustRightInd w:val="0"/>
              <w:snapToGrid w:val="0"/>
              <w:jc w:val="center"/>
              <w:rPr>
                <w:rFonts w:hint="eastAsia" w:ascii="Times New Roman" w:hAnsi="Times New Roman" w:eastAsia="宋体" w:cs="Times New Roman"/>
                <w:bCs/>
                <w:color w:val="auto"/>
                <w:kern w:val="0"/>
                <w:sz w:val="21"/>
                <w:szCs w:val="21"/>
                <w:lang w:val="en-US" w:eastAsia="zh-CN" w:bidi="ar-SA"/>
              </w:rPr>
            </w:pPr>
            <w:r>
              <w:rPr>
                <w:rFonts w:hint="eastAsia"/>
                <w:bCs/>
                <w:color w:val="auto"/>
                <w:kern w:val="0"/>
                <w:szCs w:val="21"/>
                <w:lang w:val="en-US" w:eastAsia="zh-CN"/>
              </w:rPr>
              <w:t>点胶</w:t>
            </w:r>
          </w:p>
        </w:tc>
        <w:tc>
          <w:tcPr>
            <w:tcW w:w="820" w:type="pct"/>
            <w:shd w:val="clear" w:color="auto" w:fill="auto"/>
            <w:noWrap w:val="0"/>
            <w:vAlign w:val="center"/>
          </w:tcPr>
          <w:p w14:paraId="11DB6F02">
            <w:pPr>
              <w:widowControl/>
              <w:adjustRightInd w:val="0"/>
              <w:snapToGrid w:val="0"/>
              <w:jc w:val="center"/>
              <w:rPr>
                <w:rFonts w:hint="eastAsia" w:ascii="Times New Roman" w:hAnsi="Times New Roman" w:eastAsia="宋体" w:cs="Times New Roman"/>
                <w:bCs/>
                <w:color w:val="auto"/>
                <w:kern w:val="0"/>
                <w:sz w:val="21"/>
                <w:szCs w:val="21"/>
                <w:lang w:val="en-US" w:eastAsia="zh-CN" w:bidi="ar-SA"/>
              </w:rPr>
            </w:pPr>
            <w:r>
              <w:rPr>
                <w:rFonts w:hint="eastAsia"/>
                <w:bCs/>
                <w:color w:val="auto"/>
                <w:kern w:val="0"/>
                <w:szCs w:val="21"/>
                <w:lang w:val="en-US" w:eastAsia="zh-CN"/>
              </w:rPr>
              <w:t>装配线</w:t>
            </w:r>
          </w:p>
        </w:tc>
        <w:tc>
          <w:tcPr>
            <w:tcW w:w="1010" w:type="pct"/>
            <w:shd w:val="clear" w:color="auto" w:fill="auto"/>
            <w:noWrap w:val="0"/>
            <w:vAlign w:val="center"/>
          </w:tcPr>
          <w:p w14:paraId="2666FF65">
            <w:pPr>
              <w:widowControl/>
              <w:adjustRightInd w:val="0"/>
              <w:snapToGrid w:val="0"/>
              <w:jc w:val="center"/>
              <w:rPr>
                <w:rFonts w:hint="eastAsia" w:ascii="Times New Roman" w:hAnsi="Times New Roman" w:eastAsia="宋体" w:cs="Times New Roman"/>
                <w:bCs/>
                <w:color w:val="auto"/>
                <w:kern w:val="0"/>
                <w:sz w:val="21"/>
                <w:szCs w:val="21"/>
                <w:lang w:val="en-US" w:eastAsia="zh-CN" w:bidi="ar-SA"/>
              </w:rPr>
            </w:pPr>
            <w:r>
              <w:rPr>
                <w:rFonts w:hint="eastAsia"/>
                <w:bCs/>
                <w:color w:val="auto"/>
                <w:kern w:val="0"/>
                <w:szCs w:val="21"/>
                <w:lang w:val="en-US" w:eastAsia="zh-CN"/>
              </w:rPr>
              <w:t>非甲烷总烃</w:t>
            </w:r>
          </w:p>
        </w:tc>
        <w:tc>
          <w:tcPr>
            <w:tcW w:w="1299" w:type="pct"/>
            <w:vMerge w:val="continue"/>
            <w:shd w:val="clear" w:color="auto" w:fill="auto"/>
            <w:noWrap w:val="0"/>
            <w:vAlign w:val="center"/>
          </w:tcPr>
          <w:p w14:paraId="22A425A3">
            <w:pPr>
              <w:widowControl/>
              <w:adjustRightInd w:val="0"/>
              <w:snapToGrid w:val="0"/>
              <w:jc w:val="center"/>
              <w:rPr>
                <w:rFonts w:hint="default" w:ascii="Times New Roman" w:hAnsi="Times New Roman" w:eastAsia="宋体" w:cs="Times New Roman"/>
                <w:bCs/>
                <w:color w:val="auto"/>
                <w:kern w:val="0"/>
                <w:sz w:val="21"/>
                <w:szCs w:val="21"/>
                <w:lang w:val="en-US" w:eastAsia="zh-CN" w:bidi="ar-SA"/>
              </w:rPr>
            </w:pPr>
          </w:p>
        </w:tc>
      </w:tr>
      <w:tr w14:paraId="5D7FE7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333" w:type="pct"/>
            <w:vMerge w:val="continue"/>
            <w:noWrap w:val="0"/>
            <w:vAlign w:val="center"/>
          </w:tcPr>
          <w:p w14:paraId="63507987">
            <w:pPr>
              <w:widowControl/>
              <w:adjustRightInd w:val="0"/>
              <w:snapToGrid w:val="0"/>
              <w:jc w:val="center"/>
              <w:rPr>
                <w:rFonts w:hint="eastAsia"/>
                <w:bCs/>
                <w:color w:val="auto"/>
                <w:kern w:val="0"/>
                <w:szCs w:val="21"/>
              </w:rPr>
            </w:pPr>
          </w:p>
        </w:tc>
        <w:tc>
          <w:tcPr>
            <w:tcW w:w="854" w:type="pct"/>
            <w:noWrap w:val="0"/>
            <w:vAlign w:val="center"/>
          </w:tcPr>
          <w:p w14:paraId="64B9482B">
            <w:pPr>
              <w:widowControl/>
              <w:adjustRightInd w:val="0"/>
              <w:snapToGrid w:val="0"/>
              <w:jc w:val="center"/>
              <w:rPr>
                <w:rFonts w:hint="default" w:eastAsia="宋体"/>
                <w:bCs/>
                <w:color w:val="auto"/>
                <w:kern w:val="0"/>
                <w:szCs w:val="21"/>
                <w:lang w:val="en-US" w:eastAsia="zh-CN"/>
              </w:rPr>
            </w:pPr>
            <w:r>
              <w:rPr>
                <w:rFonts w:hint="eastAsia"/>
                <w:bCs/>
                <w:color w:val="auto"/>
                <w:kern w:val="0"/>
                <w:szCs w:val="21"/>
                <w:lang w:val="en-US" w:eastAsia="zh-CN"/>
              </w:rPr>
              <w:t>G3蒙砂废气</w:t>
            </w:r>
          </w:p>
        </w:tc>
        <w:tc>
          <w:tcPr>
            <w:tcW w:w="681" w:type="pct"/>
            <w:noWrap w:val="0"/>
            <w:vAlign w:val="center"/>
          </w:tcPr>
          <w:p w14:paraId="1F5393B1">
            <w:pPr>
              <w:widowControl/>
              <w:adjustRightInd w:val="0"/>
              <w:snapToGrid w:val="0"/>
              <w:jc w:val="center"/>
              <w:rPr>
                <w:rFonts w:hint="eastAsia" w:eastAsia="宋体"/>
                <w:bCs/>
                <w:color w:val="auto"/>
                <w:kern w:val="0"/>
                <w:szCs w:val="21"/>
                <w:lang w:val="en-US" w:eastAsia="zh-CN"/>
              </w:rPr>
            </w:pPr>
            <w:r>
              <w:rPr>
                <w:rFonts w:hint="eastAsia"/>
                <w:bCs/>
                <w:color w:val="auto"/>
                <w:kern w:val="0"/>
                <w:szCs w:val="21"/>
                <w:lang w:val="en-US" w:eastAsia="zh-CN"/>
              </w:rPr>
              <w:t>蒙砂</w:t>
            </w:r>
          </w:p>
        </w:tc>
        <w:tc>
          <w:tcPr>
            <w:tcW w:w="820" w:type="pct"/>
            <w:noWrap w:val="0"/>
            <w:vAlign w:val="center"/>
          </w:tcPr>
          <w:p w14:paraId="78844D42">
            <w:pPr>
              <w:widowControl/>
              <w:adjustRightInd w:val="0"/>
              <w:snapToGrid w:val="0"/>
              <w:jc w:val="center"/>
              <w:rPr>
                <w:rFonts w:hint="default" w:eastAsia="宋体"/>
                <w:bCs/>
                <w:color w:val="auto"/>
                <w:kern w:val="0"/>
                <w:szCs w:val="21"/>
                <w:lang w:val="en-US" w:eastAsia="zh-CN"/>
              </w:rPr>
            </w:pPr>
            <w:r>
              <w:rPr>
                <w:rFonts w:hint="eastAsia"/>
                <w:bCs/>
                <w:color w:val="auto"/>
                <w:kern w:val="0"/>
                <w:szCs w:val="21"/>
                <w:lang w:val="en-US" w:eastAsia="zh-CN"/>
              </w:rPr>
              <w:t>AG蚀刻线</w:t>
            </w:r>
          </w:p>
        </w:tc>
        <w:tc>
          <w:tcPr>
            <w:tcW w:w="1010" w:type="pct"/>
            <w:noWrap w:val="0"/>
            <w:vAlign w:val="center"/>
          </w:tcPr>
          <w:p w14:paraId="48140E09">
            <w:pPr>
              <w:widowControl/>
              <w:adjustRightInd w:val="0"/>
              <w:snapToGrid w:val="0"/>
              <w:jc w:val="center"/>
              <w:rPr>
                <w:rFonts w:hint="default" w:eastAsia="宋体"/>
                <w:bCs/>
                <w:color w:val="auto"/>
                <w:kern w:val="0"/>
                <w:szCs w:val="21"/>
                <w:lang w:val="en-US" w:eastAsia="zh-CN"/>
              </w:rPr>
            </w:pPr>
            <w:r>
              <w:rPr>
                <w:rFonts w:hint="eastAsia"/>
                <w:bCs/>
                <w:color w:val="auto"/>
                <w:kern w:val="0"/>
                <w:szCs w:val="21"/>
                <w:lang w:val="en-US" w:eastAsia="zh-CN"/>
              </w:rPr>
              <w:t>氯化氢、氟化物</w:t>
            </w:r>
          </w:p>
        </w:tc>
        <w:tc>
          <w:tcPr>
            <w:tcW w:w="1299" w:type="pct"/>
            <w:vMerge w:val="restart"/>
            <w:noWrap w:val="0"/>
            <w:vAlign w:val="center"/>
          </w:tcPr>
          <w:p w14:paraId="17D16B8A">
            <w:pPr>
              <w:widowControl/>
              <w:adjustRightInd w:val="0"/>
              <w:snapToGrid w:val="0"/>
              <w:jc w:val="center"/>
              <w:rPr>
                <w:rFonts w:hint="default"/>
                <w:bCs/>
                <w:color w:val="auto"/>
                <w:kern w:val="0"/>
                <w:szCs w:val="21"/>
                <w:highlight w:val="none"/>
                <w:lang w:val="en-US"/>
              </w:rPr>
            </w:pPr>
            <w:r>
              <w:rPr>
                <w:rFonts w:hint="eastAsia" w:ascii="Times New Roman" w:hAnsi="Times New Roman" w:eastAsia="宋体" w:cs="Times New Roman"/>
                <w:bCs/>
                <w:color w:val="auto"/>
                <w:szCs w:val="21"/>
                <w:highlight w:val="none"/>
                <w:lang w:val="en-US" w:eastAsia="zh-CN"/>
              </w:rPr>
              <w:t>采用碱液淋塔（</w:t>
            </w:r>
            <w:r>
              <w:rPr>
                <w:rFonts w:hint="eastAsia"/>
                <w:bCs/>
                <w:color w:val="auto"/>
                <w:szCs w:val="21"/>
                <w:highlight w:val="none"/>
              </w:rPr>
              <w:t>风量为</w:t>
            </w:r>
            <w:r>
              <w:rPr>
                <w:rFonts w:hint="eastAsia"/>
                <w:bCs/>
                <w:color w:val="auto"/>
                <w:szCs w:val="21"/>
                <w:highlight w:val="none"/>
                <w:lang w:val="en-US" w:eastAsia="zh-CN"/>
              </w:rPr>
              <w:t>8</w:t>
            </w:r>
            <w:r>
              <w:rPr>
                <w:rFonts w:hint="eastAsia"/>
                <w:bCs/>
                <w:color w:val="auto"/>
                <w:szCs w:val="21"/>
                <w:highlight w:val="none"/>
              </w:rPr>
              <w:t>000</w:t>
            </w:r>
            <w:r>
              <w:rPr>
                <w:rFonts w:hint="eastAsia"/>
                <w:color w:val="auto"/>
                <w:szCs w:val="21"/>
                <w:highlight w:val="none"/>
                <w:lang w:eastAsia="zh-CN"/>
              </w:rPr>
              <w:t>m</w:t>
            </w:r>
            <w:r>
              <w:rPr>
                <w:rFonts w:hint="eastAsia"/>
                <w:color w:val="auto"/>
                <w:szCs w:val="21"/>
                <w:highlight w:val="none"/>
                <w:vertAlign w:val="superscript"/>
                <w:lang w:val="en-US" w:eastAsia="zh-CN"/>
              </w:rPr>
              <w:t>3</w:t>
            </w:r>
            <w:r>
              <w:rPr>
                <w:rFonts w:hint="eastAsia"/>
                <w:color w:val="auto"/>
                <w:szCs w:val="21"/>
                <w:highlight w:val="none"/>
              </w:rPr>
              <w:t>/h</w:t>
            </w:r>
            <w:r>
              <w:rPr>
                <w:rFonts w:hint="eastAsia"/>
                <w:color w:val="auto"/>
                <w:szCs w:val="21"/>
                <w:highlight w:val="none"/>
                <w:lang w:eastAsia="zh-CN"/>
              </w:rPr>
              <w:t>），</w:t>
            </w:r>
            <w:r>
              <w:rPr>
                <w:rFonts w:hint="eastAsia"/>
                <w:bCs/>
                <w:color w:val="auto"/>
                <w:szCs w:val="21"/>
                <w:highlight w:val="none"/>
              </w:rPr>
              <w:t>处理达标后</w:t>
            </w:r>
            <w:r>
              <w:rPr>
                <w:rFonts w:hint="eastAsia"/>
                <w:bCs/>
                <w:color w:val="auto"/>
                <w:szCs w:val="21"/>
                <w:highlight w:val="none"/>
                <w:lang w:val="en-US" w:eastAsia="zh-CN"/>
              </w:rPr>
              <w:t>有组织排放</w:t>
            </w:r>
          </w:p>
        </w:tc>
      </w:tr>
      <w:tr w14:paraId="1CED80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vMerge w:val="continue"/>
            <w:noWrap w:val="0"/>
            <w:vAlign w:val="center"/>
          </w:tcPr>
          <w:p w14:paraId="049CC36F">
            <w:pPr>
              <w:widowControl/>
              <w:adjustRightInd w:val="0"/>
              <w:snapToGrid w:val="0"/>
              <w:jc w:val="center"/>
              <w:rPr>
                <w:rFonts w:hint="eastAsia"/>
                <w:bCs/>
                <w:color w:val="auto"/>
                <w:kern w:val="0"/>
                <w:szCs w:val="21"/>
              </w:rPr>
            </w:pPr>
          </w:p>
        </w:tc>
        <w:tc>
          <w:tcPr>
            <w:tcW w:w="854" w:type="pct"/>
            <w:noWrap w:val="0"/>
            <w:vAlign w:val="center"/>
          </w:tcPr>
          <w:p w14:paraId="57548A21">
            <w:pPr>
              <w:widowControl/>
              <w:adjustRightInd w:val="0"/>
              <w:snapToGrid w:val="0"/>
              <w:jc w:val="center"/>
              <w:rPr>
                <w:rFonts w:hint="default" w:eastAsia="宋体"/>
                <w:bCs/>
                <w:color w:val="auto"/>
                <w:kern w:val="0"/>
                <w:szCs w:val="21"/>
                <w:lang w:val="en-US" w:eastAsia="zh-CN"/>
              </w:rPr>
            </w:pPr>
            <w:r>
              <w:rPr>
                <w:rFonts w:hint="eastAsia"/>
                <w:bCs/>
                <w:color w:val="auto"/>
                <w:kern w:val="0"/>
                <w:szCs w:val="21"/>
                <w:lang w:val="en-US" w:eastAsia="zh-CN"/>
              </w:rPr>
              <w:t>G4化抛废气</w:t>
            </w:r>
          </w:p>
        </w:tc>
        <w:tc>
          <w:tcPr>
            <w:tcW w:w="681" w:type="pct"/>
            <w:noWrap w:val="0"/>
            <w:vAlign w:val="center"/>
          </w:tcPr>
          <w:p w14:paraId="3B1B56D0">
            <w:pPr>
              <w:widowControl/>
              <w:adjustRightInd w:val="0"/>
              <w:snapToGrid w:val="0"/>
              <w:jc w:val="center"/>
              <w:rPr>
                <w:rFonts w:hint="eastAsia" w:eastAsia="宋体"/>
                <w:bCs/>
                <w:color w:val="auto"/>
                <w:kern w:val="0"/>
                <w:szCs w:val="21"/>
                <w:lang w:val="en-US" w:eastAsia="zh-CN"/>
              </w:rPr>
            </w:pPr>
            <w:r>
              <w:rPr>
                <w:rFonts w:hint="eastAsia"/>
                <w:bCs/>
                <w:color w:val="auto"/>
                <w:kern w:val="0"/>
                <w:szCs w:val="21"/>
                <w:lang w:val="en-US" w:eastAsia="zh-CN"/>
              </w:rPr>
              <w:t>化抛</w:t>
            </w:r>
          </w:p>
        </w:tc>
        <w:tc>
          <w:tcPr>
            <w:tcW w:w="820" w:type="pct"/>
            <w:noWrap w:val="0"/>
            <w:vAlign w:val="center"/>
          </w:tcPr>
          <w:p w14:paraId="77CE2FED">
            <w:pPr>
              <w:widowControl/>
              <w:adjustRightInd w:val="0"/>
              <w:snapToGrid w:val="0"/>
              <w:jc w:val="center"/>
              <w:rPr>
                <w:rFonts w:hint="default" w:eastAsia="宋体"/>
                <w:bCs/>
                <w:color w:val="auto"/>
                <w:kern w:val="0"/>
                <w:szCs w:val="21"/>
                <w:lang w:val="en-US" w:eastAsia="zh-CN"/>
              </w:rPr>
            </w:pPr>
            <w:r>
              <w:rPr>
                <w:rFonts w:hint="eastAsia"/>
                <w:bCs/>
                <w:color w:val="auto"/>
                <w:kern w:val="0"/>
                <w:szCs w:val="21"/>
                <w:lang w:val="en-US" w:eastAsia="zh-CN"/>
              </w:rPr>
              <w:t>AG蚀刻线</w:t>
            </w:r>
          </w:p>
        </w:tc>
        <w:tc>
          <w:tcPr>
            <w:tcW w:w="1010" w:type="pct"/>
            <w:noWrap w:val="0"/>
            <w:vAlign w:val="center"/>
          </w:tcPr>
          <w:p w14:paraId="20A32BF6">
            <w:pPr>
              <w:widowControl/>
              <w:adjustRightInd w:val="0"/>
              <w:snapToGrid w:val="0"/>
              <w:jc w:val="center"/>
              <w:rPr>
                <w:rFonts w:hint="eastAsia" w:eastAsia="宋体"/>
                <w:bCs/>
                <w:color w:val="auto"/>
                <w:kern w:val="0"/>
                <w:szCs w:val="21"/>
                <w:lang w:val="en-US" w:eastAsia="zh-CN"/>
              </w:rPr>
            </w:pPr>
            <w:r>
              <w:rPr>
                <w:rFonts w:hint="eastAsia"/>
                <w:bCs/>
                <w:color w:val="auto"/>
                <w:kern w:val="0"/>
                <w:szCs w:val="21"/>
                <w:lang w:val="en-US" w:eastAsia="zh-CN"/>
              </w:rPr>
              <w:t>硫酸雾、氟化物</w:t>
            </w:r>
          </w:p>
        </w:tc>
        <w:tc>
          <w:tcPr>
            <w:tcW w:w="1299" w:type="pct"/>
            <w:vMerge w:val="continue"/>
            <w:noWrap w:val="0"/>
            <w:vAlign w:val="center"/>
          </w:tcPr>
          <w:p w14:paraId="386EDDD8">
            <w:pPr>
              <w:widowControl/>
              <w:adjustRightInd w:val="0"/>
              <w:snapToGrid w:val="0"/>
              <w:jc w:val="center"/>
              <w:rPr>
                <w:rFonts w:hint="eastAsia"/>
                <w:bCs/>
                <w:color w:val="auto"/>
                <w:kern w:val="0"/>
                <w:szCs w:val="21"/>
              </w:rPr>
            </w:pPr>
          </w:p>
        </w:tc>
      </w:tr>
      <w:tr w14:paraId="1F75B7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vMerge w:val="restart"/>
            <w:noWrap w:val="0"/>
            <w:vAlign w:val="center"/>
          </w:tcPr>
          <w:p w14:paraId="71533ED0">
            <w:pPr>
              <w:widowControl/>
              <w:adjustRightInd w:val="0"/>
              <w:snapToGrid w:val="0"/>
              <w:jc w:val="center"/>
              <w:rPr>
                <w:rFonts w:hint="eastAsia"/>
                <w:bCs/>
                <w:color w:val="auto"/>
                <w:kern w:val="0"/>
                <w:szCs w:val="21"/>
              </w:rPr>
            </w:pPr>
            <w:r>
              <w:rPr>
                <w:rFonts w:hint="eastAsia"/>
                <w:bCs/>
                <w:color w:val="auto"/>
                <w:kern w:val="0"/>
                <w:szCs w:val="21"/>
              </w:rPr>
              <w:t>固废</w:t>
            </w:r>
          </w:p>
        </w:tc>
        <w:tc>
          <w:tcPr>
            <w:tcW w:w="854" w:type="pct"/>
            <w:noWrap w:val="0"/>
            <w:vAlign w:val="center"/>
          </w:tcPr>
          <w:p w14:paraId="6895FF5F">
            <w:pPr>
              <w:widowControl/>
              <w:adjustRightInd w:val="0"/>
              <w:snapToGrid w:val="0"/>
              <w:jc w:val="center"/>
              <w:rPr>
                <w:rFonts w:hint="default" w:eastAsia="宋体"/>
                <w:bCs/>
                <w:color w:val="auto"/>
                <w:kern w:val="0"/>
                <w:szCs w:val="21"/>
                <w:lang w:val="en-US" w:eastAsia="zh-CN"/>
              </w:rPr>
            </w:pPr>
            <w:r>
              <w:rPr>
                <w:rFonts w:hint="eastAsia"/>
                <w:bCs/>
                <w:color w:val="auto"/>
                <w:kern w:val="0"/>
                <w:szCs w:val="21"/>
              </w:rPr>
              <w:t>S1</w:t>
            </w:r>
            <w:r>
              <w:rPr>
                <w:rFonts w:hint="eastAsia"/>
                <w:bCs/>
                <w:color w:val="auto"/>
                <w:kern w:val="0"/>
                <w:szCs w:val="21"/>
                <w:lang w:val="en-US" w:eastAsia="zh-CN"/>
              </w:rPr>
              <w:t>废保护油墨桶</w:t>
            </w:r>
          </w:p>
        </w:tc>
        <w:tc>
          <w:tcPr>
            <w:tcW w:w="681" w:type="pct"/>
            <w:noWrap w:val="0"/>
            <w:vAlign w:val="center"/>
          </w:tcPr>
          <w:p w14:paraId="406CB3D5">
            <w:pPr>
              <w:widowControl/>
              <w:adjustRightInd w:val="0"/>
              <w:snapToGrid w:val="0"/>
              <w:jc w:val="center"/>
              <w:rPr>
                <w:rFonts w:hint="default" w:eastAsia="宋体"/>
                <w:bCs/>
                <w:color w:val="auto"/>
                <w:kern w:val="0"/>
                <w:szCs w:val="21"/>
                <w:lang w:val="en-US" w:eastAsia="zh-CN"/>
              </w:rPr>
            </w:pPr>
            <w:r>
              <w:rPr>
                <w:rFonts w:hint="eastAsia"/>
                <w:bCs/>
                <w:color w:val="auto"/>
                <w:kern w:val="0"/>
                <w:szCs w:val="21"/>
                <w:lang w:val="en-US" w:eastAsia="zh-CN"/>
              </w:rPr>
              <w:t>凹面涂保护油墨</w:t>
            </w:r>
          </w:p>
        </w:tc>
        <w:tc>
          <w:tcPr>
            <w:tcW w:w="820" w:type="pct"/>
            <w:vMerge w:val="restart"/>
            <w:noWrap w:val="0"/>
            <w:vAlign w:val="center"/>
          </w:tcPr>
          <w:p w14:paraId="04AF656E">
            <w:pPr>
              <w:widowControl/>
              <w:adjustRightInd w:val="0"/>
              <w:snapToGrid w:val="0"/>
              <w:jc w:val="center"/>
              <w:rPr>
                <w:rFonts w:hint="default" w:eastAsia="宋体"/>
                <w:bCs/>
                <w:color w:val="auto"/>
                <w:kern w:val="0"/>
                <w:szCs w:val="21"/>
                <w:lang w:val="en-US" w:eastAsia="zh-CN"/>
              </w:rPr>
            </w:pPr>
            <w:r>
              <w:rPr>
                <w:rFonts w:hint="eastAsia"/>
                <w:bCs/>
                <w:color w:val="auto"/>
                <w:kern w:val="0"/>
                <w:szCs w:val="21"/>
                <w:lang w:val="en-US" w:eastAsia="zh-CN"/>
              </w:rPr>
              <w:t>化学品开包</w:t>
            </w:r>
          </w:p>
        </w:tc>
        <w:tc>
          <w:tcPr>
            <w:tcW w:w="1010" w:type="pct"/>
            <w:noWrap w:val="0"/>
            <w:vAlign w:val="center"/>
          </w:tcPr>
          <w:p w14:paraId="7A2E1371">
            <w:pPr>
              <w:widowControl/>
              <w:adjustRightInd w:val="0"/>
              <w:snapToGrid w:val="0"/>
              <w:jc w:val="center"/>
              <w:rPr>
                <w:rFonts w:hint="eastAsia"/>
                <w:bCs/>
                <w:color w:val="auto"/>
                <w:kern w:val="0"/>
                <w:szCs w:val="21"/>
              </w:rPr>
            </w:pPr>
            <w:r>
              <w:rPr>
                <w:rFonts w:hint="eastAsia"/>
                <w:bCs/>
                <w:color w:val="auto"/>
                <w:kern w:val="0"/>
                <w:szCs w:val="21"/>
                <w:lang w:val="en-US" w:eastAsia="zh-CN"/>
              </w:rPr>
              <w:t>废保护油墨桶</w:t>
            </w:r>
          </w:p>
        </w:tc>
        <w:tc>
          <w:tcPr>
            <w:tcW w:w="1299" w:type="pct"/>
            <w:vMerge w:val="restart"/>
            <w:noWrap w:val="0"/>
            <w:vAlign w:val="center"/>
          </w:tcPr>
          <w:p w14:paraId="667160A9">
            <w:pPr>
              <w:widowControl/>
              <w:adjustRightInd w:val="0"/>
              <w:snapToGrid w:val="0"/>
              <w:jc w:val="center"/>
              <w:rPr>
                <w:rFonts w:hint="default" w:eastAsia="宋体"/>
                <w:bCs/>
                <w:color w:val="auto"/>
                <w:kern w:val="0"/>
                <w:szCs w:val="21"/>
                <w:lang w:val="en-US" w:eastAsia="zh-CN"/>
              </w:rPr>
            </w:pPr>
            <w:r>
              <w:rPr>
                <w:rFonts w:hint="eastAsia"/>
                <w:bCs/>
                <w:color w:val="auto"/>
                <w:kern w:val="0"/>
                <w:szCs w:val="21"/>
                <w:lang w:val="en-US" w:eastAsia="zh-CN"/>
              </w:rPr>
              <w:t>依托原有项目已建危险废物贮存库进行分类收集暂存后统一交有资质单位进行处理。</w:t>
            </w:r>
          </w:p>
        </w:tc>
      </w:tr>
      <w:tr w14:paraId="4FB688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vMerge w:val="continue"/>
            <w:noWrap w:val="0"/>
            <w:vAlign w:val="center"/>
          </w:tcPr>
          <w:p w14:paraId="5073A31D">
            <w:pPr>
              <w:widowControl/>
              <w:adjustRightInd w:val="0"/>
              <w:snapToGrid w:val="0"/>
              <w:jc w:val="center"/>
              <w:rPr>
                <w:rFonts w:hint="eastAsia"/>
                <w:bCs/>
                <w:color w:val="auto"/>
                <w:kern w:val="0"/>
                <w:szCs w:val="21"/>
              </w:rPr>
            </w:pPr>
          </w:p>
        </w:tc>
        <w:tc>
          <w:tcPr>
            <w:tcW w:w="854" w:type="pct"/>
            <w:noWrap w:val="0"/>
            <w:vAlign w:val="center"/>
          </w:tcPr>
          <w:p w14:paraId="5B8E9844">
            <w:pPr>
              <w:widowControl/>
              <w:adjustRightInd w:val="0"/>
              <w:snapToGrid w:val="0"/>
              <w:jc w:val="center"/>
              <w:rPr>
                <w:rFonts w:hint="default" w:eastAsia="宋体"/>
                <w:bCs/>
                <w:color w:val="auto"/>
                <w:kern w:val="0"/>
                <w:szCs w:val="21"/>
                <w:lang w:val="en-US" w:eastAsia="zh-CN"/>
              </w:rPr>
            </w:pPr>
            <w:r>
              <w:rPr>
                <w:rFonts w:hint="eastAsia"/>
                <w:bCs/>
                <w:color w:val="auto"/>
                <w:kern w:val="0"/>
                <w:szCs w:val="21"/>
              </w:rPr>
              <w:t>S</w:t>
            </w:r>
            <w:r>
              <w:rPr>
                <w:rFonts w:hint="eastAsia"/>
                <w:bCs/>
                <w:color w:val="auto"/>
                <w:kern w:val="0"/>
                <w:szCs w:val="21"/>
                <w:lang w:val="en-US" w:eastAsia="zh-CN"/>
              </w:rPr>
              <w:t>2废光刻胶桶</w:t>
            </w:r>
          </w:p>
        </w:tc>
        <w:tc>
          <w:tcPr>
            <w:tcW w:w="681" w:type="pct"/>
            <w:noWrap w:val="0"/>
            <w:vAlign w:val="center"/>
          </w:tcPr>
          <w:p w14:paraId="7EF24E17">
            <w:pPr>
              <w:widowControl/>
              <w:adjustRightInd w:val="0"/>
              <w:snapToGrid w:val="0"/>
              <w:jc w:val="center"/>
              <w:rPr>
                <w:rFonts w:hint="default" w:eastAsia="宋体"/>
                <w:bCs/>
                <w:color w:val="auto"/>
                <w:kern w:val="0"/>
                <w:szCs w:val="21"/>
                <w:lang w:val="en-US" w:eastAsia="zh-CN"/>
              </w:rPr>
            </w:pPr>
            <w:r>
              <w:rPr>
                <w:rFonts w:hint="eastAsia"/>
                <w:bCs/>
                <w:color w:val="auto"/>
                <w:kern w:val="0"/>
                <w:szCs w:val="21"/>
                <w:lang w:val="en-US" w:eastAsia="zh-CN"/>
              </w:rPr>
              <w:t>凸面涂光刻胶</w:t>
            </w:r>
          </w:p>
        </w:tc>
        <w:tc>
          <w:tcPr>
            <w:tcW w:w="820" w:type="pct"/>
            <w:vMerge w:val="continue"/>
            <w:noWrap w:val="0"/>
            <w:vAlign w:val="center"/>
          </w:tcPr>
          <w:p w14:paraId="2451BC2B">
            <w:pPr>
              <w:widowControl/>
              <w:adjustRightInd w:val="0"/>
              <w:snapToGrid w:val="0"/>
              <w:jc w:val="center"/>
              <w:rPr>
                <w:rFonts w:hint="eastAsia" w:eastAsia="宋体"/>
                <w:bCs/>
                <w:color w:val="auto"/>
                <w:kern w:val="0"/>
                <w:szCs w:val="21"/>
                <w:lang w:val="en-US" w:eastAsia="zh-CN"/>
              </w:rPr>
            </w:pPr>
          </w:p>
        </w:tc>
        <w:tc>
          <w:tcPr>
            <w:tcW w:w="1010" w:type="pct"/>
            <w:noWrap w:val="0"/>
            <w:vAlign w:val="center"/>
          </w:tcPr>
          <w:p w14:paraId="64D84049">
            <w:pPr>
              <w:widowControl/>
              <w:adjustRightInd w:val="0"/>
              <w:snapToGrid w:val="0"/>
              <w:jc w:val="center"/>
              <w:rPr>
                <w:bCs/>
                <w:color w:val="auto"/>
                <w:kern w:val="0"/>
                <w:szCs w:val="21"/>
              </w:rPr>
            </w:pPr>
            <w:r>
              <w:rPr>
                <w:rFonts w:hint="eastAsia"/>
                <w:bCs/>
                <w:color w:val="auto"/>
                <w:kern w:val="0"/>
                <w:szCs w:val="21"/>
                <w:lang w:val="en-US" w:eastAsia="zh-CN"/>
              </w:rPr>
              <w:t>废光刻胶桶</w:t>
            </w:r>
          </w:p>
        </w:tc>
        <w:tc>
          <w:tcPr>
            <w:tcW w:w="1299" w:type="pct"/>
            <w:vMerge w:val="continue"/>
            <w:noWrap w:val="0"/>
            <w:vAlign w:val="center"/>
          </w:tcPr>
          <w:p w14:paraId="25D4C2B6">
            <w:pPr>
              <w:widowControl/>
              <w:adjustRightInd w:val="0"/>
              <w:snapToGrid w:val="0"/>
              <w:jc w:val="center"/>
              <w:rPr>
                <w:bCs/>
                <w:color w:val="auto"/>
                <w:kern w:val="0"/>
                <w:szCs w:val="21"/>
              </w:rPr>
            </w:pPr>
          </w:p>
        </w:tc>
      </w:tr>
      <w:tr w14:paraId="70474B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333" w:type="pct"/>
            <w:vMerge w:val="continue"/>
            <w:noWrap w:val="0"/>
            <w:vAlign w:val="center"/>
          </w:tcPr>
          <w:p w14:paraId="5FAD7530">
            <w:pPr>
              <w:widowControl/>
              <w:adjustRightInd w:val="0"/>
              <w:snapToGrid w:val="0"/>
              <w:jc w:val="center"/>
              <w:rPr>
                <w:rFonts w:hint="eastAsia"/>
                <w:bCs/>
                <w:color w:val="auto"/>
                <w:kern w:val="0"/>
                <w:szCs w:val="21"/>
              </w:rPr>
            </w:pPr>
          </w:p>
        </w:tc>
        <w:tc>
          <w:tcPr>
            <w:tcW w:w="854" w:type="pct"/>
            <w:noWrap w:val="0"/>
            <w:vAlign w:val="center"/>
          </w:tcPr>
          <w:p w14:paraId="09E492D9">
            <w:pPr>
              <w:widowControl/>
              <w:adjustRightInd w:val="0"/>
              <w:snapToGrid w:val="0"/>
              <w:jc w:val="center"/>
              <w:rPr>
                <w:rFonts w:hint="default" w:eastAsia="宋体"/>
                <w:bCs/>
                <w:color w:val="auto"/>
                <w:kern w:val="0"/>
                <w:szCs w:val="21"/>
                <w:lang w:val="en-US" w:eastAsia="zh-CN"/>
              </w:rPr>
            </w:pPr>
            <w:r>
              <w:rPr>
                <w:rFonts w:hint="eastAsia"/>
                <w:bCs/>
                <w:color w:val="auto"/>
                <w:kern w:val="0"/>
                <w:szCs w:val="21"/>
              </w:rPr>
              <w:t>S</w:t>
            </w:r>
            <w:r>
              <w:rPr>
                <w:rFonts w:hint="eastAsia"/>
                <w:bCs/>
                <w:color w:val="auto"/>
                <w:kern w:val="0"/>
                <w:szCs w:val="21"/>
                <w:lang w:val="en-US" w:eastAsia="zh-CN"/>
              </w:rPr>
              <w:t>3显影废液</w:t>
            </w:r>
          </w:p>
        </w:tc>
        <w:tc>
          <w:tcPr>
            <w:tcW w:w="681" w:type="pct"/>
            <w:noWrap w:val="0"/>
            <w:vAlign w:val="center"/>
          </w:tcPr>
          <w:p w14:paraId="0C76577F">
            <w:pPr>
              <w:widowControl/>
              <w:adjustRightInd w:val="0"/>
              <w:snapToGrid w:val="0"/>
              <w:jc w:val="center"/>
              <w:rPr>
                <w:rFonts w:hint="eastAsia" w:eastAsia="宋体"/>
                <w:bCs/>
                <w:color w:val="auto"/>
                <w:kern w:val="0"/>
                <w:szCs w:val="21"/>
                <w:lang w:val="en-US" w:eastAsia="zh-CN"/>
              </w:rPr>
            </w:pPr>
            <w:r>
              <w:rPr>
                <w:rFonts w:hint="eastAsia"/>
                <w:bCs/>
                <w:color w:val="auto"/>
                <w:kern w:val="0"/>
                <w:szCs w:val="21"/>
                <w:lang w:val="en-US" w:eastAsia="zh-CN"/>
              </w:rPr>
              <w:t>显影</w:t>
            </w:r>
          </w:p>
        </w:tc>
        <w:tc>
          <w:tcPr>
            <w:tcW w:w="820" w:type="pct"/>
            <w:noWrap w:val="0"/>
            <w:vAlign w:val="center"/>
          </w:tcPr>
          <w:p w14:paraId="7A6997AC">
            <w:pPr>
              <w:widowControl/>
              <w:adjustRightInd w:val="0"/>
              <w:snapToGrid w:val="0"/>
              <w:jc w:val="center"/>
              <w:rPr>
                <w:rFonts w:hint="eastAsia" w:eastAsia="宋体"/>
                <w:bCs/>
                <w:color w:val="auto"/>
                <w:kern w:val="0"/>
                <w:szCs w:val="21"/>
                <w:lang w:val="en-US" w:eastAsia="zh-CN"/>
              </w:rPr>
            </w:pPr>
            <w:r>
              <w:rPr>
                <w:rFonts w:hint="eastAsia"/>
                <w:bCs/>
                <w:color w:val="auto"/>
                <w:kern w:val="0"/>
                <w:szCs w:val="21"/>
                <w:lang w:val="en-US" w:eastAsia="zh-CN"/>
              </w:rPr>
              <w:t>显影槽</w:t>
            </w:r>
          </w:p>
        </w:tc>
        <w:tc>
          <w:tcPr>
            <w:tcW w:w="1010" w:type="pct"/>
            <w:noWrap w:val="0"/>
            <w:vAlign w:val="center"/>
          </w:tcPr>
          <w:p w14:paraId="7E00F429">
            <w:pPr>
              <w:widowControl/>
              <w:adjustRightInd w:val="0"/>
              <w:snapToGrid w:val="0"/>
              <w:jc w:val="center"/>
              <w:rPr>
                <w:bCs/>
                <w:color w:val="auto"/>
                <w:kern w:val="0"/>
                <w:szCs w:val="21"/>
              </w:rPr>
            </w:pPr>
            <w:r>
              <w:rPr>
                <w:rFonts w:hint="eastAsia"/>
                <w:bCs/>
                <w:color w:val="auto"/>
                <w:kern w:val="0"/>
                <w:szCs w:val="21"/>
                <w:lang w:val="en-US" w:eastAsia="zh-CN"/>
              </w:rPr>
              <w:t>显影废液</w:t>
            </w:r>
          </w:p>
        </w:tc>
        <w:tc>
          <w:tcPr>
            <w:tcW w:w="1299" w:type="pct"/>
            <w:vMerge w:val="continue"/>
            <w:noWrap w:val="0"/>
            <w:vAlign w:val="center"/>
          </w:tcPr>
          <w:p w14:paraId="461B3AF6">
            <w:pPr>
              <w:widowControl/>
              <w:adjustRightInd w:val="0"/>
              <w:snapToGrid w:val="0"/>
              <w:jc w:val="center"/>
              <w:rPr>
                <w:bCs/>
                <w:color w:val="auto"/>
                <w:kern w:val="0"/>
                <w:szCs w:val="21"/>
              </w:rPr>
            </w:pPr>
          </w:p>
        </w:tc>
      </w:tr>
      <w:tr w14:paraId="20D32D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vMerge w:val="continue"/>
            <w:noWrap w:val="0"/>
            <w:vAlign w:val="center"/>
          </w:tcPr>
          <w:p w14:paraId="3AEEBC59">
            <w:pPr>
              <w:widowControl/>
              <w:adjustRightInd w:val="0"/>
              <w:snapToGrid w:val="0"/>
              <w:jc w:val="center"/>
              <w:rPr>
                <w:rFonts w:hint="eastAsia"/>
                <w:bCs/>
                <w:color w:val="auto"/>
                <w:kern w:val="0"/>
                <w:szCs w:val="21"/>
              </w:rPr>
            </w:pPr>
          </w:p>
        </w:tc>
        <w:tc>
          <w:tcPr>
            <w:tcW w:w="854" w:type="pct"/>
            <w:noWrap w:val="0"/>
            <w:vAlign w:val="center"/>
          </w:tcPr>
          <w:p w14:paraId="1237E4B2">
            <w:pPr>
              <w:widowControl/>
              <w:adjustRightInd w:val="0"/>
              <w:snapToGrid w:val="0"/>
              <w:jc w:val="center"/>
              <w:rPr>
                <w:rFonts w:hint="default" w:eastAsia="宋体"/>
                <w:bCs/>
                <w:color w:val="auto"/>
                <w:kern w:val="0"/>
                <w:szCs w:val="21"/>
                <w:lang w:val="en-US" w:eastAsia="zh-CN"/>
              </w:rPr>
            </w:pPr>
            <w:r>
              <w:rPr>
                <w:rFonts w:hint="eastAsia"/>
                <w:bCs/>
                <w:color w:val="auto"/>
                <w:kern w:val="0"/>
                <w:szCs w:val="21"/>
              </w:rPr>
              <w:t>S</w:t>
            </w:r>
            <w:r>
              <w:rPr>
                <w:rFonts w:hint="eastAsia"/>
                <w:bCs/>
                <w:color w:val="auto"/>
                <w:kern w:val="0"/>
                <w:szCs w:val="21"/>
                <w:lang w:val="en-US" w:eastAsia="zh-CN"/>
              </w:rPr>
              <w:t>4蚀刻线废槽渣</w:t>
            </w:r>
          </w:p>
        </w:tc>
        <w:tc>
          <w:tcPr>
            <w:tcW w:w="681" w:type="pct"/>
            <w:noWrap w:val="0"/>
            <w:vAlign w:val="center"/>
          </w:tcPr>
          <w:p w14:paraId="5FB5B650">
            <w:pPr>
              <w:widowControl/>
              <w:adjustRightInd w:val="0"/>
              <w:snapToGrid w:val="0"/>
              <w:jc w:val="center"/>
              <w:rPr>
                <w:rFonts w:hint="default" w:eastAsia="宋体"/>
                <w:bCs/>
                <w:color w:val="auto"/>
                <w:kern w:val="0"/>
                <w:szCs w:val="21"/>
                <w:lang w:val="en-US" w:eastAsia="zh-CN"/>
              </w:rPr>
            </w:pPr>
            <w:r>
              <w:rPr>
                <w:rFonts w:hint="eastAsia"/>
                <w:bCs/>
                <w:color w:val="auto"/>
                <w:kern w:val="0"/>
                <w:szCs w:val="21"/>
                <w:lang w:val="en-US" w:eastAsia="zh-CN"/>
              </w:rPr>
              <w:t>蒙砂、化抛</w:t>
            </w:r>
          </w:p>
        </w:tc>
        <w:tc>
          <w:tcPr>
            <w:tcW w:w="820" w:type="pct"/>
            <w:noWrap w:val="0"/>
            <w:vAlign w:val="center"/>
          </w:tcPr>
          <w:p w14:paraId="14693C3E">
            <w:pPr>
              <w:widowControl/>
              <w:adjustRightInd w:val="0"/>
              <w:snapToGrid w:val="0"/>
              <w:jc w:val="center"/>
              <w:rPr>
                <w:rFonts w:hint="default" w:eastAsia="宋体"/>
                <w:bCs/>
                <w:color w:val="auto"/>
                <w:kern w:val="0"/>
                <w:szCs w:val="21"/>
                <w:lang w:val="en-US" w:eastAsia="zh-CN"/>
              </w:rPr>
            </w:pPr>
            <w:r>
              <w:rPr>
                <w:rFonts w:hint="eastAsia"/>
                <w:bCs/>
                <w:color w:val="auto"/>
                <w:kern w:val="0"/>
                <w:szCs w:val="21"/>
                <w:lang w:val="en-US" w:eastAsia="zh-CN"/>
              </w:rPr>
              <w:t>AG蚀刻线</w:t>
            </w:r>
          </w:p>
        </w:tc>
        <w:tc>
          <w:tcPr>
            <w:tcW w:w="1010" w:type="pct"/>
            <w:noWrap w:val="0"/>
            <w:vAlign w:val="center"/>
          </w:tcPr>
          <w:p w14:paraId="0EA1C9C6">
            <w:pPr>
              <w:widowControl/>
              <w:adjustRightInd w:val="0"/>
              <w:snapToGrid w:val="0"/>
              <w:jc w:val="center"/>
              <w:rPr>
                <w:bCs/>
                <w:color w:val="auto"/>
                <w:kern w:val="0"/>
                <w:szCs w:val="21"/>
              </w:rPr>
            </w:pPr>
            <w:r>
              <w:rPr>
                <w:rFonts w:hint="eastAsia"/>
                <w:bCs/>
                <w:color w:val="auto"/>
                <w:kern w:val="0"/>
                <w:szCs w:val="21"/>
                <w:lang w:val="en-US" w:eastAsia="zh-CN"/>
              </w:rPr>
              <w:t>蚀刻线废槽渣</w:t>
            </w:r>
          </w:p>
        </w:tc>
        <w:tc>
          <w:tcPr>
            <w:tcW w:w="1299" w:type="pct"/>
            <w:vMerge w:val="continue"/>
            <w:noWrap w:val="0"/>
            <w:vAlign w:val="center"/>
          </w:tcPr>
          <w:p w14:paraId="2454EC44">
            <w:pPr>
              <w:widowControl/>
              <w:adjustRightInd w:val="0"/>
              <w:snapToGrid w:val="0"/>
              <w:jc w:val="center"/>
              <w:rPr>
                <w:bCs/>
                <w:color w:val="auto"/>
                <w:kern w:val="0"/>
                <w:szCs w:val="21"/>
              </w:rPr>
            </w:pPr>
          </w:p>
        </w:tc>
      </w:tr>
      <w:tr w14:paraId="34D715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vMerge w:val="continue"/>
            <w:noWrap w:val="0"/>
            <w:vAlign w:val="center"/>
          </w:tcPr>
          <w:p w14:paraId="40B4C23B">
            <w:pPr>
              <w:widowControl/>
              <w:adjustRightInd w:val="0"/>
              <w:snapToGrid w:val="0"/>
              <w:jc w:val="center"/>
              <w:rPr>
                <w:rFonts w:hint="eastAsia"/>
                <w:bCs/>
                <w:color w:val="auto"/>
                <w:kern w:val="0"/>
                <w:szCs w:val="21"/>
              </w:rPr>
            </w:pPr>
          </w:p>
        </w:tc>
        <w:tc>
          <w:tcPr>
            <w:tcW w:w="854" w:type="pct"/>
            <w:noWrap w:val="0"/>
            <w:vAlign w:val="center"/>
          </w:tcPr>
          <w:p w14:paraId="2D5C91AD">
            <w:pPr>
              <w:widowControl/>
              <w:adjustRightInd w:val="0"/>
              <w:snapToGrid w:val="0"/>
              <w:jc w:val="center"/>
              <w:rPr>
                <w:rFonts w:hint="default" w:eastAsia="宋体"/>
                <w:bCs/>
                <w:color w:val="auto"/>
                <w:kern w:val="0"/>
                <w:szCs w:val="21"/>
                <w:lang w:val="en-US" w:eastAsia="zh-CN"/>
              </w:rPr>
            </w:pPr>
            <w:r>
              <w:rPr>
                <w:rFonts w:hint="eastAsia"/>
                <w:bCs/>
                <w:color w:val="auto"/>
                <w:kern w:val="0"/>
                <w:szCs w:val="21"/>
                <w:lang w:val="en-US" w:eastAsia="zh-CN"/>
              </w:rPr>
              <w:t>S5退油槽废碱性槽液</w:t>
            </w:r>
          </w:p>
        </w:tc>
        <w:tc>
          <w:tcPr>
            <w:tcW w:w="681" w:type="pct"/>
            <w:noWrap w:val="0"/>
            <w:vAlign w:val="center"/>
          </w:tcPr>
          <w:p w14:paraId="6446D4D9">
            <w:pPr>
              <w:widowControl/>
              <w:adjustRightInd w:val="0"/>
              <w:snapToGrid w:val="0"/>
              <w:jc w:val="center"/>
              <w:rPr>
                <w:rFonts w:hint="eastAsia" w:eastAsia="宋体"/>
                <w:bCs/>
                <w:color w:val="auto"/>
                <w:kern w:val="0"/>
                <w:szCs w:val="21"/>
                <w:lang w:val="en-US" w:eastAsia="zh-CN"/>
              </w:rPr>
            </w:pPr>
            <w:r>
              <w:rPr>
                <w:rFonts w:hint="eastAsia"/>
                <w:bCs/>
                <w:color w:val="auto"/>
                <w:kern w:val="0"/>
                <w:szCs w:val="21"/>
                <w:lang w:val="en-US" w:eastAsia="zh-CN"/>
              </w:rPr>
              <w:t>退油</w:t>
            </w:r>
          </w:p>
        </w:tc>
        <w:tc>
          <w:tcPr>
            <w:tcW w:w="820" w:type="pct"/>
            <w:noWrap w:val="0"/>
            <w:vAlign w:val="center"/>
          </w:tcPr>
          <w:p w14:paraId="6AEF8F77">
            <w:pPr>
              <w:widowControl/>
              <w:adjustRightInd w:val="0"/>
              <w:snapToGrid w:val="0"/>
              <w:jc w:val="center"/>
              <w:rPr>
                <w:rFonts w:hint="eastAsia" w:eastAsia="宋体"/>
                <w:bCs/>
                <w:color w:val="auto"/>
                <w:kern w:val="0"/>
                <w:szCs w:val="21"/>
                <w:lang w:val="en-US" w:eastAsia="zh-CN"/>
              </w:rPr>
            </w:pPr>
            <w:r>
              <w:rPr>
                <w:rFonts w:hint="eastAsia"/>
                <w:bCs/>
                <w:color w:val="auto"/>
                <w:kern w:val="0"/>
                <w:szCs w:val="21"/>
                <w:lang w:val="en-US" w:eastAsia="zh-CN"/>
              </w:rPr>
              <w:t>退油槽</w:t>
            </w:r>
          </w:p>
        </w:tc>
        <w:tc>
          <w:tcPr>
            <w:tcW w:w="1010" w:type="pct"/>
            <w:noWrap w:val="0"/>
            <w:vAlign w:val="center"/>
          </w:tcPr>
          <w:p w14:paraId="13EB3DF4">
            <w:pPr>
              <w:widowControl/>
              <w:adjustRightInd w:val="0"/>
              <w:snapToGrid w:val="0"/>
              <w:jc w:val="center"/>
              <w:rPr>
                <w:rFonts w:hint="eastAsia" w:ascii="宋体" w:hAnsi="宋体"/>
                <w:color w:val="auto"/>
                <w:sz w:val="20"/>
                <w:lang w:val="zh-CN"/>
              </w:rPr>
            </w:pPr>
            <w:r>
              <w:rPr>
                <w:rFonts w:hint="eastAsia"/>
                <w:bCs/>
                <w:color w:val="auto"/>
                <w:kern w:val="0"/>
                <w:szCs w:val="21"/>
                <w:lang w:val="en-US" w:eastAsia="zh-CN"/>
              </w:rPr>
              <w:t>退油槽废碱性槽液</w:t>
            </w:r>
          </w:p>
        </w:tc>
        <w:tc>
          <w:tcPr>
            <w:tcW w:w="1299" w:type="pct"/>
            <w:vMerge w:val="continue"/>
            <w:noWrap w:val="0"/>
            <w:vAlign w:val="center"/>
          </w:tcPr>
          <w:p w14:paraId="15D12464">
            <w:pPr>
              <w:widowControl/>
              <w:adjustRightInd w:val="0"/>
              <w:snapToGrid w:val="0"/>
              <w:jc w:val="center"/>
              <w:rPr>
                <w:bCs/>
                <w:color w:val="auto"/>
                <w:kern w:val="0"/>
                <w:szCs w:val="21"/>
              </w:rPr>
            </w:pPr>
          </w:p>
        </w:tc>
      </w:tr>
      <w:tr w14:paraId="6D731C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vMerge w:val="continue"/>
            <w:noWrap w:val="0"/>
            <w:vAlign w:val="center"/>
          </w:tcPr>
          <w:p w14:paraId="0DDEE24C">
            <w:pPr>
              <w:widowControl/>
              <w:adjustRightInd w:val="0"/>
              <w:snapToGrid w:val="0"/>
              <w:jc w:val="center"/>
              <w:rPr>
                <w:rFonts w:hint="eastAsia"/>
                <w:bCs/>
                <w:color w:val="auto"/>
                <w:kern w:val="0"/>
                <w:szCs w:val="21"/>
              </w:rPr>
            </w:pPr>
          </w:p>
        </w:tc>
        <w:tc>
          <w:tcPr>
            <w:tcW w:w="854" w:type="pct"/>
            <w:noWrap w:val="0"/>
            <w:vAlign w:val="center"/>
          </w:tcPr>
          <w:p w14:paraId="1AC8CC83">
            <w:pPr>
              <w:widowControl/>
              <w:adjustRightInd w:val="0"/>
              <w:snapToGrid w:val="0"/>
              <w:jc w:val="center"/>
              <w:rPr>
                <w:rFonts w:hint="eastAsia"/>
                <w:bCs/>
                <w:color w:val="auto"/>
                <w:kern w:val="0"/>
                <w:szCs w:val="21"/>
                <w:lang w:val="en-US" w:eastAsia="zh-CN"/>
              </w:rPr>
            </w:pPr>
            <w:r>
              <w:rPr>
                <w:rFonts w:hint="eastAsia"/>
                <w:bCs/>
                <w:color w:val="auto"/>
                <w:kern w:val="0"/>
                <w:szCs w:val="21"/>
                <w:lang w:val="en-US" w:eastAsia="zh-CN"/>
              </w:rPr>
              <w:t>S8化学品包装物</w:t>
            </w:r>
          </w:p>
        </w:tc>
        <w:tc>
          <w:tcPr>
            <w:tcW w:w="681" w:type="pct"/>
            <w:noWrap w:val="0"/>
            <w:vAlign w:val="center"/>
          </w:tcPr>
          <w:p w14:paraId="7D5D8A3C">
            <w:pPr>
              <w:widowControl/>
              <w:adjustRightInd w:val="0"/>
              <w:snapToGrid w:val="0"/>
              <w:jc w:val="center"/>
              <w:rPr>
                <w:rFonts w:hint="default"/>
                <w:bCs/>
                <w:color w:val="auto"/>
                <w:kern w:val="0"/>
                <w:szCs w:val="21"/>
                <w:lang w:val="en-US" w:eastAsia="zh-CN"/>
              </w:rPr>
            </w:pPr>
            <w:r>
              <w:rPr>
                <w:rFonts w:hint="eastAsia"/>
                <w:bCs/>
                <w:color w:val="auto"/>
                <w:kern w:val="0"/>
                <w:szCs w:val="21"/>
                <w:lang w:val="en-US" w:eastAsia="zh-CN"/>
              </w:rPr>
              <w:t>生产线</w:t>
            </w:r>
          </w:p>
        </w:tc>
        <w:tc>
          <w:tcPr>
            <w:tcW w:w="820" w:type="pct"/>
            <w:noWrap w:val="0"/>
            <w:vAlign w:val="center"/>
          </w:tcPr>
          <w:p w14:paraId="59BBE59B">
            <w:pPr>
              <w:widowControl/>
              <w:adjustRightInd w:val="0"/>
              <w:snapToGrid w:val="0"/>
              <w:jc w:val="center"/>
              <w:rPr>
                <w:rFonts w:hint="eastAsia"/>
                <w:bCs/>
                <w:color w:val="auto"/>
                <w:kern w:val="0"/>
                <w:szCs w:val="21"/>
                <w:lang w:val="en-US" w:eastAsia="zh-CN"/>
              </w:rPr>
            </w:pPr>
            <w:r>
              <w:rPr>
                <w:rFonts w:hint="eastAsia"/>
                <w:bCs/>
                <w:color w:val="auto"/>
                <w:kern w:val="0"/>
                <w:szCs w:val="21"/>
                <w:lang w:val="en-US" w:eastAsia="zh-CN"/>
              </w:rPr>
              <w:t>化学品开包</w:t>
            </w:r>
          </w:p>
        </w:tc>
        <w:tc>
          <w:tcPr>
            <w:tcW w:w="1010" w:type="pct"/>
            <w:noWrap w:val="0"/>
            <w:vAlign w:val="center"/>
          </w:tcPr>
          <w:p w14:paraId="7A7444D7">
            <w:pPr>
              <w:widowControl/>
              <w:adjustRightInd w:val="0"/>
              <w:snapToGrid w:val="0"/>
              <w:jc w:val="center"/>
              <w:rPr>
                <w:rFonts w:hint="eastAsia"/>
                <w:bCs/>
                <w:color w:val="auto"/>
                <w:kern w:val="0"/>
                <w:szCs w:val="21"/>
                <w:lang w:val="en-US" w:eastAsia="zh-CN"/>
              </w:rPr>
            </w:pPr>
            <w:r>
              <w:rPr>
                <w:rFonts w:hint="eastAsia"/>
                <w:bCs/>
                <w:color w:val="auto"/>
                <w:kern w:val="0"/>
                <w:szCs w:val="21"/>
                <w:lang w:val="en-US" w:eastAsia="zh-CN"/>
              </w:rPr>
              <w:t>化学品包装物</w:t>
            </w:r>
          </w:p>
        </w:tc>
        <w:tc>
          <w:tcPr>
            <w:tcW w:w="1299" w:type="pct"/>
            <w:vMerge w:val="continue"/>
            <w:noWrap w:val="0"/>
            <w:vAlign w:val="center"/>
          </w:tcPr>
          <w:p w14:paraId="6D1491D6">
            <w:pPr>
              <w:widowControl/>
              <w:adjustRightInd w:val="0"/>
              <w:snapToGrid w:val="0"/>
              <w:jc w:val="center"/>
              <w:rPr>
                <w:bCs/>
                <w:color w:val="auto"/>
                <w:kern w:val="0"/>
                <w:szCs w:val="21"/>
              </w:rPr>
            </w:pPr>
          </w:p>
        </w:tc>
      </w:tr>
      <w:tr w14:paraId="744A1D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vMerge w:val="continue"/>
            <w:noWrap w:val="0"/>
            <w:vAlign w:val="center"/>
          </w:tcPr>
          <w:p w14:paraId="71AFB1D4">
            <w:pPr>
              <w:widowControl/>
              <w:adjustRightInd w:val="0"/>
              <w:snapToGrid w:val="0"/>
              <w:jc w:val="center"/>
              <w:rPr>
                <w:rFonts w:hint="eastAsia"/>
                <w:bCs/>
                <w:color w:val="auto"/>
                <w:kern w:val="0"/>
                <w:szCs w:val="21"/>
              </w:rPr>
            </w:pPr>
          </w:p>
        </w:tc>
        <w:tc>
          <w:tcPr>
            <w:tcW w:w="854" w:type="pct"/>
            <w:noWrap w:val="0"/>
            <w:vAlign w:val="center"/>
          </w:tcPr>
          <w:p w14:paraId="573EE794">
            <w:pPr>
              <w:widowControl/>
              <w:adjustRightInd w:val="0"/>
              <w:snapToGrid w:val="0"/>
              <w:jc w:val="center"/>
              <w:rPr>
                <w:rFonts w:hint="eastAsia"/>
                <w:bCs/>
                <w:color w:val="auto"/>
                <w:kern w:val="0"/>
                <w:sz w:val="21"/>
                <w:szCs w:val="21"/>
                <w:lang w:val="en-US" w:eastAsia="zh-CN" w:bidi="ar-SA"/>
              </w:rPr>
            </w:pPr>
            <w:r>
              <w:rPr>
                <w:rFonts w:hint="eastAsia"/>
                <w:bCs/>
                <w:color w:val="auto"/>
                <w:kern w:val="0"/>
                <w:szCs w:val="21"/>
                <w:lang w:val="en-US" w:eastAsia="zh-CN"/>
              </w:rPr>
              <w:t>S10废活性炭</w:t>
            </w:r>
          </w:p>
        </w:tc>
        <w:tc>
          <w:tcPr>
            <w:tcW w:w="681" w:type="pct"/>
            <w:noWrap w:val="0"/>
            <w:vAlign w:val="center"/>
          </w:tcPr>
          <w:p w14:paraId="7036CC0B">
            <w:pPr>
              <w:widowControl/>
              <w:adjustRightInd w:val="0"/>
              <w:snapToGrid w:val="0"/>
              <w:jc w:val="center"/>
              <w:rPr>
                <w:rFonts w:hint="eastAsia"/>
                <w:bCs/>
                <w:color w:val="auto"/>
                <w:kern w:val="0"/>
                <w:sz w:val="21"/>
                <w:szCs w:val="21"/>
                <w:lang w:val="en-US" w:eastAsia="zh-CN" w:bidi="ar-SA"/>
              </w:rPr>
            </w:pPr>
            <w:r>
              <w:rPr>
                <w:rFonts w:hint="eastAsia"/>
                <w:bCs/>
                <w:color w:val="auto"/>
                <w:kern w:val="0"/>
                <w:szCs w:val="21"/>
                <w:lang w:val="en-US" w:eastAsia="zh-CN"/>
              </w:rPr>
              <w:t>废气处理</w:t>
            </w:r>
          </w:p>
        </w:tc>
        <w:tc>
          <w:tcPr>
            <w:tcW w:w="820" w:type="pct"/>
            <w:noWrap w:val="0"/>
            <w:vAlign w:val="center"/>
          </w:tcPr>
          <w:p w14:paraId="758E1123">
            <w:pPr>
              <w:widowControl/>
              <w:adjustRightInd w:val="0"/>
              <w:snapToGrid w:val="0"/>
              <w:jc w:val="center"/>
              <w:rPr>
                <w:rFonts w:hint="eastAsia"/>
                <w:bCs/>
                <w:color w:val="auto"/>
                <w:kern w:val="0"/>
                <w:sz w:val="21"/>
                <w:szCs w:val="21"/>
                <w:lang w:val="en-US" w:eastAsia="zh-CN" w:bidi="ar-SA"/>
              </w:rPr>
            </w:pPr>
            <w:r>
              <w:rPr>
                <w:rFonts w:hint="eastAsia"/>
                <w:bCs/>
                <w:color w:val="auto"/>
                <w:kern w:val="0"/>
                <w:szCs w:val="21"/>
                <w:lang w:val="en-US" w:eastAsia="zh-CN"/>
              </w:rPr>
              <w:t>废气处理设施</w:t>
            </w:r>
          </w:p>
        </w:tc>
        <w:tc>
          <w:tcPr>
            <w:tcW w:w="1010" w:type="pct"/>
            <w:noWrap w:val="0"/>
            <w:vAlign w:val="center"/>
          </w:tcPr>
          <w:p w14:paraId="11CA2C7A">
            <w:pPr>
              <w:widowControl/>
              <w:adjustRightInd w:val="0"/>
              <w:snapToGrid w:val="0"/>
              <w:jc w:val="center"/>
              <w:rPr>
                <w:rFonts w:hint="eastAsia"/>
                <w:bCs/>
                <w:color w:val="auto"/>
                <w:kern w:val="0"/>
                <w:sz w:val="21"/>
                <w:szCs w:val="21"/>
                <w:lang w:val="en-US" w:eastAsia="zh-CN" w:bidi="ar-SA"/>
              </w:rPr>
            </w:pPr>
            <w:r>
              <w:rPr>
                <w:rFonts w:hint="eastAsia"/>
                <w:bCs/>
                <w:color w:val="auto"/>
                <w:kern w:val="0"/>
                <w:szCs w:val="21"/>
                <w:lang w:val="en-US" w:eastAsia="zh-CN"/>
              </w:rPr>
              <w:t>废活性炭</w:t>
            </w:r>
          </w:p>
        </w:tc>
        <w:tc>
          <w:tcPr>
            <w:tcW w:w="1299" w:type="pct"/>
            <w:vMerge w:val="continue"/>
            <w:noWrap w:val="0"/>
            <w:vAlign w:val="center"/>
          </w:tcPr>
          <w:p w14:paraId="4B1A2EDE">
            <w:pPr>
              <w:widowControl/>
              <w:adjustRightInd w:val="0"/>
              <w:snapToGrid w:val="0"/>
              <w:jc w:val="center"/>
              <w:rPr>
                <w:bCs/>
                <w:color w:val="auto"/>
                <w:kern w:val="0"/>
                <w:szCs w:val="21"/>
              </w:rPr>
            </w:pPr>
          </w:p>
        </w:tc>
      </w:tr>
      <w:tr w14:paraId="25AD28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vMerge w:val="continue"/>
            <w:noWrap w:val="0"/>
            <w:vAlign w:val="center"/>
          </w:tcPr>
          <w:p w14:paraId="7C7813B1">
            <w:pPr>
              <w:widowControl/>
              <w:adjustRightInd w:val="0"/>
              <w:snapToGrid w:val="0"/>
              <w:jc w:val="center"/>
              <w:rPr>
                <w:rFonts w:hint="eastAsia"/>
                <w:bCs/>
                <w:color w:val="auto"/>
                <w:kern w:val="0"/>
                <w:szCs w:val="21"/>
              </w:rPr>
            </w:pPr>
          </w:p>
        </w:tc>
        <w:tc>
          <w:tcPr>
            <w:tcW w:w="854" w:type="pct"/>
            <w:noWrap w:val="0"/>
            <w:vAlign w:val="center"/>
          </w:tcPr>
          <w:p w14:paraId="0B9299F9">
            <w:pPr>
              <w:widowControl/>
              <w:adjustRightInd w:val="0"/>
              <w:snapToGrid w:val="0"/>
              <w:jc w:val="center"/>
              <w:rPr>
                <w:rFonts w:hint="default"/>
                <w:bCs/>
                <w:color w:val="auto"/>
                <w:kern w:val="0"/>
                <w:szCs w:val="21"/>
                <w:lang w:val="en-US" w:eastAsia="zh-CN"/>
              </w:rPr>
            </w:pPr>
            <w:r>
              <w:rPr>
                <w:rFonts w:hint="eastAsia"/>
                <w:bCs/>
                <w:color w:val="auto"/>
                <w:kern w:val="0"/>
                <w:szCs w:val="21"/>
                <w:lang w:val="en-US" w:eastAsia="zh-CN"/>
              </w:rPr>
              <w:t>S6不合格产品</w:t>
            </w:r>
          </w:p>
        </w:tc>
        <w:tc>
          <w:tcPr>
            <w:tcW w:w="681" w:type="pct"/>
            <w:noWrap w:val="0"/>
            <w:vAlign w:val="center"/>
          </w:tcPr>
          <w:p w14:paraId="5AF420CE">
            <w:pPr>
              <w:widowControl/>
              <w:adjustRightInd w:val="0"/>
              <w:snapToGrid w:val="0"/>
              <w:jc w:val="center"/>
              <w:rPr>
                <w:rFonts w:hint="eastAsia" w:eastAsia="宋体"/>
                <w:bCs/>
                <w:color w:val="auto"/>
                <w:kern w:val="0"/>
                <w:szCs w:val="21"/>
                <w:lang w:val="en-US" w:eastAsia="zh-CN"/>
              </w:rPr>
            </w:pPr>
            <w:r>
              <w:rPr>
                <w:rFonts w:hint="eastAsia"/>
                <w:bCs/>
                <w:color w:val="auto"/>
                <w:kern w:val="0"/>
                <w:szCs w:val="21"/>
                <w:lang w:val="en-US" w:eastAsia="zh-CN"/>
              </w:rPr>
              <w:t>检验</w:t>
            </w:r>
          </w:p>
        </w:tc>
        <w:tc>
          <w:tcPr>
            <w:tcW w:w="820" w:type="pct"/>
            <w:noWrap w:val="0"/>
            <w:vAlign w:val="center"/>
          </w:tcPr>
          <w:p w14:paraId="6059C2FD">
            <w:pPr>
              <w:widowControl/>
              <w:adjustRightInd w:val="0"/>
              <w:snapToGrid w:val="0"/>
              <w:jc w:val="center"/>
              <w:rPr>
                <w:rFonts w:hint="default" w:eastAsia="宋体"/>
                <w:bCs/>
                <w:color w:val="auto"/>
                <w:kern w:val="0"/>
                <w:szCs w:val="21"/>
                <w:lang w:val="en-US" w:eastAsia="zh-CN"/>
              </w:rPr>
            </w:pPr>
            <w:r>
              <w:rPr>
                <w:rFonts w:hint="eastAsia"/>
                <w:bCs/>
                <w:color w:val="auto"/>
                <w:kern w:val="0"/>
                <w:szCs w:val="21"/>
                <w:lang w:val="en-US" w:eastAsia="zh-CN"/>
              </w:rPr>
              <w:t>检验线</w:t>
            </w:r>
          </w:p>
        </w:tc>
        <w:tc>
          <w:tcPr>
            <w:tcW w:w="1010" w:type="pct"/>
            <w:noWrap w:val="0"/>
            <w:vAlign w:val="center"/>
          </w:tcPr>
          <w:p w14:paraId="52A42239">
            <w:pPr>
              <w:widowControl/>
              <w:adjustRightInd w:val="0"/>
              <w:snapToGrid w:val="0"/>
              <w:jc w:val="center"/>
              <w:rPr>
                <w:rFonts w:hint="eastAsia" w:ascii="宋体" w:hAnsi="宋体"/>
                <w:color w:val="auto"/>
                <w:sz w:val="20"/>
                <w:lang w:val="zh-CN"/>
              </w:rPr>
            </w:pPr>
            <w:r>
              <w:rPr>
                <w:rFonts w:hint="eastAsia"/>
                <w:bCs/>
                <w:color w:val="auto"/>
                <w:kern w:val="0"/>
                <w:szCs w:val="21"/>
                <w:lang w:val="en-US" w:eastAsia="zh-CN"/>
              </w:rPr>
              <w:t>不合格产品</w:t>
            </w:r>
          </w:p>
        </w:tc>
        <w:tc>
          <w:tcPr>
            <w:tcW w:w="1299" w:type="pct"/>
            <w:vMerge w:val="restart"/>
            <w:noWrap w:val="0"/>
            <w:vAlign w:val="center"/>
          </w:tcPr>
          <w:p w14:paraId="6395E061">
            <w:pPr>
              <w:widowControl/>
              <w:adjustRightInd w:val="0"/>
              <w:snapToGrid w:val="0"/>
              <w:jc w:val="center"/>
              <w:rPr>
                <w:rFonts w:hint="default" w:eastAsia="宋体"/>
                <w:bCs/>
                <w:color w:val="auto"/>
                <w:kern w:val="0"/>
                <w:szCs w:val="21"/>
                <w:lang w:val="en-US" w:eastAsia="zh-CN"/>
              </w:rPr>
            </w:pPr>
            <w:r>
              <w:rPr>
                <w:rFonts w:hint="eastAsia"/>
                <w:bCs/>
                <w:color w:val="auto"/>
                <w:kern w:val="0"/>
                <w:szCs w:val="21"/>
                <w:lang w:val="en-US" w:eastAsia="zh-CN"/>
              </w:rPr>
              <w:t>交回收公司回收</w:t>
            </w:r>
          </w:p>
        </w:tc>
      </w:tr>
      <w:tr w14:paraId="2F73F6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vMerge w:val="continue"/>
            <w:noWrap w:val="0"/>
            <w:vAlign w:val="center"/>
          </w:tcPr>
          <w:p w14:paraId="4CE09F29">
            <w:pPr>
              <w:widowControl/>
              <w:adjustRightInd w:val="0"/>
              <w:snapToGrid w:val="0"/>
              <w:jc w:val="center"/>
              <w:rPr>
                <w:rFonts w:hint="eastAsia"/>
                <w:bCs/>
                <w:color w:val="auto"/>
                <w:kern w:val="0"/>
                <w:szCs w:val="21"/>
              </w:rPr>
            </w:pPr>
          </w:p>
        </w:tc>
        <w:tc>
          <w:tcPr>
            <w:tcW w:w="854" w:type="pct"/>
            <w:noWrap w:val="0"/>
            <w:vAlign w:val="center"/>
          </w:tcPr>
          <w:p w14:paraId="7914EA2D">
            <w:pPr>
              <w:widowControl/>
              <w:adjustRightInd w:val="0"/>
              <w:snapToGrid w:val="0"/>
              <w:jc w:val="center"/>
              <w:rPr>
                <w:rFonts w:hint="eastAsia"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S7普通废包装物</w:t>
            </w:r>
          </w:p>
        </w:tc>
        <w:tc>
          <w:tcPr>
            <w:tcW w:w="681" w:type="pct"/>
            <w:noWrap w:val="0"/>
            <w:vAlign w:val="center"/>
          </w:tcPr>
          <w:p w14:paraId="2D56B0A6">
            <w:pPr>
              <w:widowControl/>
              <w:adjustRightInd w:val="0"/>
              <w:snapToGrid w:val="0"/>
              <w:jc w:val="center"/>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生产厂房</w:t>
            </w:r>
          </w:p>
        </w:tc>
        <w:tc>
          <w:tcPr>
            <w:tcW w:w="820" w:type="pct"/>
            <w:noWrap w:val="0"/>
            <w:vAlign w:val="center"/>
          </w:tcPr>
          <w:p w14:paraId="45FE043A">
            <w:pPr>
              <w:widowControl/>
              <w:adjustRightInd w:val="0"/>
              <w:snapToGrid w:val="0"/>
              <w:jc w:val="center"/>
              <w:rPr>
                <w:rFonts w:hint="default"/>
                <w:bCs/>
                <w:color w:val="auto"/>
                <w:kern w:val="0"/>
                <w:szCs w:val="21"/>
                <w:lang w:val="en-US" w:eastAsia="zh-CN"/>
              </w:rPr>
            </w:pPr>
            <w:r>
              <w:rPr>
                <w:rFonts w:hint="eastAsia"/>
                <w:bCs/>
                <w:color w:val="auto"/>
                <w:kern w:val="0"/>
                <w:szCs w:val="21"/>
                <w:lang w:val="en-US" w:eastAsia="zh-CN"/>
              </w:rPr>
              <w:t>生产线</w:t>
            </w:r>
          </w:p>
        </w:tc>
        <w:tc>
          <w:tcPr>
            <w:tcW w:w="1010" w:type="pct"/>
            <w:noWrap w:val="0"/>
            <w:vAlign w:val="center"/>
          </w:tcPr>
          <w:p w14:paraId="1ECF16F1">
            <w:pPr>
              <w:widowControl/>
              <w:adjustRightInd w:val="0"/>
              <w:snapToGrid w:val="0"/>
              <w:jc w:val="center"/>
              <w:rPr>
                <w:rFonts w:hint="eastAsia"/>
                <w:bCs/>
                <w:color w:val="auto"/>
                <w:kern w:val="0"/>
                <w:szCs w:val="21"/>
                <w:lang w:val="en-US" w:eastAsia="zh-CN"/>
              </w:rPr>
            </w:pPr>
            <w:r>
              <w:rPr>
                <w:rFonts w:hint="eastAsia" w:ascii="Times New Roman" w:hAnsi="Times New Roman" w:eastAsia="宋体" w:cs="Times New Roman"/>
                <w:bCs/>
                <w:color w:val="auto"/>
                <w:kern w:val="0"/>
                <w:szCs w:val="21"/>
                <w:lang w:val="en-US" w:eastAsia="zh-CN"/>
              </w:rPr>
              <w:t>普通废包装物</w:t>
            </w:r>
          </w:p>
        </w:tc>
        <w:tc>
          <w:tcPr>
            <w:tcW w:w="1299" w:type="pct"/>
            <w:vMerge w:val="continue"/>
            <w:noWrap w:val="0"/>
            <w:vAlign w:val="center"/>
          </w:tcPr>
          <w:p w14:paraId="39032C78">
            <w:pPr>
              <w:widowControl/>
              <w:adjustRightInd w:val="0"/>
              <w:snapToGrid w:val="0"/>
              <w:jc w:val="center"/>
              <w:rPr>
                <w:rFonts w:hint="eastAsia"/>
                <w:bCs/>
                <w:color w:val="auto"/>
                <w:kern w:val="0"/>
                <w:szCs w:val="21"/>
                <w:lang w:val="en-US" w:eastAsia="zh-CN"/>
              </w:rPr>
            </w:pPr>
          </w:p>
        </w:tc>
      </w:tr>
      <w:tr w14:paraId="31C6F1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vMerge w:val="continue"/>
            <w:noWrap w:val="0"/>
            <w:vAlign w:val="center"/>
          </w:tcPr>
          <w:p w14:paraId="7E4D6EFC">
            <w:pPr>
              <w:widowControl/>
              <w:adjustRightInd w:val="0"/>
              <w:snapToGrid w:val="0"/>
              <w:jc w:val="center"/>
              <w:rPr>
                <w:rFonts w:hint="eastAsia"/>
                <w:bCs/>
                <w:color w:val="auto"/>
                <w:kern w:val="0"/>
                <w:szCs w:val="21"/>
              </w:rPr>
            </w:pPr>
          </w:p>
        </w:tc>
        <w:tc>
          <w:tcPr>
            <w:tcW w:w="854" w:type="pct"/>
            <w:noWrap w:val="0"/>
            <w:vAlign w:val="center"/>
          </w:tcPr>
          <w:p w14:paraId="43B23585">
            <w:pPr>
              <w:widowControl/>
              <w:adjustRightInd w:val="0"/>
              <w:snapToGrid w:val="0"/>
              <w:jc w:val="center"/>
              <w:rPr>
                <w:rFonts w:hint="eastAsia"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S9废配件</w:t>
            </w:r>
          </w:p>
        </w:tc>
        <w:tc>
          <w:tcPr>
            <w:tcW w:w="681" w:type="pct"/>
            <w:noWrap w:val="0"/>
            <w:vAlign w:val="center"/>
          </w:tcPr>
          <w:p w14:paraId="38CEE49E">
            <w:pPr>
              <w:widowControl/>
              <w:adjustRightInd w:val="0"/>
              <w:snapToGrid w:val="0"/>
              <w:jc w:val="center"/>
              <w:rPr>
                <w:rFonts w:hint="eastAsia"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auto"/>
                <w:kern w:val="0"/>
                <w:szCs w:val="21"/>
                <w:lang w:val="en-US" w:eastAsia="zh-CN"/>
              </w:rPr>
              <w:t>生产厂房</w:t>
            </w:r>
          </w:p>
        </w:tc>
        <w:tc>
          <w:tcPr>
            <w:tcW w:w="820" w:type="pct"/>
            <w:noWrap w:val="0"/>
            <w:vAlign w:val="center"/>
          </w:tcPr>
          <w:p w14:paraId="4C13A8D4">
            <w:pPr>
              <w:widowControl/>
              <w:adjustRightInd w:val="0"/>
              <w:snapToGrid w:val="0"/>
              <w:jc w:val="center"/>
              <w:rPr>
                <w:rFonts w:hint="eastAsia"/>
                <w:bCs/>
                <w:color w:val="auto"/>
                <w:kern w:val="0"/>
                <w:szCs w:val="21"/>
                <w:lang w:val="en-US" w:eastAsia="zh-CN"/>
              </w:rPr>
            </w:pPr>
            <w:r>
              <w:rPr>
                <w:rFonts w:hint="eastAsia"/>
                <w:bCs/>
                <w:color w:val="auto"/>
                <w:kern w:val="0"/>
                <w:szCs w:val="21"/>
                <w:lang w:val="en-US" w:eastAsia="zh-CN"/>
              </w:rPr>
              <w:t>生产线</w:t>
            </w:r>
          </w:p>
        </w:tc>
        <w:tc>
          <w:tcPr>
            <w:tcW w:w="1010" w:type="pct"/>
            <w:noWrap w:val="0"/>
            <w:vAlign w:val="center"/>
          </w:tcPr>
          <w:p w14:paraId="2E0E5DC5">
            <w:pPr>
              <w:widowControl/>
              <w:adjustRightInd w:val="0"/>
              <w:snapToGrid w:val="0"/>
              <w:jc w:val="center"/>
              <w:rPr>
                <w:rFonts w:hint="eastAsia"/>
                <w:bCs/>
                <w:color w:val="auto"/>
                <w:kern w:val="0"/>
                <w:szCs w:val="21"/>
                <w:lang w:val="en-US" w:eastAsia="zh-CN"/>
              </w:rPr>
            </w:pPr>
            <w:r>
              <w:rPr>
                <w:rFonts w:hint="eastAsia" w:ascii="Times New Roman" w:hAnsi="Times New Roman" w:eastAsia="宋体" w:cs="Times New Roman"/>
                <w:bCs/>
                <w:color w:val="auto"/>
                <w:kern w:val="0"/>
                <w:szCs w:val="21"/>
                <w:lang w:val="en-US" w:eastAsia="zh-CN"/>
              </w:rPr>
              <w:t>废配件</w:t>
            </w:r>
          </w:p>
        </w:tc>
        <w:tc>
          <w:tcPr>
            <w:tcW w:w="1299" w:type="pct"/>
            <w:vMerge w:val="continue"/>
            <w:noWrap w:val="0"/>
            <w:vAlign w:val="center"/>
          </w:tcPr>
          <w:p w14:paraId="1ABF034D">
            <w:pPr>
              <w:widowControl/>
              <w:adjustRightInd w:val="0"/>
              <w:snapToGrid w:val="0"/>
              <w:jc w:val="center"/>
              <w:rPr>
                <w:rFonts w:hint="eastAsia"/>
                <w:bCs/>
                <w:color w:val="auto"/>
                <w:kern w:val="0"/>
                <w:szCs w:val="21"/>
                <w:lang w:val="en-US" w:eastAsia="zh-CN"/>
              </w:rPr>
            </w:pPr>
          </w:p>
        </w:tc>
      </w:tr>
      <w:tr w14:paraId="09F67D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 w:type="pct"/>
            <w:vMerge w:val="continue"/>
            <w:noWrap w:val="0"/>
            <w:vAlign w:val="center"/>
          </w:tcPr>
          <w:p w14:paraId="04177550">
            <w:pPr>
              <w:widowControl/>
              <w:adjustRightInd w:val="0"/>
              <w:snapToGrid w:val="0"/>
              <w:jc w:val="center"/>
              <w:rPr>
                <w:rFonts w:hint="eastAsia"/>
                <w:bCs/>
                <w:color w:val="auto"/>
                <w:kern w:val="0"/>
                <w:szCs w:val="21"/>
              </w:rPr>
            </w:pPr>
          </w:p>
        </w:tc>
        <w:tc>
          <w:tcPr>
            <w:tcW w:w="854" w:type="pct"/>
            <w:noWrap w:val="0"/>
            <w:vAlign w:val="center"/>
          </w:tcPr>
          <w:p w14:paraId="60BBE61C">
            <w:pPr>
              <w:widowControl/>
              <w:adjustRightInd w:val="0"/>
              <w:snapToGrid w:val="0"/>
              <w:jc w:val="center"/>
              <w:rPr>
                <w:rFonts w:hint="default"/>
                <w:bCs/>
                <w:color w:val="auto"/>
                <w:kern w:val="0"/>
                <w:szCs w:val="21"/>
                <w:lang w:val="en-US" w:eastAsia="zh-CN"/>
              </w:rPr>
            </w:pPr>
            <w:r>
              <w:rPr>
                <w:rFonts w:hint="eastAsia"/>
                <w:bCs/>
                <w:color w:val="auto"/>
                <w:kern w:val="0"/>
                <w:szCs w:val="21"/>
                <w:lang w:val="en-US" w:eastAsia="zh-CN"/>
              </w:rPr>
              <w:t>S11生活垃圾</w:t>
            </w:r>
          </w:p>
        </w:tc>
        <w:tc>
          <w:tcPr>
            <w:tcW w:w="681" w:type="pct"/>
            <w:noWrap w:val="0"/>
            <w:vAlign w:val="center"/>
          </w:tcPr>
          <w:p w14:paraId="126CC7DC">
            <w:pPr>
              <w:widowControl/>
              <w:adjustRightInd w:val="0"/>
              <w:snapToGrid w:val="0"/>
              <w:jc w:val="center"/>
              <w:rPr>
                <w:rFonts w:hint="default"/>
                <w:bCs/>
                <w:color w:val="auto"/>
                <w:kern w:val="0"/>
                <w:szCs w:val="21"/>
                <w:lang w:val="en-US" w:eastAsia="zh-CN"/>
              </w:rPr>
            </w:pPr>
            <w:r>
              <w:rPr>
                <w:rFonts w:hint="eastAsia"/>
                <w:bCs/>
                <w:color w:val="auto"/>
                <w:kern w:val="0"/>
                <w:szCs w:val="21"/>
                <w:lang w:val="en-US" w:eastAsia="zh-CN"/>
              </w:rPr>
              <w:t>员工生活</w:t>
            </w:r>
          </w:p>
        </w:tc>
        <w:tc>
          <w:tcPr>
            <w:tcW w:w="820" w:type="pct"/>
            <w:noWrap w:val="0"/>
            <w:vAlign w:val="center"/>
          </w:tcPr>
          <w:p w14:paraId="177BAEB0">
            <w:pPr>
              <w:widowControl/>
              <w:adjustRightInd w:val="0"/>
              <w:snapToGrid w:val="0"/>
              <w:jc w:val="center"/>
              <w:rPr>
                <w:rFonts w:hint="eastAsia"/>
                <w:bCs/>
                <w:color w:val="auto"/>
                <w:kern w:val="0"/>
                <w:szCs w:val="21"/>
                <w:lang w:val="en-US" w:eastAsia="zh-CN"/>
              </w:rPr>
            </w:pPr>
            <w:r>
              <w:rPr>
                <w:rFonts w:hint="eastAsia"/>
                <w:bCs/>
                <w:color w:val="auto"/>
                <w:kern w:val="0"/>
                <w:szCs w:val="21"/>
                <w:lang w:val="en-US" w:eastAsia="zh-CN"/>
              </w:rPr>
              <w:t>员工生活</w:t>
            </w:r>
          </w:p>
        </w:tc>
        <w:tc>
          <w:tcPr>
            <w:tcW w:w="1010" w:type="pct"/>
            <w:noWrap w:val="0"/>
            <w:vAlign w:val="center"/>
          </w:tcPr>
          <w:p w14:paraId="5A2B6107">
            <w:pPr>
              <w:widowControl/>
              <w:adjustRightInd w:val="0"/>
              <w:snapToGrid w:val="0"/>
              <w:jc w:val="center"/>
              <w:rPr>
                <w:rFonts w:hint="eastAsia"/>
                <w:bCs/>
                <w:color w:val="auto"/>
                <w:kern w:val="0"/>
                <w:szCs w:val="21"/>
                <w:lang w:val="en-US" w:eastAsia="zh-CN"/>
              </w:rPr>
            </w:pPr>
            <w:r>
              <w:rPr>
                <w:rFonts w:hint="eastAsia"/>
                <w:bCs/>
                <w:color w:val="auto"/>
                <w:kern w:val="0"/>
                <w:szCs w:val="21"/>
                <w:lang w:val="en-US" w:eastAsia="zh-CN"/>
              </w:rPr>
              <w:t>生活垃圾</w:t>
            </w:r>
          </w:p>
        </w:tc>
        <w:tc>
          <w:tcPr>
            <w:tcW w:w="1299" w:type="pct"/>
            <w:noWrap w:val="0"/>
            <w:vAlign w:val="center"/>
          </w:tcPr>
          <w:p w14:paraId="4B28B056">
            <w:pPr>
              <w:widowControl/>
              <w:adjustRightInd w:val="0"/>
              <w:snapToGrid w:val="0"/>
              <w:jc w:val="center"/>
              <w:rPr>
                <w:rFonts w:hint="default"/>
                <w:bCs/>
                <w:color w:val="auto"/>
                <w:kern w:val="0"/>
                <w:szCs w:val="21"/>
                <w:lang w:val="en-US" w:eastAsia="zh-CN"/>
              </w:rPr>
            </w:pPr>
            <w:r>
              <w:rPr>
                <w:rFonts w:hint="eastAsia"/>
                <w:bCs/>
                <w:color w:val="auto"/>
                <w:kern w:val="0"/>
                <w:szCs w:val="21"/>
                <w:lang w:val="en-US" w:eastAsia="zh-CN"/>
              </w:rPr>
              <w:t>市政环卫部门处理</w:t>
            </w:r>
          </w:p>
        </w:tc>
      </w:tr>
    </w:tbl>
    <w:p w14:paraId="5CAE783D">
      <w:pPr>
        <w:pStyle w:val="3"/>
      </w:pPr>
      <w:bookmarkStart w:id="150" w:name="_Toc28746"/>
      <w:r>
        <w:t>3.6项目变动情况</w:t>
      </w:r>
      <w:bookmarkEnd w:id="95"/>
      <w:bookmarkEnd w:id="96"/>
      <w:bookmarkEnd w:id="150"/>
    </w:p>
    <w:p w14:paraId="53DBF271">
      <w:pPr>
        <w:spacing w:line="490" w:lineRule="exact"/>
        <w:ind w:firstLine="482"/>
        <w:jc w:val="left"/>
        <w:rPr>
          <w:sz w:val="24"/>
        </w:rPr>
      </w:pPr>
      <w:r>
        <w:rPr>
          <w:rFonts w:hint="eastAsia"/>
          <w:sz w:val="24"/>
        </w:rPr>
        <w:t>根据企业提供的相关资料和现场踏勘情况，对照“关于印发《污染影响类建设项目重大变动清单（试行）》的通知环办环评函[2020]688 号”进行重大变动界定分析，具体情况如下：</w:t>
      </w:r>
    </w:p>
    <w:p w14:paraId="02DBD025">
      <w:pPr>
        <w:spacing w:line="360" w:lineRule="auto"/>
        <w:ind w:firstLine="482"/>
        <w:jc w:val="center"/>
        <w:rPr>
          <w:b/>
          <w:bCs/>
          <w:sz w:val="24"/>
        </w:rPr>
      </w:pPr>
      <w:r>
        <w:rPr>
          <w:rFonts w:hint="eastAsia"/>
          <w:b/>
          <w:bCs/>
          <w:sz w:val="24"/>
        </w:rPr>
        <w:t>表</w:t>
      </w:r>
      <w:r>
        <w:rPr>
          <w:rFonts w:hint="eastAsia"/>
          <w:b/>
          <w:bCs/>
          <w:sz w:val="24"/>
          <w:lang w:val="en-US" w:eastAsia="zh-CN"/>
        </w:rPr>
        <w:t>3-10</w:t>
      </w:r>
      <w:r>
        <w:rPr>
          <w:b/>
          <w:bCs/>
          <w:sz w:val="24"/>
        </w:rPr>
        <w:t xml:space="preserve"> </w:t>
      </w:r>
      <w:r>
        <w:rPr>
          <w:rFonts w:hint="eastAsia"/>
          <w:b/>
          <w:bCs/>
          <w:sz w:val="24"/>
        </w:rPr>
        <w:t>项目重大变动界定分析</w:t>
      </w:r>
    </w:p>
    <w:tbl>
      <w:tblPr>
        <w:tblStyle w:val="36"/>
        <w:tblW w:w="0" w:type="auto"/>
        <w:tblInd w:w="12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3825"/>
        <w:gridCol w:w="3147"/>
        <w:gridCol w:w="1083"/>
      </w:tblGrid>
      <w:tr w14:paraId="3E3B84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8" w:type="dxa"/>
            <w:vAlign w:val="center"/>
          </w:tcPr>
          <w:p w14:paraId="3E1E1AA1">
            <w:pPr>
              <w:jc w:val="center"/>
              <w:rPr>
                <w:b/>
                <w:bCs/>
                <w:szCs w:val="21"/>
              </w:rPr>
            </w:pPr>
            <w:r>
              <w:rPr>
                <w:rFonts w:hint="eastAsia"/>
                <w:b/>
                <w:bCs/>
                <w:szCs w:val="21"/>
              </w:rPr>
              <w:t>类别</w:t>
            </w:r>
          </w:p>
        </w:tc>
        <w:tc>
          <w:tcPr>
            <w:tcW w:w="3825" w:type="dxa"/>
            <w:vAlign w:val="center"/>
          </w:tcPr>
          <w:p w14:paraId="23F058D9">
            <w:pPr>
              <w:jc w:val="center"/>
              <w:rPr>
                <w:b/>
                <w:bCs/>
                <w:szCs w:val="21"/>
              </w:rPr>
            </w:pPr>
            <w:r>
              <w:rPr>
                <w:rFonts w:hint="eastAsia"/>
                <w:b/>
                <w:bCs/>
                <w:szCs w:val="21"/>
              </w:rPr>
              <w:t>具体内容</w:t>
            </w:r>
          </w:p>
        </w:tc>
        <w:tc>
          <w:tcPr>
            <w:tcW w:w="3147" w:type="dxa"/>
            <w:vAlign w:val="center"/>
          </w:tcPr>
          <w:p w14:paraId="568D45D0">
            <w:pPr>
              <w:jc w:val="center"/>
              <w:rPr>
                <w:b/>
                <w:bCs/>
                <w:szCs w:val="21"/>
              </w:rPr>
            </w:pPr>
            <w:r>
              <w:rPr>
                <w:rFonts w:hint="eastAsia"/>
                <w:b/>
                <w:bCs/>
                <w:szCs w:val="21"/>
              </w:rPr>
              <w:t>本项目</w:t>
            </w:r>
          </w:p>
        </w:tc>
        <w:tc>
          <w:tcPr>
            <w:tcW w:w="1083" w:type="dxa"/>
            <w:vAlign w:val="center"/>
          </w:tcPr>
          <w:p w14:paraId="04BC1342">
            <w:pPr>
              <w:jc w:val="center"/>
              <w:rPr>
                <w:b/>
                <w:bCs/>
                <w:szCs w:val="21"/>
              </w:rPr>
            </w:pPr>
            <w:r>
              <w:rPr>
                <w:rFonts w:hint="eastAsia"/>
                <w:b/>
                <w:bCs/>
                <w:szCs w:val="21"/>
              </w:rPr>
              <w:t>符合性</w:t>
            </w:r>
          </w:p>
        </w:tc>
      </w:tr>
      <w:tr w14:paraId="7A8061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8" w:type="dxa"/>
            <w:vAlign w:val="center"/>
          </w:tcPr>
          <w:p w14:paraId="0C57CF57">
            <w:pPr>
              <w:jc w:val="center"/>
              <w:rPr>
                <w:szCs w:val="21"/>
              </w:rPr>
            </w:pPr>
            <w:r>
              <w:rPr>
                <w:rFonts w:hint="eastAsia"/>
                <w:szCs w:val="21"/>
              </w:rPr>
              <w:t>性质</w:t>
            </w:r>
          </w:p>
        </w:tc>
        <w:tc>
          <w:tcPr>
            <w:tcW w:w="3825" w:type="dxa"/>
            <w:vAlign w:val="center"/>
          </w:tcPr>
          <w:p w14:paraId="1FB9FB19">
            <w:pPr>
              <w:jc w:val="left"/>
              <w:rPr>
                <w:szCs w:val="21"/>
              </w:rPr>
            </w:pPr>
            <w:r>
              <w:rPr>
                <w:rFonts w:hint="eastAsia"/>
                <w:szCs w:val="21"/>
              </w:rPr>
              <w:t>1、建设项目开发、使用功能发生变化的。</w:t>
            </w:r>
          </w:p>
        </w:tc>
        <w:tc>
          <w:tcPr>
            <w:tcW w:w="3147" w:type="dxa"/>
            <w:vAlign w:val="center"/>
          </w:tcPr>
          <w:p w14:paraId="3CE2B44A">
            <w:pPr>
              <w:jc w:val="left"/>
              <w:rPr>
                <w:szCs w:val="21"/>
              </w:rPr>
            </w:pPr>
            <w:r>
              <w:rPr>
                <w:rFonts w:hint="eastAsia"/>
                <w:szCs w:val="21"/>
              </w:rPr>
              <w:t>项目开发、使用功能无变化。</w:t>
            </w:r>
          </w:p>
        </w:tc>
        <w:tc>
          <w:tcPr>
            <w:tcW w:w="1083" w:type="dxa"/>
            <w:vAlign w:val="center"/>
          </w:tcPr>
          <w:p w14:paraId="602B5C4A">
            <w:pPr>
              <w:jc w:val="center"/>
              <w:rPr>
                <w:szCs w:val="21"/>
              </w:rPr>
            </w:pPr>
            <w:r>
              <w:rPr>
                <w:rFonts w:hint="eastAsia"/>
                <w:szCs w:val="21"/>
              </w:rPr>
              <w:t>不为重大变动</w:t>
            </w:r>
          </w:p>
        </w:tc>
      </w:tr>
      <w:tr w14:paraId="4ACA0E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8" w:type="dxa"/>
            <w:vMerge w:val="restart"/>
            <w:vAlign w:val="center"/>
          </w:tcPr>
          <w:p w14:paraId="2A356E16">
            <w:pPr>
              <w:jc w:val="center"/>
              <w:rPr>
                <w:szCs w:val="21"/>
              </w:rPr>
            </w:pPr>
            <w:r>
              <w:rPr>
                <w:rFonts w:hint="eastAsia"/>
                <w:szCs w:val="21"/>
              </w:rPr>
              <w:t>规模</w:t>
            </w:r>
          </w:p>
        </w:tc>
        <w:tc>
          <w:tcPr>
            <w:tcW w:w="3825" w:type="dxa"/>
            <w:vAlign w:val="center"/>
          </w:tcPr>
          <w:p w14:paraId="5ECD0FD7">
            <w:pPr>
              <w:jc w:val="left"/>
              <w:rPr>
                <w:szCs w:val="21"/>
              </w:rPr>
            </w:pPr>
            <w:r>
              <w:rPr>
                <w:rFonts w:hint="eastAsia"/>
                <w:szCs w:val="21"/>
              </w:rPr>
              <w:t>2、生产、处置或储存能力增大30%及以上的。</w:t>
            </w:r>
          </w:p>
        </w:tc>
        <w:tc>
          <w:tcPr>
            <w:tcW w:w="3147" w:type="dxa"/>
            <w:vAlign w:val="center"/>
          </w:tcPr>
          <w:p w14:paraId="7BE5A0BD">
            <w:pPr>
              <w:jc w:val="left"/>
              <w:rPr>
                <w:szCs w:val="21"/>
              </w:rPr>
            </w:pPr>
            <w:r>
              <w:rPr>
                <w:rFonts w:hint="eastAsia"/>
                <w:szCs w:val="21"/>
              </w:rPr>
              <w:t>项目生产、处置或储存能力未增大。</w:t>
            </w:r>
          </w:p>
        </w:tc>
        <w:tc>
          <w:tcPr>
            <w:tcW w:w="1083" w:type="dxa"/>
            <w:vMerge w:val="restart"/>
            <w:vAlign w:val="center"/>
          </w:tcPr>
          <w:p w14:paraId="3354799B">
            <w:pPr>
              <w:jc w:val="center"/>
              <w:rPr>
                <w:szCs w:val="21"/>
              </w:rPr>
            </w:pPr>
            <w:r>
              <w:rPr>
                <w:rFonts w:hint="eastAsia"/>
                <w:szCs w:val="21"/>
              </w:rPr>
              <w:t>不为重大变动</w:t>
            </w:r>
          </w:p>
        </w:tc>
      </w:tr>
      <w:tr w14:paraId="22EE60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8" w:type="dxa"/>
            <w:vMerge w:val="continue"/>
            <w:vAlign w:val="center"/>
          </w:tcPr>
          <w:p w14:paraId="4496FF6C">
            <w:pPr>
              <w:jc w:val="center"/>
              <w:rPr>
                <w:szCs w:val="21"/>
              </w:rPr>
            </w:pPr>
          </w:p>
        </w:tc>
        <w:tc>
          <w:tcPr>
            <w:tcW w:w="3825" w:type="dxa"/>
            <w:vAlign w:val="center"/>
          </w:tcPr>
          <w:p w14:paraId="6FD1BE0E">
            <w:pPr>
              <w:jc w:val="left"/>
              <w:rPr>
                <w:szCs w:val="21"/>
              </w:rPr>
            </w:pPr>
            <w:r>
              <w:rPr>
                <w:rFonts w:hint="eastAsia"/>
                <w:szCs w:val="21"/>
              </w:rPr>
              <w:t>3、生产、处置或储存能力增大，导致废水第一类污染物排放量增加的。</w:t>
            </w:r>
          </w:p>
        </w:tc>
        <w:tc>
          <w:tcPr>
            <w:tcW w:w="3147" w:type="dxa"/>
            <w:vAlign w:val="center"/>
          </w:tcPr>
          <w:p w14:paraId="5C750789">
            <w:pPr>
              <w:jc w:val="left"/>
              <w:rPr>
                <w:szCs w:val="21"/>
              </w:rPr>
            </w:pPr>
            <w:r>
              <w:rPr>
                <w:rFonts w:hint="eastAsia"/>
                <w:szCs w:val="21"/>
              </w:rPr>
              <w:t>项目废水</w:t>
            </w:r>
            <w:r>
              <w:rPr>
                <w:rFonts w:hint="eastAsia"/>
                <w:szCs w:val="21"/>
                <w:lang w:val="en-US" w:eastAsia="zh-CN"/>
              </w:rPr>
              <w:t>排放</w:t>
            </w:r>
            <w:r>
              <w:rPr>
                <w:rFonts w:hint="eastAsia"/>
                <w:szCs w:val="21"/>
              </w:rPr>
              <w:t>不涉及第一类污染物。</w:t>
            </w:r>
          </w:p>
        </w:tc>
        <w:tc>
          <w:tcPr>
            <w:tcW w:w="1083" w:type="dxa"/>
            <w:vMerge w:val="continue"/>
            <w:vAlign w:val="center"/>
          </w:tcPr>
          <w:p w14:paraId="10AEF4B4">
            <w:pPr>
              <w:jc w:val="center"/>
              <w:rPr>
                <w:szCs w:val="21"/>
              </w:rPr>
            </w:pPr>
          </w:p>
        </w:tc>
      </w:tr>
      <w:tr w14:paraId="16F3F4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8" w:type="dxa"/>
            <w:vMerge w:val="continue"/>
            <w:vAlign w:val="center"/>
          </w:tcPr>
          <w:p w14:paraId="2DF42B8D">
            <w:pPr>
              <w:jc w:val="center"/>
              <w:rPr>
                <w:szCs w:val="21"/>
              </w:rPr>
            </w:pPr>
          </w:p>
        </w:tc>
        <w:tc>
          <w:tcPr>
            <w:tcW w:w="3825" w:type="dxa"/>
            <w:vAlign w:val="center"/>
          </w:tcPr>
          <w:p w14:paraId="0B37908D">
            <w:pPr>
              <w:jc w:val="left"/>
              <w:rPr>
                <w:szCs w:val="21"/>
              </w:rPr>
            </w:pPr>
            <w:r>
              <w:rPr>
                <w:rFonts w:hint="eastAsia"/>
                <w:szCs w:val="21"/>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3147" w:type="dxa"/>
            <w:vAlign w:val="center"/>
          </w:tcPr>
          <w:p w14:paraId="6DB119E8">
            <w:pPr>
              <w:jc w:val="left"/>
              <w:rPr>
                <w:szCs w:val="21"/>
              </w:rPr>
            </w:pPr>
            <w:r>
              <w:rPr>
                <w:rFonts w:hint="eastAsia"/>
                <w:szCs w:val="21"/>
              </w:rPr>
              <w:t>项目位于达标区，项目生产、处置或储存能力与环评一致，未出现污染物排放量增加的情况。</w:t>
            </w:r>
          </w:p>
        </w:tc>
        <w:tc>
          <w:tcPr>
            <w:tcW w:w="1083" w:type="dxa"/>
            <w:vMerge w:val="continue"/>
            <w:vAlign w:val="center"/>
          </w:tcPr>
          <w:p w14:paraId="3E3BCB53">
            <w:pPr>
              <w:jc w:val="center"/>
              <w:rPr>
                <w:szCs w:val="21"/>
              </w:rPr>
            </w:pPr>
          </w:p>
        </w:tc>
      </w:tr>
      <w:tr w14:paraId="6046AD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8" w:type="dxa"/>
            <w:vAlign w:val="center"/>
          </w:tcPr>
          <w:p w14:paraId="27F06DA4">
            <w:pPr>
              <w:jc w:val="center"/>
              <w:rPr>
                <w:szCs w:val="21"/>
              </w:rPr>
            </w:pPr>
            <w:r>
              <w:rPr>
                <w:rFonts w:hint="eastAsia"/>
                <w:szCs w:val="21"/>
              </w:rPr>
              <w:t>地点</w:t>
            </w:r>
          </w:p>
        </w:tc>
        <w:tc>
          <w:tcPr>
            <w:tcW w:w="3825" w:type="dxa"/>
            <w:vAlign w:val="center"/>
          </w:tcPr>
          <w:p w14:paraId="4DAAF87B">
            <w:pPr>
              <w:jc w:val="left"/>
              <w:rPr>
                <w:szCs w:val="21"/>
              </w:rPr>
            </w:pPr>
            <w:r>
              <w:rPr>
                <w:rFonts w:hint="eastAsia"/>
                <w:szCs w:val="21"/>
              </w:rPr>
              <w:t>5、重新选址；在原厂址附近调整（包括总平面布置变化）导致环境防护距离范围变化且新增敏感点的。</w:t>
            </w:r>
          </w:p>
        </w:tc>
        <w:tc>
          <w:tcPr>
            <w:tcW w:w="3147" w:type="dxa"/>
            <w:vAlign w:val="center"/>
          </w:tcPr>
          <w:p w14:paraId="330B6099">
            <w:pPr>
              <w:jc w:val="left"/>
              <w:rPr>
                <w:szCs w:val="21"/>
              </w:rPr>
            </w:pPr>
            <w:r>
              <w:rPr>
                <w:rFonts w:hint="eastAsia"/>
                <w:szCs w:val="21"/>
              </w:rPr>
              <w:t>项目建设地址与环评一致，周边未新增环境敏感点。</w:t>
            </w:r>
          </w:p>
        </w:tc>
        <w:tc>
          <w:tcPr>
            <w:tcW w:w="1083" w:type="dxa"/>
            <w:vAlign w:val="center"/>
          </w:tcPr>
          <w:p w14:paraId="5685A639">
            <w:pPr>
              <w:jc w:val="center"/>
              <w:rPr>
                <w:szCs w:val="21"/>
              </w:rPr>
            </w:pPr>
            <w:r>
              <w:rPr>
                <w:rFonts w:hint="eastAsia"/>
                <w:szCs w:val="21"/>
              </w:rPr>
              <w:t>不为重大变动</w:t>
            </w:r>
          </w:p>
        </w:tc>
      </w:tr>
      <w:tr w14:paraId="10B81F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8" w:type="dxa"/>
            <w:vMerge w:val="restart"/>
            <w:vAlign w:val="center"/>
          </w:tcPr>
          <w:p w14:paraId="1D6FDBB7">
            <w:pPr>
              <w:jc w:val="center"/>
              <w:rPr>
                <w:szCs w:val="21"/>
              </w:rPr>
            </w:pPr>
            <w:r>
              <w:rPr>
                <w:rFonts w:hint="eastAsia"/>
                <w:szCs w:val="21"/>
              </w:rPr>
              <w:t>生产</w:t>
            </w:r>
          </w:p>
          <w:p w14:paraId="128D1E6C">
            <w:pPr>
              <w:jc w:val="center"/>
              <w:rPr>
                <w:szCs w:val="21"/>
              </w:rPr>
            </w:pPr>
            <w:r>
              <w:rPr>
                <w:rFonts w:hint="eastAsia"/>
                <w:szCs w:val="21"/>
              </w:rPr>
              <w:t>工艺</w:t>
            </w:r>
          </w:p>
        </w:tc>
        <w:tc>
          <w:tcPr>
            <w:tcW w:w="3825" w:type="dxa"/>
            <w:vAlign w:val="center"/>
          </w:tcPr>
          <w:p w14:paraId="4AD4DD77">
            <w:pPr>
              <w:jc w:val="left"/>
              <w:rPr>
                <w:szCs w:val="21"/>
              </w:rPr>
            </w:pPr>
            <w:r>
              <w:rPr>
                <w:rFonts w:hint="eastAsia"/>
                <w:szCs w:val="21"/>
              </w:rPr>
              <w:t>6、新增产品品种或生产工艺（含主要生产装置、设备及配套设施）、主要原辅材料、燃料变化，导致以下情形之一：（1）新增排放污染物种类的（毒性、挥发性降低的除外）；（2）位于环境质量不达标区的建设项目相应污染物排放量增加的；（3）废水第一类污染物排放量增加的；（4）其他污染物排放量增加 10%及以上的。</w:t>
            </w:r>
          </w:p>
        </w:tc>
        <w:tc>
          <w:tcPr>
            <w:tcW w:w="3147" w:type="dxa"/>
            <w:vAlign w:val="center"/>
          </w:tcPr>
          <w:p w14:paraId="6340FBF7">
            <w:pPr>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rFonts w:hint="eastAsia"/>
                <w:szCs w:val="21"/>
                <w:lang w:val="en-US" w:eastAsia="zh-CN"/>
              </w:rPr>
              <w:t>本项目</w:t>
            </w:r>
            <w:r>
              <w:rPr>
                <w:rFonts w:hint="eastAsia"/>
                <w:szCs w:val="21"/>
              </w:rPr>
              <w:t>未新增排放污染物种类</w:t>
            </w:r>
            <w:r>
              <w:rPr>
                <w:rFonts w:hint="eastAsia"/>
                <w:szCs w:val="21"/>
                <w:lang w:eastAsia="zh-CN"/>
              </w:rPr>
              <w:t>；</w:t>
            </w:r>
            <w:r>
              <w:rPr>
                <w:rFonts w:hint="eastAsia"/>
                <w:szCs w:val="21"/>
              </w:rPr>
              <w:t>（2）项目位于环境空气质量达标区</w:t>
            </w:r>
            <w:r>
              <w:rPr>
                <w:rFonts w:hint="eastAsia"/>
                <w:szCs w:val="21"/>
                <w:lang w:val="en-US" w:eastAsia="zh-CN"/>
              </w:rPr>
              <w:t>且</w:t>
            </w:r>
            <w:r>
              <w:rPr>
                <w:rFonts w:hint="eastAsia"/>
                <w:szCs w:val="21"/>
              </w:rPr>
              <w:t>建设项目相应污染物排放量</w:t>
            </w:r>
            <w:r>
              <w:rPr>
                <w:rFonts w:hint="eastAsia"/>
                <w:szCs w:val="21"/>
                <w:lang w:val="en-US" w:eastAsia="zh-CN"/>
              </w:rPr>
              <w:t>未</w:t>
            </w:r>
            <w:r>
              <w:rPr>
                <w:rFonts w:hint="eastAsia"/>
                <w:szCs w:val="21"/>
              </w:rPr>
              <w:t>增加</w:t>
            </w:r>
            <w:r>
              <w:rPr>
                <w:rFonts w:hint="eastAsia"/>
                <w:szCs w:val="21"/>
                <w:lang w:eastAsia="zh-CN"/>
              </w:rPr>
              <w:t>；</w:t>
            </w:r>
            <w:r>
              <w:rPr>
                <w:rFonts w:hint="eastAsia"/>
                <w:szCs w:val="21"/>
              </w:rPr>
              <w:t>（3）项目不涉及废水第一类污染物</w:t>
            </w:r>
            <w:r>
              <w:rPr>
                <w:rFonts w:hint="eastAsia"/>
                <w:szCs w:val="21"/>
                <w:lang w:val="en-US" w:eastAsia="zh-CN"/>
              </w:rPr>
              <w:t>排放</w:t>
            </w:r>
            <w:r>
              <w:rPr>
                <w:rFonts w:hint="eastAsia"/>
                <w:szCs w:val="21"/>
                <w:lang w:eastAsia="zh-CN"/>
              </w:rPr>
              <w:t>；</w:t>
            </w:r>
            <w:r>
              <w:rPr>
                <w:rFonts w:hint="eastAsia"/>
                <w:szCs w:val="21"/>
              </w:rPr>
              <w:t>（4）其他污染物排放量</w:t>
            </w:r>
            <w:r>
              <w:rPr>
                <w:rFonts w:hint="eastAsia"/>
                <w:szCs w:val="21"/>
                <w:lang w:val="en-US" w:eastAsia="zh-CN"/>
              </w:rPr>
              <w:t>未增加</w:t>
            </w:r>
            <w:r>
              <w:rPr>
                <w:rFonts w:hint="eastAsia"/>
                <w:szCs w:val="21"/>
              </w:rPr>
              <w:t>。</w:t>
            </w:r>
          </w:p>
        </w:tc>
        <w:tc>
          <w:tcPr>
            <w:tcW w:w="1083" w:type="dxa"/>
            <w:vMerge w:val="restart"/>
            <w:vAlign w:val="center"/>
          </w:tcPr>
          <w:p w14:paraId="4F0F157C">
            <w:pPr>
              <w:jc w:val="center"/>
              <w:rPr>
                <w:szCs w:val="21"/>
              </w:rPr>
            </w:pPr>
            <w:r>
              <w:rPr>
                <w:rFonts w:hint="eastAsia"/>
                <w:szCs w:val="21"/>
              </w:rPr>
              <w:t>不为重大变动</w:t>
            </w:r>
          </w:p>
        </w:tc>
      </w:tr>
      <w:tr w14:paraId="5E3D5A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8" w:type="dxa"/>
            <w:vMerge w:val="continue"/>
            <w:vAlign w:val="center"/>
          </w:tcPr>
          <w:p w14:paraId="634C7424">
            <w:pPr>
              <w:jc w:val="center"/>
              <w:rPr>
                <w:szCs w:val="21"/>
              </w:rPr>
            </w:pPr>
          </w:p>
        </w:tc>
        <w:tc>
          <w:tcPr>
            <w:tcW w:w="3825" w:type="dxa"/>
            <w:vAlign w:val="center"/>
          </w:tcPr>
          <w:p w14:paraId="07106BEA">
            <w:pPr>
              <w:jc w:val="left"/>
              <w:rPr>
                <w:szCs w:val="21"/>
              </w:rPr>
            </w:pPr>
            <w:r>
              <w:rPr>
                <w:rFonts w:hint="eastAsia"/>
                <w:szCs w:val="21"/>
              </w:rPr>
              <w:t>7、物料运输、装卸、贮存方式变化，导致大气污染物无组织排放量增加10%及以上的。</w:t>
            </w:r>
          </w:p>
        </w:tc>
        <w:tc>
          <w:tcPr>
            <w:tcW w:w="3147" w:type="dxa"/>
            <w:vAlign w:val="center"/>
          </w:tcPr>
          <w:p w14:paraId="1C089387">
            <w:pPr>
              <w:jc w:val="left"/>
              <w:rPr>
                <w:szCs w:val="21"/>
              </w:rPr>
            </w:pPr>
            <w:r>
              <w:rPr>
                <w:rFonts w:hint="eastAsia"/>
                <w:szCs w:val="21"/>
              </w:rPr>
              <w:t>项目物料运输、装卸及贮存方式未发生变化。</w:t>
            </w:r>
          </w:p>
        </w:tc>
        <w:tc>
          <w:tcPr>
            <w:tcW w:w="1083" w:type="dxa"/>
            <w:vMerge w:val="continue"/>
            <w:vAlign w:val="center"/>
          </w:tcPr>
          <w:p w14:paraId="10105945">
            <w:pPr>
              <w:jc w:val="center"/>
              <w:rPr>
                <w:szCs w:val="21"/>
              </w:rPr>
            </w:pPr>
          </w:p>
        </w:tc>
      </w:tr>
      <w:tr w14:paraId="3873AD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8" w:type="dxa"/>
            <w:vMerge w:val="restart"/>
            <w:vAlign w:val="center"/>
          </w:tcPr>
          <w:p w14:paraId="045F38FD">
            <w:pPr>
              <w:jc w:val="center"/>
              <w:rPr>
                <w:szCs w:val="21"/>
              </w:rPr>
            </w:pPr>
            <w:r>
              <w:rPr>
                <w:rFonts w:hint="eastAsia"/>
                <w:szCs w:val="21"/>
              </w:rPr>
              <w:t>环境</w:t>
            </w:r>
          </w:p>
          <w:p w14:paraId="5419FF6D">
            <w:pPr>
              <w:jc w:val="center"/>
              <w:rPr>
                <w:szCs w:val="21"/>
              </w:rPr>
            </w:pPr>
            <w:r>
              <w:rPr>
                <w:rFonts w:hint="eastAsia"/>
                <w:szCs w:val="21"/>
              </w:rPr>
              <w:t>保护</w:t>
            </w:r>
          </w:p>
          <w:p w14:paraId="02966E80">
            <w:pPr>
              <w:jc w:val="center"/>
              <w:rPr>
                <w:szCs w:val="21"/>
              </w:rPr>
            </w:pPr>
            <w:r>
              <w:rPr>
                <w:rFonts w:hint="eastAsia"/>
                <w:szCs w:val="21"/>
              </w:rPr>
              <w:t>措施</w:t>
            </w:r>
          </w:p>
        </w:tc>
        <w:tc>
          <w:tcPr>
            <w:tcW w:w="3825" w:type="dxa"/>
            <w:vAlign w:val="center"/>
          </w:tcPr>
          <w:p w14:paraId="6019D294">
            <w:pPr>
              <w:jc w:val="left"/>
              <w:rPr>
                <w:szCs w:val="21"/>
              </w:rPr>
            </w:pPr>
            <w:r>
              <w:rPr>
                <w:rFonts w:hint="eastAsia"/>
                <w:szCs w:val="21"/>
              </w:rPr>
              <w:t>8、废气、废水污染防治措施变化，导致第6 条中所列情形之一（废气无组织排放改为有组织排放、污染防治措施强化或改进的除外）或大气污染物无组织排放量增加10%及以上的。</w:t>
            </w:r>
          </w:p>
        </w:tc>
        <w:tc>
          <w:tcPr>
            <w:tcW w:w="3147" w:type="dxa"/>
            <w:vAlign w:val="center"/>
          </w:tcPr>
          <w:p w14:paraId="59B06CCE">
            <w:pPr>
              <w:jc w:val="left"/>
              <w:rPr>
                <w:rFonts w:hint="default" w:eastAsia="宋体"/>
                <w:szCs w:val="21"/>
                <w:lang w:val="en-US" w:eastAsia="zh-CN"/>
              </w:rPr>
            </w:pPr>
            <w:r>
              <w:rPr>
                <w:rFonts w:hint="eastAsia"/>
                <w:color w:val="auto"/>
                <w:szCs w:val="21"/>
                <w:lang w:val="en-US" w:eastAsia="zh-CN"/>
              </w:rPr>
              <w:t>项目油墨喷涂及其后烘烤工序有机废气、光刻胶涂抹及其后烘干工序有机废气、装配工序胶水挥发有机废气主要污染因子均为非甲烷总烃，环评中要求环保处理设施工艺均为二级活性炭吸附，且工作班制相同，现由环评中分设三套二级活性炭吸附装置处理后经三个排气筒排放变更为三股废气统一收集后由一套二级活性炭吸附装置处理后有组织排放，根据验收监测数据，非甲烷总烃总量未超过环评中要求，且非甲烷总烃排放浓度及排放速率均满足排放标准的要求。</w:t>
            </w:r>
          </w:p>
        </w:tc>
        <w:tc>
          <w:tcPr>
            <w:tcW w:w="1083" w:type="dxa"/>
            <w:vMerge w:val="restart"/>
            <w:vAlign w:val="center"/>
          </w:tcPr>
          <w:p w14:paraId="604B0109">
            <w:pPr>
              <w:jc w:val="center"/>
              <w:rPr>
                <w:szCs w:val="21"/>
              </w:rPr>
            </w:pPr>
            <w:r>
              <w:rPr>
                <w:rFonts w:hint="eastAsia"/>
                <w:szCs w:val="21"/>
              </w:rPr>
              <w:t>不为重大变动</w:t>
            </w:r>
          </w:p>
        </w:tc>
      </w:tr>
      <w:tr w14:paraId="49D046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8" w:type="dxa"/>
            <w:vMerge w:val="continue"/>
            <w:vAlign w:val="center"/>
          </w:tcPr>
          <w:p w14:paraId="6CAD15B7">
            <w:pPr>
              <w:jc w:val="center"/>
              <w:rPr>
                <w:szCs w:val="21"/>
              </w:rPr>
            </w:pPr>
          </w:p>
        </w:tc>
        <w:tc>
          <w:tcPr>
            <w:tcW w:w="3825" w:type="dxa"/>
            <w:vAlign w:val="center"/>
          </w:tcPr>
          <w:p w14:paraId="472711CE">
            <w:pPr>
              <w:jc w:val="left"/>
              <w:rPr>
                <w:szCs w:val="21"/>
              </w:rPr>
            </w:pPr>
            <w:r>
              <w:rPr>
                <w:rFonts w:hint="eastAsia"/>
                <w:szCs w:val="21"/>
              </w:rPr>
              <w:t>9、新增废水直接排放口；废水由间接排放改为直接排放；废水直接排放口位置变化，导致不利环境影响加重的。</w:t>
            </w:r>
          </w:p>
        </w:tc>
        <w:tc>
          <w:tcPr>
            <w:tcW w:w="3147" w:type="dxa"/>
            <w:vAlign w:val="center"/>
          </w:tcPr>
          <w:p w14:paraId="40E2DD49">
            <w:pPr>
              <w:jc w:val="left"/>
              <w:rPr>
                <w:rFonts w:hint="eastAsia" w:eastAsia="宋体"/>
                <w:szCs w:val="21"/>
                <w:lang w:eastAsia="zh-CN"/>
              </w:rPr>
            </w:pPr>
            <w:r>
              <w:rPr>
                <w:rFonts w:hint="eastAsia"/>
                <w:szCs w:val="21"/>
              </w:rPr>
              <w:t>无新增废水直接排口，废水</w:t>
            </w:r>
            <w:r>
              <w:rPr>
                <w:rFonts w:hint="eastAsia"/>
                <w:szCs w:val="21"/>
                <w:lang w:val="en-US" w:eastAsia="zh-CN"/>
              </w:rPr>
              <w:t>为间接排放</w:t>
            </w:r>
            <w:r>
              <w:rPr>
                <w:rFonts w:hint="eastAsia"/>
                <w:szCs w:val="21"/>
                <w:lang w:eastAsia="zh-CN"/>
              </w:rPr>
              <w:t>。</w:t>
            </w:r>
          </w:p>
        </w:tc>
        <w:tc>
          <w:tcPr>
            <w:tcW w:w="1083" w:type="dxa"/>
            <w:vMerge w:val="continue"/>
            <w:vAlign w:val="center"/>
          </w:tcPr>
          <w:p w14:paraId="5A4FFE01">
            <w:pPr>
              <w:jc w:val="center"/>
              <w:rPr>
                <w:szCs w:val="21"/>
              </w:rPr>
            </w:pPr>
          </w:p>
        </w:tc>
      </w:tr>
      <w:tr w14:paraId="0DA3F7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8" w:type="dxa"/>
            <w:vMerge w:val="continue"/>
            <w:vAlign w:val="center"/>
          </w:tcPr>
          <w:p w14:paraId="673A4059">
            <w:pPr>
              <w:jc w:val="center"/>
              <w:rPr>
                <w:szCs w:val="21"/>
              </w:rPr>
            </w:pPr>
          </w:p>
        </w:tc>
        <w:tc>
          <w:tcPr>
            <w:tcW w:w="3825" w:type="dxa"/>
            <w:vAlign w:val="center"/>
          </w:tcPr>
          <w:p w14:paraId="40C385FA">
            <w:pPr>
              <w:jc w:val="left"/>
              <w:rPr>
                <w:szCs w:val="21"/>
              </w:rPr>
            </w:pPr>
            <w:r>
              <w:rPr>
                <w:rFonts w:hint="eastAsia"/>
                <w:szCs w:val="21"/>
              </w:rPr>
              <w:t>10、新增废气主要排放口（废气无组织排放改为有组织排放的除外）；主要排放口排气筒高度降低10%及以上的。</w:t>
            </w:r>
          </w:p>
        </w:tc>
        <w:tc>
          <w:tcPr>
            <w:tcW w:w="3147" w:type="dxa"/>
            <w:vAlign w:val="center"/>
          </w:tcPr>
          <w:p w14:paraId="27F79406">
            <w:pPr>
              <w:jc w:val="left"/>
              <w:rPr>
                <w:szCs w:val="21"/>
              </w:rPr>
            </w:pPr>
            <w:r>
              <w:rPr>
                <w:rFonts w:hint="eastAsia"/>
                <w:szCs w:val="21"/>
              </w:rPr>
              <w:t>无新增废气排放口，本项目废气排放口为一般排放口。</w:t>
            </w:r>
          </w:p>
        </w:tc>
        <w:tc>
          <w:tcPr>
            <w:tcW w:w="1083" w:type="dxa"/>
            <w:vMerge w:val="continue"/>
            <w:vAlign w:val="center"/>
          </w:tcPr>
          <w:p w14:paraId="5FF6799A">
            <w:pPr>
              <w:jc w:val="center"/>
              <w:rPr>
                <w:szCs w:val="21"/>
              </w:rPr>
            </w:pPr>
          </w:p>
        </w:tc>
      </w:tr>
      <w:tr w14:paraId="416317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8" w:type="dxa"/>
            <w:vMerge w:val="continue"/>
            <w:vAlign w:val="center"/>
          </w:tcPr>
          <w:p w14:paraId="3C7E68D9">
            <w:pPr>
              <w:jc w:val="center"/>
              <w:rPr>
                <w:szCs w:val="21"/>
              </w:rPr>
            </w:pPr>
          </w:p>
        </w:tc>
        <w:tc>
          <w:tcPr>
            <w:tcW w:w="3825" w:type="dxa"/>
            <w:vAlign w:val="center"/>
          </w:tcPr>
          <w:p w14:paraId="588918BC">
            <w:pPr>
              <w:jc w:val="left"/>
              <w:rPr>
                <w:szCs w:val="21"/>
              </w:rPr>
            </w:pPr>
            <w:r>
              <w:rPr>
                <w:rFonts w:hint="eastAsia"/>
                <w:szCs w:val="21"/>
              </w:rPr>
              <w:t>11、噪声、土壤或地下水污染防治措施变化，导致不利环境影响加重的。</w:t>
            </w:r>
          </w:p>
        </w:tc>
        <w:tc>
          <w:tcPr>
            <w:tcW w:w="3147" w:type="dxa"/>
            <w:vAlign w:val="center"/>
          </w:tcPr>
          <w:p w14:paraId="1E86BE37">
            <w:pPr>
              <w:jc w:val="left"/>
              <w:rPr>
                <w:szCs w:val="21"/>
              </w:rPr>
            </w:pPr>
            <w:r>
              <w:rPr>
                <w:rFonts w:hint="eastAsia"/>
                <w:szCs w:val="21"/>
              </w:rPr>
              <w:t>噪声、土壤或地下水污染防治措施未发生变化。</w:t>
            </w:r>
          </w:p>
        </w:tc>
        <w:tc>
          <w:tcPr>
            <w:tcW w:w="1083" w:type="dxa"/>
            <w:vMerge w:val="continue"/>
            <w:vAlign w:val="center"/>
          </w:tcPr>
          <w:p w14:paraId="323BF642">
            <w:pPr>
              <w:jc w:val="center"/>
              <w:rPr>
                <w:szCs w:val="21"/>
              </w:rPr>
            </w:pPr>
          </w:p>
        </w:tc>
      </w:tr>
      <w:tr w14:paraId="7A64F1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8" w:type="dxa"/>
            <w:vMerge w:val="continue"/>
            <w:vAlign w:val="center"/>
          </w:tcPr>
          <w:p w14:paraId="6895A00D">
            <w:pPr>
              <w:jc w:val="center"/>
              <w:rPr>
                <w:szCs w:val="21"/>
              </w:rPr>
            </w:pPr>
          </w:p>
        </w:tc>
        <w:tc>
          <w:tcPr>
            <w:tcW w:w="3825" w:type="dxa"/>
            <w:vAlign w:val="center"/>
          </w:tcPr>
          <w:p w14:paraId="4F29FBF5">
            <w:pPr>
              <w:jc w:val="left"/>
              <w:rPr>
                <w:szCs w:val="21"/>
              </w:rPr>
            </w:pPr>
            <w:r>
              <w:rPr>
                <w:rFonts w:hint="eastAsia"/>
                <w:szCs w:val="21"/>
              </w:rPr>
              <w:t>12、固体废物利用处置方式由委托外单位利用处置改为自行利用处置的（自行利用处置设施单独开展环境影响评价的除外）；固体废物自行处置方式变化，导致不利环境影响加重的。</w:t>
            </w:r>
          </w:p>
        </w:tc>
        <w:tc>
          <w:tcPr>
            <w:tcW w:w="3147" w:type="dxa"/>
            <w:vAlign w:val="center"/>
          </w:tcPr>
          <w:p w14:paraId="18B3D773">
            <w:pPr>
              <w:jc w:val="left"/>
              <w:rPr>
                <w:szCs w:val="21"/>
              </w:rPr>
            </w:pPr>
            <w:r>
              <w:rPr>
                <w:rFonts w:hint="eastAsia"/>
                <w:szCs w:val="21"/>
              </w:rPr>
              <w:t>固体废物利用处置方式未发生变化。危险废物交由</w:t>
            </w:r>
            <w:r>
              <w:rPr>
                <w:rFonts w:hint="eastAsia"/>
                <w:szCs w:val="21"/>
                <w:highlight w:val="none"/>
                <w:lang w:eastAsia="zh-CN"/>
              </w:rPr>
              <w:t>重庆创绿环境保护有限公司</w:t>
            </w:r>
            <w:r>
              <w:rPr>
                <w:rFonts w:hint="eastAsia"/>
                <w:szCs w:val="21"/>
                <w:highlight w:val="none"/>
              </w:rPr>
              <w:t>处置</w:t>
            </w:r>
            <w:r>
              <w:rPr>
                <w:rFonts w:hint="eastAsia"/>
                <w:szCs w:val="21"/>
              </w:rPr>
              <w:t>。</w:t>
            </w:r>
          </w:p>
        </w:tc>
        <w:tc>
          <w:tcPr>
            <w:tcW w:w="1083" w:type="dxa"/>
            <w:vMerge w:val="continue"/>
            <w:vAlign w:val="center"/>
          </w:tcPr>
          <w:p w14:paraId="465D0A67">
            <w:pPr>
              <w:jc w:val="center"/>
              <w:rPr>
                <w:szCs w:val="21"/>
              </w:rPr>
            </w:pPr>
          </w:p>
        </w:tc>
      </w:tr>
      <w:tr w14:paraId="02E30C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8" w:type="dxa"/>
            <w:vMerge w:val="continue"/>
            <w:vAlign w:val="center"/>
          </w:tcPr>
          <w:p w14:paraId="3F97DDE0">
            <w:pPr>
              <w:jc w:val="center"/>
              <w:rPr>
                <w:szCs w:val="21"/>
              </w:rPr>
            </w:pPr>
          </w:p>
        </w:tc>
        <w:tc>
          <w:tcPr>
            <w:tcW w:w="3825" w:type="dxa"/>
            <w:vAlign w:val="center"/>
          </w:tcPr>
          <w:p w14:paraId="4027BBB5">
            <w:pPr>
              <w:jc w:val="left"/>
              <w:rPr>
                <w:szCs w:val="21"/>
              </w:rPr>
            </w:pPr>
            <w:r>
              <w:rPr>
                <w:rFonts w:hint="eastAsia"/>
                <w:szCs w:val="21"/>
              </w:rPr>
              <w:t>13、事故废水暂存能力或拦截设施变化，导致环境风险防范能力弱化或降低的。</w:t>
            </w:r>
          </w:p>
        </w:tc>
        <w:tc>
          <w:tcPr>
            <w:tcW w:w="3147" w:type="dxa"/>
            <w:vAlign w:val="center"/>
          </w:tcPr>
          <w:p w14:paraId="4F58E6B8">
            <w:pPr>
              <w:jc w:val="left"/>
              <w:rPr>
                <w:szCs w:val="21"/>
              </w:rPr>
            </w:pPr>
            <w:r>
              <w:rPr>
                <w:rFonts w:hint="eastAsia"/>
                <w:szCs w:val="21"/>
              </w:rPr>
              <w:t>危险废物储存在危废暂存间，危险废物暂存间</w:t>
            </w:r>
            <w:r>
              <w:rPr>
                <w:rFonts w:hint="eastAsia"/>
                <w:szCs w:val="21"/>
                <w:lang w:val="en-US" w:eastAsia="zh-CN"/>
              </w:rPr>
              <w:t>做好了</w:t>
            </w:r>
            <w:r>
              <w:rPr>
                <w:rFonts w:hint="eastAsia"/>
                <w:szCs w:val="21"/>
              </w:rPr>
              <w:t>“</w:t>
            </w:r>
            <w:r>
              <w:rPr>
                <w:rFonts w:hint="eastAsia"/>
                <w:szCs w:val="21"/>
                <w:lang w:val="en-US" w:eastAsia="zh-CN"/>
              </w:rPr>
              <w:t>六</w:t>
            </w:r>
            <w:r>
              <w:rPr>
                <w:rFonts w:hint="eastAsia"/>
                <w:szCs w:val="21"/>
              </w:rPr>
              <w:t>防”（防风</w:t>
            </w:r>
            <w:r>
              <w:rPr>
                <w:rFonts w:hint="eastAsia"/>
                <w:szCs w:val="21"/>
                <w:lang w:eastAsia="zh-CN"/>
              </w:rPr>
              <w:t>，</w:t>
            </w:r>
            <w:r>
              <w:rPr>
                <w:rFonts w:hint="eastAsia"/>
                <w:szCs w:val="21"/>
              </w:rPr>
              <w:t>防晒</w:t>
            </w:r>
            <w:r>
              <w:rPr>
                <w:rFonts w:hint="eastAsia"/>
                <w:szCs w:val="21"/>
                <w:lang w:eastAsia="zh-CN"/>
              </w:rPr>
              <w:t>，</w:t>
            </w:r>
            <w:r>
              <w:rPr>
                <w:rFonts w:hint="eastAsia"/>
                <w:szCs w:val="21"/>
              </w:rPr>
              <w:t>防雨</w:t>
            </w:r>
            <w:r>
              <w:rPr>
                <w:rFonts w:hint="eastAsia"/>
                <w:szCs w:val="21"/>
                <w:lang w:eastAsia="zh-CN"/>
              </w:rPr>
              <w:t>，</w:t>
            </w:r>
            <w:r>
              <w:rPr>
                <w:rFonts w:hint="eastAsia"/>
                <w:szCs w:val="21"/>
              </w:rPr>
              <w:t>防漏</w:t>
            </w:r>
            <w:r>
              <w:rPr>
                <w:rFonts w:hint="eastAsia"/>
                <w:szCs w:val="21"/>
                <w:lang w:eastAsia="zh-CN"/>
              </w:rPr>
              <w:t>，</w:t>
            </w:r>
            <w:r>
              <w:rPr>
                <w:rFonts w:hint="eastAsia"/>
                <w:szCs w:val="21"/>
              </w:rPr>
              <w:t>防渗</w:t>
            </w:r>
            <w:r>
              <w:rPr>
                <w:rFonts w:hint="eastAsia"/>
                <w:szCs w:val="21"/>
                <w:lang w:eastAsia="zh-CN"/>
              </w:rPr>
              <w:t>，</w:t>
            </w:r>
            <w:r>
              <w:rPr>
                <w:rFonts w:hint="eastAsia"/>
                <w:szCs w:val="21"/>
              </w:rPr>
              <w:t>防腐）</w:t>
            </w:r>
            <w:r>
              <w:rPr>
                <w:rFonts w:hint="eastAsia"/>
                <w:szCs w:val="21"/>
                <w:lang w:val="en-US" w:eastAsia="zh-CN"/>
              </w:rPr>
              <w:t>措施。</w:t>
            </w:r>
          </w:p>
        </w:tc>
        <w:tc>
          <w:tcPr>
            <w:tcW w:w="1083" w:type="dxa"/>
            <w:vMerge w:val="continue"/>
            <w:vAlign w:val="center"/>
          </w:tcPr>
          <w:p w14:paraId="20980420">
            <w:pPr>
              <w:jc w:val="center"/>
              <w:rPr>
                <w:szCs w:val="21"/>
              </w:rPr>
            </w:pPr>
          </w:p>
        </w:tc>
      </w:tr>
    </w:tbl>
    <w:p w14:paraId="3333A52E">
      <w:pPr>
        <w:spacing w:line="360" w:lineRule="auto"/>
        <w:ind w:firstLine="480" w:firstLineChars="200"/>
        <w:jc w:val="left"/>
        <w:rPr>
          <w:sz w:val="24"/>
        </w:rPr>
      </w:pPr>
      <w:r>
        <w:rPr>
          <w:rFonts w:hint="eastAsia"/>
          <w:sz w:val="24"/>
        </w:rPr>
        <w:t>由表3-</w:t>
      </w:r>
      <w:r>
        <w:rPr>
          <w:rFonts w:hint="eastAsia"/>
          <w:sz w:val="24"/>
          <w:lang w:val="en-US" w:eastAsia="zh-CN"/>
        </w:rPr>
        <w:t>10</w:t>
      </w:r>
      <w:r>
        <w:rPr>
          <w:rFonts w:hint="eastAsia"/>
          <w:sz w:val="24"/>
        </w:rPr>
        <w:t>可知，本项目建设过程中不存在重大变动，满足环保验收要求。</w:t>
      </w:r>
    </w:p>
    <w:p w14:paraId="37F0CE2A">
      <w:pPr>
        <w:spacing w:line="360" w:lineRule="auto"/>
        <w:ind w:firstLine="480" w:firstLineChars="200"/>
        <w:jc w:val="left"/>
        <w:rPr>
          <w:sz w:val="24"/>
        </w:rPr>
        <w:sectPr>
          <w:pgSz w:w="11906" w:h="16838"/>
          <w:pgMar w:top="1440" w:right="1440" w:bottom="1440" w:left="1440" w:header="851" w:footer="992" w:gutter="0"/>
          <w:cols w:space="720" w:num="1"/>
          <w:docGrid w:type="linesAndChars" w:linePitch="312" w:charSpace="0"/>
        </w:sectPr>
      </w:pPr>
    </w:p>
    <w:p w14:paraId="2C21F76D">
      <w:pPr>
        <w:pStyle w:val="2"/>
      </w:pPr>
      <w:bookmarkStart w:id="151" w:name="_Toc520988561"/>
      <w:bookmarkStart w:id="152" w:name="_Toc513474964"/>
      <w:bookmarkStart w:id="153" w:name="_Toc24694"/>
      <w:r>
        <w:t>4环境保护设施</w:t>
      </w:r>
      <w:bookmarkEnd w:id="151"/>
      <w:bookmarkEnd w:id="152"/>
      <w:bookmarkEnd w:id="153"/>
    </w:p>
    <w:p w14:paraId="2E1DE618">
      <w:pPr>
        <w:pStyle w:val="3"/>
        <w:rPr>
          <w:color w:val="auto"/>
          <w:highlight w:val="none"/>
        </w:rPr>
      </w:pPr>
      <w:bookmarkStart w:id="154" w:name="_Toc520988562"/>
      <w:bookmarkStart w:id="155" w:name="_Toc513474965"/>
      <w:bookmarkStart w:id="156" w:name="_Toc32057"/>
      <w:r>
        <w:rPr>
          <w:color w:val="auto"/>
          <w:highlight w:val="none"/>
        </w:rPr>
        <w:t>4.1污染物治理</w:t>
      </w:r>
      <w:r>
        <w:rPr>
          <w:rFonts w:hint="eastAsia"/>
          <w:color w:val="auto"/>
          <w:highlight w:val="none"/>
        </w:rPr>
        <w:t>/处置</w:t>
      </w:r>
      <w:r>
        <w:rPr>
          <w:color w:val="auto"/>
          <w:highlight w:val="none"/>
        </w:rPr>
        <w:t>设施</w:t>
      </w:r>
      <w:bookmarkEnd w:id="154"/>
      <w:bookmarkEnd w:id="155"/>
      <w:bookmarkEnd w:id="156"/>
    </w:p>
    <w:p w14:paraId="65D379B2">
      <w:pPr>
        <w:pStyle w:val="4"/>
        <w:pageBreakBefore w:val="0"/>
        <w:widowControl w:val="0"/>
        <w:kinsoku/>
        <w:wordWrap/>
        <w:overflowPunct/>
        <w:topLinePunct w:val="0"/>
        <w:autoSpaceDE/>
        <w:autoSpaceDN/>
        <w:bidi w:val="0"/>
        <w:spacing w:before="0" w:after="0" w:line="360" w:lineRule="auto"/>
        <w:textAlignment w:val="auto"/>
        <w:rPr>
          <w:b/>
          <w:color w:val="auto"/>
          <w:kern w:val="0"/>
          <w:sz w:val="24"/>
        </w:rPr>
      </w:pPr>
      <w:bookmarkStart w:id="157" w:name="_Toc513474966"/>
      <w:r>
        <w:rPr>
          <w:rFonts w:hint="eastAsia"/>
          <w:sz w:val="24"/>
          <w:szCs w:val="24"/>
          <w:lang w:val="en-US" w:eastAsia="zh-CN"/>
        </w:rPr>
        <w:t>4.1.1废气</w:t>
      </w:r>
      <w:r>
        <w:rPr>
          <w:b/>
          <w:color w:val="auto"/>
          <w:kern w:val="0"/>
          <w:sz w:val="24"/>
        </w:rPr>
        <w:tab/>
      </w:r>
    </w:p>
    <w:p w14:paraId="608396C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val="en-US" w:eastAsia="zh-CN"/>
        </w:rPr>
        <w:t>1</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val="en-US" w:eastAsia="zh-CN"/>
        </w:rPr>
        <w:t>有机废气</w:t>
      </w:r>
    </w:p>
    <w:p w14:paraId="50BE77B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项目凹面喷涂耐酸保护油墨时及烘干过程中会产生油墨挥发及烘烤废气</w:t>
      </w:r>
      <w:r>
        <w:rPr>
          <w:rFonts w:hint="eastAsia" w:cs="Times New Roman"/>
          <w:bCs/>
          <w:color w:val="auto"/>
          <w:sz w:val="24"/>
          <w:lang w:val="en-US" w:eastAsia="zh-CN"/>
        </w:rPr>
        <w:t>、</w:t>
      </w:r>
      <w:r>
        <w:rPr>
          <w:rFonts w:hint="default" w:ascii="Times New Roman" w:hAnsi="Times New Roman" w:eastAsia="宋体" w:cs="Times New Roman"/>
          <w:bCs/>
          <w:color w:val="auto"/>
          <w:sz w:val="24"/>
          <w:lang w:val="en-US" w:eastAsia="zh-CN"/>
        </w:rPr>
        <w:t>凸面涂光刻胶及烘干过程中会产生有机废气</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装配过程中会产生装配废气</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其主要成分</w:t>
      </w:r>
      <w:r>
        <w:rPr>
          <w:rFonts w:hint="eastAsia" w:cs="Times New Roman"/>
          <w:bCs/>
          <w:color w:val="auto"/>
          <w:sz w:val="24"/>
          <w:lang w:val="en-US" w:eastAsia="zh-CN"/>
        </w:rPr>
        <w:t>均</w:t>
      </w:r>
      <w:r>
        <w:rPr>
          <w:rFonts w:hint="default" w:ascii="Times New Roman" w:hAnsi="Times New Roman" w:eastAsia="宋体" w:cs="Times New Roman"/>
          <w:bCs/>
          <w:color w:val="auto"/>
          <w:sz w:val="24"/>
          <w:lang w:val="en-US" w:eastAsia="zh-CN"/>
        </w:rPr>
        <w:t>为非甲烷总烃。有机废气通过风管经两级活性炭吸附废气处理装置处理达标后经</w:t>
      </w:r>
      <w:r>
        <w:rPr>
          <w:rFonts w:hint="default" w:ascii="Times New Roman" w:hAnsi="Times New Roman" w:eastAsia="宋体" w:cs="Times New Roman"/>
          <w:bCs/>
          <w:color w:val="auto"/>
          <w:sz w:val="24"/>
          <w:highlight w:val="none"/>
          <w:lang w:val="en-US" w:eastAsia="zh-CN"/>
        </w:rPr>
        <w:t>20m排气筒（DA008）</w:t>
      </w:r>
      <w:r>
        <w:rPr>
          <w:rFonts w:hint="default" w:ascii="Times New Roman" w:hAnsi="Times New Roman" w:eastAsia="宋体" w:cs="Times New Roman"/>
          <w:bCs/>
          <w:color w:val="auto"/>
          <w:sz w:val="24"/>
          <w:lang w:val="en-US" w:eastAsia="zh-CN"/>
        </w:rPr>
        <w:t>排放。未被收集的非甲烷总烃在车间内无组织排放。</w:t>
      </w:r>
    </w:p>
    <w:p w14:paraId="371CB97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w:t>
      </w:r>
      <w:r>
        <w:rPr>
          <w:rFonts w:hint="eastAsia" w:cs="Times New Roman"/>
          <w:bCs/>
          <w:color w:val="auto"/>
          <w:sz w:val="24"/>
          <w:lang w:val="en-US" w:eastAsia="zh-CN"/>
        </w:rPr>
        <w:t>2</w:t>
      </w:r>
      <w:r>
        <w:rPr>
          <w:rFonts w:hint="default" w:ascii="Times New Roman" w:hAnsi="Times New Roman" w:eastAsia="宋体" w:cs="Times New Roman"/>
          <w:bCs/>
          <w:color w:val="auto"/>
          <w:sz w:val="24"/>
          <w:lang w:val="en-US" w:eastAsia="zh-CN"/>
        </w:rPr>
        <w:t>）AG蚀刻线蒙砂废气、化抛废气</w:t>
      </w:r>
    </w:p>
    <w:p w14:paraId="62DD00F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lang w:val="en-US" w:eastAsia="zh-CN"/>
        </w:rPr>
        <w:t>项目在密闭罐内使用蒙砂液和水按4</w:t>
      </w:r>
      <w:r>
        <w:rPr>
          <w:rFonts w:hint="eastAsia" w:cs="Times New Roman"/>
          <w:bCs/>
          <w:color w:val="auto"/>
          <w:sz w:val="24"/>
          <w:lang w:val="en-US" w:eastAsia="zh-CN"/>
        </w:rPr>
        <w:t>:</w:t>
      </w:r>
      <w:r>
        <w:rPr>
          <w:rFonts w:hint="default" w:ascii="Times New Roman" w:hAnsi="Times New Roman" w:eastAsia="宋体" w:cs="Times New Roman"/>
          <w:bCs/>
          <w:color w:val="auto"/>
          <w:sz w:val="24"/>
          <w:lang w:val="en-US" w:eastAsia="zh-CN"/>
        </w:rPr>
        <w:t>1配制蒙砂液，待生产时经泵沿管打入蒙砂线中暂存池内</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蒙砂、化抛蚀刻的槽体均密闭，采取槽边及槽顶负压的方式捕集生产线产生的酸性气体</w:t>
      </w:r>
      <w:r>
        <w:rPr>
          <w:rFonts w:hint="default" w:ascii="Times New Roman" w:hAnsi="Times New Roman" w:eastAsia="宋体" w:cs="Times New Roman"/>
          <w:bCs/>
          <w:color w:val="auto"/>
          <w:sz w:val="24"/>
          <w:lang w:val="en-US" w:eastAsia="zh-CN"/>
        </w:rPr>
        <w:t>，</w:t>
      </w:r>
      <w:r>
        <w:rPr>
          <w:rFonts w:hint="default" w:ascii="Times New Roman" w:hAnsi="Times New Roman" w:eastAsia="宋体" w:cs="Times New Roman"/>
          <w:color w:val="auto"/>
          <w:sz w:val="24"/>
          <w:lang w:val="en-US" w:eastAsia="zh-CN"/>
        </w:rPr>
        <w:t>收集后汇至1套碱液喷淋塔</w:t>
      </w:r>
      <w:r>
        <w:rPr>
          <w:rFonts w:hint="eastAsia" w:cs="Times New Roman"/>
          <w:color w:val="auto"/>
          <w:sz w:val="24"/>
          <w:lang w:val="en-US" w:eastAsia="zh-CN"/>
        </w:rPr>
        <w:t>处理设施</w:t>
      </w:r>
      <w:r>
        <w:rPr>
          <w:rFonts w:hint="default" w:ascii="Times New Roman" w:hAnsi="Times New Roman" w:eastAsia="宋体" w:cs="Times New Roman"/>
          <w:color w:val="auto"/>
          <w:sz w:val="24"/>
          <w:highlight w:val="none"/>
          <w:lang w:val="en-US" w:eastAsia="zh-CN"/>
        </w:rPr>
        <w:t>处理后由1根20m高的排气筒（DA010）排放</w:t>
      </w:r>
      <w:r>
        <w:rPr>
          <w:rFonts w:hint="default" w:ascii="Times New Roman" w:hAnsi="Times New Roman" w:cs="Times New Roman"/>
          <w:color w:val="auto"/>
          <w:sz w:val="24"/>
          <w:highlight w:val="none"/>
          <w:lang w:val="en-US" w:eastAsia="zh-CN"/>
        </w:rPr>
        <w:t>。</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8"/>
        <w:gridCol w:w="4508"/>
      </w:tblGrid>
      <w:tr w14:paraId="150B8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8" w:type="dxa"/>
          </w:tcPr>
          <w:p w14:paraId="3BE3CA0A">
            <w:pPr>
              <w:spacing w:line="360" w:lineRule="auto"/>
              <w:jc w:val="center"/>
              <w:rPr>
                <w:rFonts w:hint="eastAsia" w:eastAsia="宋体"/>
                <w:sz w:val="24"/>
                <w:szCs w:val="24"/>
                <w:lang w:eastAsia="zh-CN"/>
              </w:rPr>
            </w:pPr>
            <w:r>
              <w:rPr>
                <w:rFonts w:hint="eastAsia" w:eastAsia="宋体"/>
                <w:sz w:val="24"/>
                <w:szCs w:val="24"/>
                <w:lang w:eastAsia="zh-CN"/>
              </w:rPr>
              <w:drawing>
                <wp:inline distT="0" distB="0" distL="114300" distR="114300">
                  <wp:extent cx="2713990" cy="2034540"/>
                  <wp:effectExtent l="0" t="0" r="10160" b="3810"/>
                  <wp:docPr id="7" name="图片 7" descr="685afdaf05681558419ff6b349665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85afdaf05681558419ff6b349665f1"/>
                          <pic:cNvPicPr>
                            <a:picLocks noChangeAspect="1"/>
                          </pic:cNvPicPr>
                        </pic:nvPicPr>
                        <pic:blipFill>
                          <a:blip r:embed="rId22"/>
                          <a:stretch>
                            <a:fillRect/>
                          </a:stretch>
                        </pic:blipFill>
                        <pic:spPr>
                          <a:xfrm>
                            <a:off x="0" y="0"/>
                            <a:ext cx="2713990" cy="2034540"/>
                          </a:xfrm>
                          <a:prstGeom prst="rect">
                            <a:avLst/>
                          </a:prstGeom>
                        </pic:spPr>
                      </pic:pic>
                    </a:graphicData>
                  </a:graphic>
                </wp:inline>
              </w:drawing>
            </w:r>
          </w:p>
        </w:tc>
        <w:tc>
          <w:tcPr>
            <w:tcW w:w="4508" w:type="dxa"/>
          </w:tcPr>
          <w:p w14:paraId="7C6C41AE">
            <w:pPr>
              <w:spacing w:line="360" w:lineRule="auto"/>
              <w:jc w:val="center"/>
              <w:rPr>
                <w:rFonts w:hint="eastAsia" w:eastAsia="宋体"/>
                <w:sz w:val="24"/>
                <w:szCs w:val="24"/>
                <w:lang w:eastAsia="zh-CN"/>
              </w:rPr>
            </w:pPr>
            <w:r>
              <w:rPr>
                <w:rFonts w:hint="eastAsia" w:eastAsia="宋体"/>
                <w:sz w:val="24"/>
                <w:szCs w:val="24"/>
                <w:lang w:eastAsia="zh-CN"/>
              </w:rPr>
              <w:drawing>
                <wp:inline distT="0" distB="0" distL="114300" distR="114300">
                  <wp:extent cx="2713990" cy="2034540"/>
                  <wp:effectExtent l="0" t="0" r="10160" b="3810"/>
                  <wp:docPr id="9" name="图片 9" descr="e432b175c42781a7a98ee9babcb9b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432b175c42781a7a98ee9babcb9b7a"/>
                          <pic:cNvPicPr>
                            <a:picLocks noChangeAspect="1"/>
                          </pic:cNvPicPr>
                        </pic:nvPicPr>
                        <pic:blipFill>
                          <a:blip r:embed="rId23"/>
                          <a:stretch>
                            <a:fillRect/>
                          </a:stretch>
                        </pic:blipFill>
                        <pic:spPr>
                          <a:xfrm>
                            <a:off x="0" y="0"/>
                            <a:ext cx="2713990" cy="2034540"/>
                          </a:xfrm>
                          <a:prstGeom prst="rect">
                            <a:avLst/>
                          </a:prstGeom>
                        </pic:spPr>
                      </pic:pic>
                    </a:graphicData>
                  </a:graphic>
                </wp:inline>
              </w:drawing>
            </w:r>
          </w:p>
        </w:tc>
      </w:tr>
      <w:tr w14:paraId="3AA23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8" w:type="dxa"/>
          </w:tcPr>
          <w:p w14:paraId="42E27299">
            <w:pPr>
              <w:spacing w:line="360" w:lineRule="auto"/>
              <w:jc w:val="center"/>
              <w:rPr>
                <w:sz w:val="24"/>
                <w:szCs w:val="24"/>
                <w:highlight w:val="none"/>
              </w:rPr>
            </w:pPr>
            <w:r>
              <w:rPr>
                <w:rFonts w:hint="eastAsia"/>
                <w:sz w:val="24"/>
                <w:szCs w:val="24"/>
                <w:highlight w:val="none"/>
              </w:rPr>
              <w:t>排气筒</w:t>
            </w:r>
            <w:r>
              <w:rPr>
                <w:rFonts w:hint="eastAsia"/>
                <w:sz w:val="24"/>
                <w:szCs w:val="24"/>
                <w:highlight w:val="none"/>
                <w:lang w:eastAsia="zh-CN"/>
              </w:rPr>
              <w:t>（</w:t>
            </w:r>
            <w:r>
              <w:rPr>
                <w:rFonts w:hint="eastAsia"/>
                <w:sz w:val="24"/>
                <w:szCs w:val="24"/>
                <w:highlight w:val="none"/>
                <w:lang w:val="en-US" w:eastAsia="zh-CN"/>
              </w:rPr>
              <w:t>DA008</w:t>
            </w:r>
            <w:r>
              <w:rPr>
                <w:rFonts w:hint="eastAsia"/>
                <w:sz w:val="24"/>
                <w:szCs w:val="24"/>
                <w:highlight w:val="none"/>
                <w:lang w:eastAsia="zh-CN"/>
              </w:rPr>
              <w:t>）</w:t>
            </w:r>
            <w:r>
              <w:rPr>
                <w:rFonts w:hint="eastAsia"/>
                <w:sz w:val="24"/>
                <w:szCs w:val="24"/>
                <w:highlight w:val="none"/>
              </w:rPr>
              <w:t>二级活性炭处理装置</w:t>
            </w:r>
          </w:p>
        </w:tc>
        <w:tc>
          <w:tcPr>
            <w:tcW w:w="4508" w:type="dxa"/>
          </w:tcPr>
          <w:p w14:paraId="5ED9E2E6">
            <w:pPr>
              <w:spacing w:line="360" w:lineRule="auto"/>
              <w:jc w:val="center"/>
              <w:rPr>
                <w:sz w:val="24"/>
                <w:szCs w:val="24"/>
                <w:highlight w:val="none"/>
              </w:rPr>
            </w:pPr>
            <w:r>
              <w:rPr>
                <w:rFonts w:hint="eastAsia"/>
                <w:sz w:val="24"/>
                <w:szCs w:val="24"/>
                <w:highlight w:val="none"/>
              </w:rPr>
              <w:t>排气筒</w:t>
            </w:r>
            <w:r>
              <w:rPr>
                <w:rFonts w:hint="eastAsia"/>
                <w:sz w:val="24"/>
                <w:szCs w:val="24"/>
                <w:highlight w:val="none"/>
                <w:lang w:eastAsia="zh-CN"/>
              </w:rPr>
              <w:t>（</w:t>
            </w:r>
            <w:r>
              <w:rPr>
                <w:rFonts w:hint="eastAsia"/>
                <w:sz w:val="24"/>
                <w:szCs w:val="24"/>
                <w:highlight w:val="none"/>
                <w:lang w:val="en-US" w:eastAsia="zh-CN"/>
              </w:rPr>
              <w:t>DA010</w:t>
            </w:r>
            <w:r>
              <w:rPr>
                <w:rFonts w:hint="eastAsia"/>
                <w:sz w:val="24"/>
                <w:szCs w:val="24"/>
                <w:highlight w:val="none"/>
                <w:lang w:eastAsia="zh-CN"/>
              </w:rPr>
              <w:t>）</w:t>
            </w:r>
            <w:r>
              <w:rPr>
                <w:rFonts w:hint="eastAsia"/>
                <w:sz w:val="24"/>
                <w:szCs w:val="24"/>
                <w:highlight w:val="none"/>
                <w:lang w:val="en-US" w:eastAsia="zh-CN"/>
              </w:rPr>
              <w:t>碱液喷淋塔</w:t>
            </w:r>
            <w:r>
              <w:rPr>
                <w:rFonts w:hint="eastAsia"/>
                <w:sz w:val="24"/>
                <w:szCs w:val="24"/>
                <w:highlight w:val="none"/>
              </w:rPr>
              <w:t>处理装置</w:t>
            </w:r>
          </w:p>
        </w:tc>
      </w:tr>
    </w:tbl>
    <w:p w14:paraId="4C10E3DC">
      <w:pPr>
        <w:pStyle w:val="4"/>
        <w:spacing w:before="0" w:after="0" w:line="490" w:lineRule="exact"/>
        <w:rPr>
          <w:rFonts w:hint="eastAsia" w:eastAsia="宋体"/>
          <w:sz w:val="24"/>
          <w:szCs w:val="24"/>
          <w:lang w:eastAsia="zh-CN"/>
        </w:rPr>
      </w:pPr>
      <w:r>
        <w:rPr>
          <w:sz w:val="24"/>
          <w:szCs w:val="24"/>
        </w:rPr>
        <w:t>4.1.</w:t>
      </w:r>
      <w:r>
        <w:rPr>
          <w:rFonts w:hint="eastAsia"/>
          <w:sz w:val="24"/>
          <w:szCs w:val="24"/>
          <w:lang w:val="en-US" w:eastAsia="zh-CN"/>
        </w:rPr>
        <w:t>2废水</w:t>
      </w:r>
    </w:p>
    <w:bookmarkEnd w:id="157"/>
    <w:p w14:paraId="0B9341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bookmarkStart w:id="158" w:name="_Toc513474968"/>
      <w:r>
        <w:rPr>
          <w:rFonts w:hint="default" w:ascii="Times New Roman" w:hAnsi="Times New Roman" w:eastAsia="宋体" w:cs="Times New Roman"/>
          <w:sz w:val="24"/>
          <w:szCs w:val="24"/>
          <w:lang w:val="en-US" w:eastAsia="zh-CN"/>
        </w:rPr>
        <w:t>项目废水主要包括蒙砂工序废水、化抛蚀刻工序废水、超声波清洗废水、纯水制备浓水、碱液喷淋塔废水、车间清洁废水以及生活污水。</w:t>
      </w:r>
    </w:p>
    <w:p w14:paraId="5C8ECC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项目生活污水依托富士康园区分散式生化池处理达《污水综合排放标准》（GB8978-1996）三级排放标准后排入西永污水处理厂，纯水制备浓水直接经园区污水管网排入西永污水处理厂，</w:t>
      </w:r>
      <w:r>
        <w:rPr>
          <w:rFonts w:hint="eastAsia"/>
          <w:sz w:val="24"/>
          <w:szCs w:val="24"/>
          <w:lang w:val="en-US" w:eastAsia="zh-CN"/>
        </w:rPr>
        <w:t>化抛蚀刻槽液废液、蒙砂废液收集于密闭防渗储罐，</w:t>
      </w:r>
      <w:r>
        <w:rPr>
          <w:rFonts w:hint="eastAsia"/>
          <w:sz w:val="24"/>
          <w:szCs w:val="24"/>
          <w:highlight w:val="none"/>
          <w:lang w:val="en-US" w:eastAsia="zh-CN"/>
        </w:rPr>
        <w:t>暂存于污水处理站，定</w:t>
      </w:r>
      <w:r>
        <w:rPr>
          <w:rFonts w:hint="eastAsia"/>
          <w:sz w:val="24"/>
          <w:szCs w:val="24"/>
          <w:lang w:val="en-US" w:eastAsia="zh-CN"/>
        </w:rPr>
        <w:t>期交由有资质的单位处理，其余</w:t>
      </w:r>
      <w:r>
        <w:rPr>
          <w:rFonts w:hint="default" w:ascii="Times New Roman" w:hAnsi="Times New Roman" w:eastAsia="宋体" w:cs="Times New Roman"/>
          <w:sz w:val="24"/>
          <w:szCs w:val="24"/>
          <w:lang w:val="en-US" w:eastAsia="zh-CN"/>
        </w:rPr>
        <w:t>生产废水排入厂区自建污水处理站中处理达《污水综合排放标准》（GB8978-1996）三级排放标准后排入西永污水处理厂</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COD、氨氮、总磷、总氮经西永污水处理厂处理达《梁滩河流域城镇污水处理厂主要水污染物排放标准》（DB50/963-2020）表1重点控制区域标准限值，其它污染因子</w:t>
      </w:r>
      <w:r>
        <w:rPr>
          <w:rFonts w:hint="eastAsia" w:cs="Times New Roman"/>
          <w:sz w:val="24"/>
          <w:szCs w:val="24"/>
          <w:lang w:val="en-US" w:eastAsia="zh-CN"/>
        </w:rPr>
        <w:t>处理达</w:t>
      </w:r>
      <w:r>
        <w:rPr>
          <w:rFonts w:hint="default" w:ascii="Times New Roman" w:hAnsi="Times New Roman" w:eastAsia="宋体" w:cs="Times New Roman"/>
          <w:sz w:val="24"/>
          <w:szCs w:val="24"/>
          <w:lang w:val="en-US" w:eastAsia="zh-CN"/>
        </w:rPr>
        <w:t>《城镇污水处理厂污染物排放标准》（GB18918-2002）一级A标准后排入梁滩河</w:t>
      </w:r>
      <w:r>
        <w:rPr>
          <w:rFonts w:hint="eastAsia" w:ascii="Times New Roman" w:hAnsi="Times New Roman" w:eastAsia="宋体" w:cs="Times New Roman"/>
          <w:sz w:val="24"/>
          <w:szCs w:val="24"/>
          <w:lang w:val="en-US" w:eastAsia="zh-CN"/>
        </w:rPr>
        <w:t>。</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8"/>
        <w:gridCol w:w="4508"/>
      </w:tblGrid>
      <w:tr w14:paraId="137ED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14:paraId="49412809">
            <w:pPr>
              <w:spacing w:line="360" w:lineRule="auto"/>
              <w:jc w:val="center"/>
            </w:pPr>
            <w:r>
              <w:rPr>
                <w:rFonts w:hint="eastAsia" w:ascii="Times New Roman" w:hAnsi="宋体" w:eastAsia="宋体"/>
                <w:kern w:val="2"/>
                <w:sz w:val="21"/>
                <w:szCs w:val="21"/>
              </w:rPr>
              <w:drawing>
                <wp:inline distT="0" distB="0" distL="0" distR="0">
                  <wp:extent cx="2748280" cy="3548380"/>
                  <wp:effectExtent l="0" t="0" r="13970" b="13970"/>
                  <wp:docPr id="19984014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01452" name="图片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8280" cy="3548380"/>
                          </a:xfrm>
                          <a:prstGeom prst="rect">
                            <a:avLst/>
                          </a:prstGeom>
                        </pic:spPr>
                      </pic:pic>
                    </a:graphicData>
                  </a:graphic>
                </wp:inline>
              </w:drawing>
            </w:r>
          </w:p>
        </w:tc>
        <w:tc>
          <w:tcPr>
            <w:tcW w:w="4508" w:type="dxa"/>
          </w:tcPr>
          <w:p w14:paraId="3F0FE8B4">
            <w:pPr>
              <w:spacing w:line="360" w:lineRule="auto"/>
              <w:jc w:val="center"/>
            </w:pPr>
            <w:r>
              <w:rPr>
                <w:rFonts w:hint="eastAsia" w:ascii="Times New Roman" w:hAnsi="宋体" w:eastAsia="宋体"/>
                <w:kern w:val="2"/>
                <w:sz w:val="21"/>
                <w:szCs w:val="21"/>
              </w:rPr>
              <w:drawing>
                <wp:inline distT="0" distB="0" distL="0" distR="0">
                  <wp:extent cx="2728595" cy="3507740"/>
                  <wp:effectExtent l="0" t="0" r="14605" b="16510"/>
                  <wp:docPr id="14974714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71477" name="图片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28595" cy="3507740"/>
                          </a:xfrm>
                          <a:prstGeom prst="rect">
                            <a:avLst/>
                          </a:prstGeom>
                        </pic:spPr>
                      </pic:pic>
                    </a:graphicData>
                  </a:graphic>
                </wp:inline>
              </w:drawing>
            </w:r>
          </w:p>
        </w:tc>
      </w:tr>
      <w:tr w14:paraId="277A1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14:paraId="1616C45A">
            <w:pPr>
              <w:spacing w:line="360" w:lineRule="auto"/>
              <w:jc w:val="center"/>
              <w:rPr>
                <w:rFonts w:hint="default"/>
                <w:highlight w:val="none"/>
                <w:lang w:val="en-US"/>
              </w:rPr>
            </w:pPr>
            <w:r>
              <w:rPr>
                <w:rFonts w:hint="eastAsia"/>
                <w:highlight w:val="none"/>
                <w:lang w:val="en-US" w:eastAsia="zh-CN"/>
              </w:rPr>
              <w:t>厂区废水处理站</w:t>
            </w:r>
          </w:p>
        </w:tc>
        <w:tc>
          <w:tcPr>
            <w:tcW w:w="4508" w:type="dxa"/>
          </w:tcPr>
          <w:p w14:paraId="30303493">
            <w:pPr>
              <w:spacing w:line="360" w:lineRule="auto"/>
              <w:jc w:val="center"/>
              <w:rPr>
                <w:highlight w:val="none"/>
              </w:rPr>
            </w:pPr>
            <w:r>
              <w:rPr>
                <w:rFonts w:hint="eastAsia"/>
                <w:highlight w:val="none"/>
              </w:rPr>
              <w:t>废水</w:t>
            </w:r>
            <w:r>
              <w:rPr>
                <w:rFonts w:hint="eastAsia"/>
                <w:highlight w:val="none"/>
                <w:lang w:val="en-US" w:eastAsia="zh-CN"/>
              </w:rPr>
              <w:t>处理</w:t>
            </w:r>
            <w:r>
              <w:rPr>
                <w:rFonts w:hint="eastAsia"/>
                <w:highlight w:val="none"/>
              </w:rPr>
              <w:t>站总排口</w:t>
            </w:r>
          </w:p>
        </w:tc>
      </w:tr>
      <w:tr w14:paraId="7527E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14:paraId="0AD964A5">
            <w:pPr>
              <w:spacing w:line="360" w:lineRule="auto"/>
              <w:jc w:val="center"/>
              <w:rPr>
                <w:rFonts w:hint="eastAsia"/>
                <w:highlight w:val="none"/>
                <w:lang w:val="en-US" w:eastAsia="zh-CN"/>
              </w:rPr>
            </w:pPr>
            <w:r>
              <w:rPr>
                <w:rFonts w:hint="eastAsia" w:ascii="Times New Roman" w:hAnsi="宋体" w:eastAsia="宋体"/>
                <w:kern w:val="2"/>
                <w:sz w:val="21"/>
                <w:szCs w:val="21"/>
              </w:rPr>
              <w:drawing>
                <wp:inline distT="0" distB="0" distL="0" distR="0">
                  <wp:extent cx="2749550" cy="2160270"/>
                  <wp:effectExtent l="0" t="0" r="12700" b="11430"/>
                  <wp:docPr id="10374320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32059" name="图片 3"/>
                          <pic:cNvPicPr>
                            <a:picLocks noChangeAspect="1"/>
                          </pic:cNvPicPr>
                        </pic:nvPicPr>
                        <pic:blipFill>
                          <a:blip r:embed="rId26" cstate="print">
                            <a:extLst>
                              <a:ext uri="{28A0092B-C50C-407E-A947-70E740481C1C}">
                                <a14:useLocalDpi xmlns:a14="http://schemas.microsoft.com/office/drawing/2010/main" val="0"/>
                              </a:ext>
                            </a:extLst>
                          </a:blip>
                          <a:srcRect l="15970" t="2832" r="9035" b="8376"/>
                          <a:stretch>
                            <a:fillRect/>
                          </a:stretch>
                        </pic:blipFill>
                        <pic:spPr>
                          <a:xfrm>
                            <a:off x="0" y="0"/>
                            <a:ext cx="2749550" cy="2160270"/>
                          </a:xfrm>
                          <a:prstGeom prst="rect">
                            <a:avLst/>
                          </a:prstGeom>
                        </pic:spPr>
                      </pic:pic>
                    </a:graphicData>
                  </a:graphic>
                </wp:inline>
              </w:drawing>
            </w:r>
          </w:p>
        </w:tc>
        <w:tc>
          <w:tcPr>
            <w:tcW w:w="4508" w:type="dxa"/>
          </w:tcPr>
          <w:p w14:paraId="2940FC13">
            <w:pPr>
              <w:spacing w:line="360" w:lineRule="auto"/>
              <w:jc w:val="center"/>
              <w:rPr>
                <w:rFonts w:hint="eastAsia"/>
                <w:highlight w:val="none"/>
              </w:rPr>
            </w:pPr>
            <w:r>
              <w:rPr>
                <w:rFonts w:hint="eastAsia" w:ascii="Times New Roman" w:hAnsi="宋体" w:eastAsia="宋体"/>
                <w:kern w:val="2"/>
                <w:sz w:val="21"/>
                <w:szCs w:val="21"/>
              </w:rPr>
              <w:drawing>
                <wp:inline distT="0" distB="0" distL="0" distR="0">
                  <wp:extent cx="2805430" cy="2126615"/>
                  <wp:effectExtent l="0" t="0" r="13970" b="6985"/>
                  <wp:docPr id="107670699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06992" name="图片 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5430" cy="2126615"/>
                          </a:xfrm>
                          <a:prstGeom prst="rect">
                            <a:avLst/>
                          </a:prstGeom>
                        </pic:spPr>
                      </pic:pic>
                    </a:graphicData>
                  </a:graphic>
                </wp:inline>
              </w:drawing>
            </w:r>
          </w:p>
        </w:tc>
      </w:tr>
      <w:tr w14:paraId="07B0E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14:paraId="3106D65D">
            <w:pPr>
              <w:spacing w:line="360" w:lineRule="auto"/>
              <w:jc w:val="center"/>
              <w:rPr>
                <w:rFonts w:hint="eastAsia"/>
                <w:highlight w:val="none"/>
                <w:lang w:val="en-US" w:eastAsia="zh-CN"/>
              </w:rPr>
            </w:pPr>
            <w:r>
              <w:rPr>
                <w:rFonts w:hint="eastAsia"/>
                <w:highlight w:val="none"/>
                <w:lang w:val="en-US" w:eastAsia="zh-CN"/>
              </w:rPr>
              <w:t>污水排放口标识</w:t>
            </w:r>
          </w:p>
        </w:tc>
        <w:tc>
          <w:tcPr>
            <w:tcW w:w="4508" w:type="dxa"/>
          </w:tcPr>
          <w:p w14:paraId="1372A7D2">
            <w:pPr>
              <w:spacing w:line="360" w:lineRule="auto"/>
              <w:jc w:val="center"/>
              <w:rPr>
                <w:rFonts w:hint="default" w:eastAsia="宋体"/>
                <w:highlight w:val="none"/>
                <w:lang w:val="en-US" w:eastAsia="zh-CN"/>
              </w:rPr>
            </w:pPr>
            <w:r>
              <w:rPr>
                <w:rFonts w:hint="eastAsia"/>
                <w:highlight w:val="none"/>
                <w:lang w:val="en-US" w:eastAsia="zh-CN"/>
              </w:rPr>
              <w:t>厂区废水处理站工艺流程</w:t>
            </w:r>
          </w:p>
        </w:tc>
      </w:tr>
    </w:tbl>
    <w:p w14:paraId="21693095">
      <w:pPr>
        <w:pStyle w:val="4"/>
        <w:spacing w:before="0" w:after="0" w:line="490" w:lineRule="exact"/>
        <w:rPr>
          <w:sz w:val="24"/>
          <w:szCs w:val="24"/>
        </w:rPr>
      </w:pPr>
      <w:r>
        <w:rPr>
          <w:sz w:val="24"/>
          <w:szCs w:val="24"/>
        </w:rPr>
        <w:t>4.1.3噪声</w:t>
      </w:r>
      <w:bookmarkEnd w:id="158"/>
    </w:p>
    <w:p w14:paraId="5B797A87">
      <w:pPr>
        <w:spacing w:line="490" w:lineRule="exact"/>
        <w:ind w:firstLine="480" w:firstLineChars="200"/>
        <w:rPr>
          <w:sz w:val="24"/>
        </w:rPr>
      </w:pPr>
      <w:bookmarkStart w:id="159" w:name="_Toc513474969"/>
      <w:r>
        <w:rPr>
          <w:rFonts w:hint="eastAsia"/>
          <w:sz w:val="24"/>
          <w:lang w:val="en-US" w:eastAsia="zh-CN"/>
        </w:rPr>
        <w:t>原有项目和本次改扩建项目</w:t>
      </w:r>
      <w:r>
        <w:rPr>
          <w:rFonts w:hint="eastAsia"/>
          <w:sz w:val="24"/>
        </w:rPr>
        <w:t>噪声源主要为</w:t>
      </w:r>
      <w:r>
        <w:rPr>
          <w:rFonts w:hint="eastAsia"/>
          <w:sz w:val="24"/>
          <w:lang w:eastAsia="zh-CN"/>
        </w:rPr>
        <w:t>CNC机、抛光机、</w:t>
      </w:r>
      <w:r>
        <w:rPr>
          <w:rFonts w:hint="eastAsia"/>
          <w:sz w:val="24"/>
          <w:lang w:val="en-US" w:eastAsia="zh-CN"/>
        </w:rPr>
        <w:t>空压机、超声波清洗机和废气系统</w:t>
      </w:r>
      <w:r>
        <w:rPr>
          <w:rFonts w:hint="eastAsia"/>
          <w:sz w:val="24"/>
        </w:rPr>
        <w:t>风机，</w:t>
      </w:r>
      <w:r>
        <w:rPr>
          <w:rFonts w:hint="eastAsia"/>
          <w:sz w:val="24"/>
          <w:lang w:val="en-US" w:eastAsia="zh-CN"/>
        </w:rPr>
        <w:t>噪声源强为75~90dB（A）。</w:t>
      </w:r>
      <w:r>
        <w:rPr>
          <w:rFonts w:hint="eastAsia"/>
          <w:sz w:val="24"/>
        </w:rPr>
        <w:t>声源采取</w:t>
      </w:r>
      <w:r>
        <w:rPr>
          <w:rFonts w:hint="eastAsia"/>
          <w:sz w:val="24"/>
          <w:lang w:eastAsia="zh-CN"/>
        </w:rPr>
        <w:t>了</w:t>
      </w:r>
      <w:r>
        <w:rPr>
          <w:rFonts w:hint="eastAsia"/>
          <w:sz w:val="24"/>
        </w:rPr>
        <w:t>安装消声器、减振垫、基础固定等措施</w:t>
      </w:r>
      <w:r>
        <w:rPr>
          <w:rFonts w:hint="eastAsia"/>
          <w:sz w:val="24"/>
          <w:lang w:val="en-US" w:eastAsia="zh-CN"/>
        </w:rPr>
        <w:t>以</w:t>
      </w:r>
      <w:r>
        <w:rPr>
          <w:rFonts w:hint="eastAsia"/>
          <w:sz w:val="24"/>
        </w:rPr>
        <w:t>减少对周围环境干扰。</w:t>
      </w:r>
      <w:r>
        <w:rPr>
          <w:sz w:val="24"/>
        </w:rPr>
        <w:t>厂界噪声满足《工业企业厂界环境噪声排放标准》</w:t>
      </w:r>
      <w:r>
        <w:rPr>
          <w:rFonts w:hint="eastAsia"/>
          <w:sz w:val="24"/>
        </w:rPr>
        <w:t>（</w:t>
      </w:r>
      <w:r>
        <w:rPr>
          <w:sz w:val="24"/>
        </w:rPr>
        <w:t>GB 12348-2008</w:t>
      </w:r>
      <w:r>
        <w:rPr>
          <w:rFonts w:hint="eastAsia"/>
          <w:sz w:val="24"/>
        </w:rPr>
        <w:t>）</w:t>
      </w:r>
      <w:r>
        <w:rPr>
          <w:sz w:val="24"/>
        </w:rPr>
        <w:t>3类排放限值要求。</w:t>
      </w:r>
    </w:p>
    <w:p w14:paraId="5E5E61EF">
      <w:pPr>
        <w:pStyle w:val="4"/>
        <w:spacing w:before="0" w:after="0" w:line="490" w:lineRule="exact"/>
        <w:rPr>
          <w:sz w:val="24"/>
          <w:szCs w:val="24"/>
        </w:rPr>
      </w:pPr>
      <w:r>
        <w:rPr>
          <w:sz w:val="24"/>
          <w:szCs w:val="24"/>
        </w:rPr>
        <w:t>4.1.4固废</w:t>
      </w:r>
      <w:bookmarkEnd w:id="159"/>
    </w:p>
    <w:p w14:paraId="07E89A23">
      <w:pPr>
        <w:spacing w:line="490" w:lineRule="exact"/>
        <w:ind w:firstLine="480" w:firstLineChars="200"/>
        <w:rPr>
          <w:rFonts w:hint="eastAsia"/>
          <w:sz w:val="24"/>
          <w:szCs w:val="24"/>
        </w:rPr>
      </w:pPr>
      <w:r>
        <w:rPr>
          <w:rFonts w:hint="eastAsia"/>
          <w:sz w:val="24"/>
          <w:szCs w:val="24"/>
          <w:lang w:eastAsia="zh-CN"/>
        </w:rPr>
        <w:t>项目</w:t>
      </w:r>
      <w:r>
        <w:rPr>
          <w:rFonts w:hint="eastAsia"/>
          <w:sz w:val="24"/>
          <w:szCs w:val="24"/>
        </w:rPr>
        <w:t>主要产生的固体废物为一般固体废物、危险废物和生活垃圾。</w:t>
      </w:r>
    </w:p>
    <w:p w14:paraId="6395E8EA">
      <w:pPr>
        <w:widowControl/>
        <w:wordWrap w:val="0"/>
        <w:adjustRightIn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（1）一般工业固废</w:t>
      </w:r>
    </w:p>
    <w:p w14:paraId="0FE0182C">
      <w:pPr>
        <w:widowControl/>
        <w:wordWrap w:val="0"/>
        <w:adjustRightIn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fldChar w:fldCharType="begin"/>
      </w:r>
      <w:r>
        <w:rPr>
          <w:rFonts w:hint="eastAsia" w:ascii="Times New Roman" w:hAnsi="Times New Roman" w:eastAsia="宋体" w:cs="Times New Roman"/>
          <w:color w:val="auto"/>
          <w:sz w:val="24"/>
        </w:rPr>
        <w:instrText xml:space="preserve"> = 1 \* GB3 </w:instrText>
      </w:r>
      <w:r>
        <w:rPr>
          <w:rFonts w:hint="eastAsia" w:ascii="Times New Roman" w:hAnsi="Times New Roman" w:eastAsia="宋体" w:cs="Times New Roman"/>
          <w:color w:val="auto"/>
          <w:sz w:val="24"/>
        </w:rPr>
        <w:fldChar w:fldCharType="separate"/>
      </w:r>
      <w:r>
        <w:rPr>
          <w:rFonts w:hint="eastAsia" w:ascii="Times New Roman" w:hAnsi="Times New Roman" w:eastAsia="宋体" w:cs="Times New Roman"/>
          <w:color w:val="auto"/>
          <w:sz w:val="24"/>
        </w:rPr>
        <w:t>①</w:t>
      </w:r>
      <w:r>
        <w:rPr>
          <w:rFonts w:hint="eastAsia" w:ascii="Times New Roman" w:hAnsi="Times New Roman" w:eastAsia="宋体" w:cs="Times New Roman"/>
          <w:color w:val="auto"/>
          <w:sz w:val="24"/>
        </w:rPr>
        <w:fldChar w:fldCharType="end"/>
      </w:r>
      <w:r>
        <w:rPr>
          <w:rFonts w:hint="eastAsia" w:ascii="Times New Roman" w:hAnsi="Times New Roman" w:eastAsia="宋体" w:cs="Times New Roman"/>
          <w:color w:val="auto"/>
          <w:sz w:val="24"/>
        </w:rPr>
        <w:t>不合格品：</w:t>
      </w:r>
      <w:r>
        <w:rPr>
          <w:rFonts w:hint="eastAsia" w:ascii="Times New Roman" w:hAnsi="Times New Roman" w:eastAsia="宋体" w:cs="Times New Roman"/>
          <w:color w:val="auto"/>
          <w:sz w:val="24"/>
          <w:lang w:val="zh-CN"/>
        </w:rPr>
        <w:t>项目在检验、测试过程中将产生不合格产品或中间产品。</w:t>
      </w:r>
      <w:r>
        <w:rPr>
          <w:rFonts w:hint="eastAsia" w:ascii="Times New Roman" w:hAnsi="Times New Roman" w:eastAsia="宋体" w:cs="Times New Roman"/>
          <w:color w:val="auto"/>
          <w:sz w:val="24"/>
        </w:rPr>
        <w:t>对照《固体废物分类与代码目录》，其属一般固体废物，其类别为“SW17”，废物代码</w:t>
      </w:r>
      <w:r>
        <w:rPr>
          <w:rFonts w:hint="eastAsia" w:ascii="Times New Roman" w:hAnsi="Times New Roman" w:eastAsia="宋体" w:cs="Times New Roman"/>
          <w:color w:val="auto"/>
          <w:sz w:val="24"/>
          <w:lang w:val="zh-CN"/>
        </w:rPr>
        <w:t>为900-004-S17，分类收集暂存于一般固废暂存间，定期外售。</w:t>
      </w:r>
    </w:p>
    <w:p w14:paraId="5BFABDE8">
      <w:pPr>
        <w:widowControl/>
        <w:wordWrap w:val="0"/>
        <w:adjustRightIn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②普通</w:t>
      </w:r>
      <w:r>
        <w:rPr>
          <w:rFonts w:hint="eastAsia" w:ascii="Times New Roman" w:hAnsi="Times New Roman" w:eastAsia="宋体" w:cs="Times New Roman"/>
          <w:color w:val="auto"/>
          <w:sz w:val="24"/>
        </w:rPr>
        <w:t>废包装材料：项目原辅材料拆封以及产品包装会产生一定的</w:t>
      </w:r>
      <w:r>
        <w:rPr>
          <w:rFonts w:hint="eastAsia" w:ascii="Times New Roman" w:hAnsi="Times New Roman" w:eastAsia="宋体" w:cs="Times New Roman"/>
          <w:color w:val="auto"/>
          <w:sz w:val="24"/>
          <w:lang w:val="en-US" w:eastAsia="zh-CN"/>
        </w:rPr>
        <w:t>普通</w:t>
      </w:r>
      <w:r>
        <w:rPr>
          <w:rFonts w:hint="eastAsia" w:ascii="Times New Roman" w:hAnsi="Times New Roman" w:eastAsia="宋体" w:cs="Times New Roman"/>
          <w:color w:val="auto"/>
          <w:sz w:val="24"/>
        </w:rPr>
        <w:t>废弃包装材料，成分主要为纸箱、纸袋等，对照《固体废物分类与代码目录》，其属一般固体废物，其类别为“SW17”，废物代码</w:t>
      </w:r>
      <w:r>
        <w:rPr>
          <w:rFonts w:hint="eastAsia" w:ascii="Times New Roman" w:hAnsi="Times New Roman" w:eastAsia="宋体" w:cs="Times New Roman"/>
          <w:color w:val="auto"/>
          <w:sz w:val="24"/>
          <w:lang w:val="zh-CN"/>
        </w:rPr>
        <w:t>为900-0</w:t>
      </w:r>
      <w:r>
        <w:rPr>
          <w:rFonts w:hint="eastAsia" w:ascii="Times New Roman" w:hAnsi="Times New Roman" w:eastAsia="宋体" w:cs="Times New Roman"/>
          <w:color w:val="auto"/>
          <w:sz w:val="24"/>
          <w:lang w:val="en-US" w:eastAsia="zh-CN"/>
        </w:rPr>
        <w:t>05</w:t>
      </w:r>
      <w:r>
        <w:rPr>
          <w:rFonts w:hint="eastAsia" w:ascii="Times New Roman" w:hAnsi="Times New Roman" w:eastAsia="宋体" w:cs="Times New Roman"/>
          <w:color w:val="auto"/>
          <w:sz w:val="24"/>
          <w:lang w:val="zh-CN"/>
        </w:rPr>
        <w:t>-S17，分类收集暂存于一般固废暂存间，定期外售</w:t>
      </w:r>
      <w:r>
        <w:rPr>
          <w:rFonts w:hint="eastAsia" w:ascii="Times New Roman" w:hAnsi="Times New Roman" w:eastAsia="宋体" w:cs="Times New Roman"/>
          <w:color w:val="auto"/>
          <w:sz w:val="24"/>
          <w:lang w:val="en-US" w:eastAsia="zh-CN"/>
        </w:rPr>
        <w:t>。</w:t>
      </w:r>
    </w:p>
    <w:p w14:paraId="34D2D07D">
      <w:pPr>
        <w:widowControl/>
        <w:wordWrap w:val="0"/>
        <w:adjustRightInd w:val="0"/>
        <w:spacing w:line="360" w:lineRule="auto"/>
        <w:ind w:firstLine="480" w:firstLineChars="200"/>
        <w:rPr>
          <w:rFonts w:hint="eastAsia" w:ascii="Times New Roman" w:hAnsi="Times New Roman" w:eastAsia="宋体" w:cs="Times New Roman"/>
          <w:color w:val="auto"/>
          <w:sz w:val="24"/>
          <w:lang w:val="zh-CN"/>
        </w:rPr>
      </w:pPr>
      <w:r>
        <w:rPr>
          <w:rFonts w:hint="eastAsia" w:ascii="Times New Roman" w:hAnsi="Times New Roman" w:eastAsia="宋体" w:cs="Times New Roman"/>
          <w:color w:val="auto"/>
          <w:sz w:val="24"/>
          <w:lang w:val="en-US" w:eastAsia="zh-CN"/>
        </w:rPr>
        <w:t>③废配件：</w:t>
      </w:r>
      <w:r>
        <w:rPr>
          <w:rFonts w:hint="eastAsia" w:ascii="Times New Roman" w:hAnsi="Times New Roman" w:eastAsia="宋体" w:cs="Times New Roman"/>
          <w:color w:val="auto"/>
          <w:sz w:val="24"/>
        </w:rPr>
        <w:t>项目</w:t>
      </w:r>
      <w:r>
        <w:rPr>
          <w:rFonts w:hint="eastAsia" w:ascii="Times New Roman" w:hAnsi="Times New Roman" w:eastAsia="宋体" w:cs="Times New Roman"/>
          <w:color w:val="auto"/>
          <w:sz w:val="24"/>
          <w:lang w:val="en-US" w:eastAsia="zh-CN"/>
        </w:rPr>
        <w:t>生产过程</w:t>
      </w:r>
      <w:r>
        <w:rPr>
          <w:rFonts w:hint="eastAsia" w:ascii="Times New Roman" w:hAnsi="Times New Roman" w:eastAsia="宋体" w:cs="Times New Roman"/>
          <w:color w:val="auto"/>
          <w:sz w:val="24"/>
        </w:rPr>
        <w:t>会产生</w:t>
      </w:r>
      <w:r>
        <w:rPr>
          <w:rFonts w:hint="eastAsia" w:ascii="Times New Roman" w:hAnsi="Times New Roman" w:eastAsia="宋体" w:cs="Times New Roman"/>
          <w:color w:val="auto"/>
          <w:sz w:val="24"/>
          <w:lang w:val="en-US" w:eastAsia="zh-CN"/>
        </w:rPr>
        <w:t>废配件</w:t>
      </w:r>
      <w:r>
        <w:rPr>
          <w:rFonts w:hint="eastAsia" w:ascii="Times New Roman" w:hAnsi="Times New Roman" w:eastAsia="宋体" w:cs="Times New Roman"/>
          <w:color w:val="auto"/>
          <w:sz w:val="24"/>
        </w:rPr>
        <w:t>，对照《固体废物分类与代码目录》，其属一般固体废物，其类别为“SW17”，废物代码</w:t>
      </w:r>
      <w:r>
        <w:rPr>
          <w:rFonts w:hint="eastAsia" w:ascii="Times New Roman" w:hAnsi="Times New Roman" w:eastAsia="宋体" w:cs="Times New Roman"/>
          <w:color w:val="auto"/>
          <w:sz w:val="24"/>
          <w:lang w:val="zh-CN"/>
        </w:rPr>
        <w:t>为900-099-S17，分类收集暂存于一般固废暂存间，定期外售。</w:t>
      </w:r>
    </w:p>
    <w:p w14:paraId="1E298AF0">
      <w:pPr>
        <w:pStyle w:val="134"/>
        <w:adjustRightInd w:val="0"/>
        <w:spacing w:line="360" w:lineRule="auto"/>
        <w:ind w:firstLine="480" w:firstLineChars="200"/>
        <w:rPr>
          <w:rFonts w:hint="default" w:ascii="Times New Roman" w:hAnsi="Times New Roman" w:eastAsia="宋体"/>
          <w:color w:val="auto"/>
          <w:sz w:val="24"/>
          <w:lang w:val="en-US" w:eastAsia="zh-CN"/>
        </w:rPr>
      </w:pPr>
      <w:r>
        <w:rPr>
          <w:rFonts w:ascii="Times New Roman" w:hAnsi="宋体"/>
          <w:color w:val="auto"/>
          <w:sz w:val="24"/>
        </w:rPr>
        <w:t>一般固废暂存区：</w:t>
      </w:r>
      <w:r>
        <w:rPr>
          <w:rFonts w:hint="eastAsia" w:ascii="Times New Roman" w:hAnsi="宋体"/>
          <w:color w:val="auto"/>
          <w:sz w:val="24"/>
          <w:lang w:val="en-US" w:eastAsia="zh-CN"/>
        </w:rPr>
        <w:t>暂存区标识完整，地面</w:t>
      </w:r>
      <w:r>
        <w:rPr>
          <w:rFonts w:hint="eastAsia" w:hAnsi="宋体"/>
          <w:color w:val="auto"/>
          <w:sz w:val="24"/>
          <w:lang w:val="en-US" w:eastAsia="zh-CN"/>
        </w:rPr>
        <w:t>已做</w:t>
      </w:r>
      <w:r>
        <w:rPr>
          <w:rFonts w:hint="eastAsia" w:ascii="Times New Roman" w:hAnsi="宋体"/>
          <w:color w:val="auto"/>
          <w:sz w:val="24"/>
          <w:lang w:val="en-US" w:eastAsia="zh-CN"/>
        </w:rPr>
        <w:t>防渗处理，属于相对独立的区域，满足</w:t>
      </w:r>
      <w:r>
        <w:rPr>
          <w:rFonts w:ascii="Times New Roman" w:hAnsi="宋体"/>
          <w:color w:val="auto"/>
          <w:sz w:val="24"/>
        </w:rPr>
        <w:t>防粉尘污染、防流失、防雨水进入</w:t>
      </w:r>
      <w:r>
        <w:rPr>
          <w:rFonts w:hint="eastAsia" w:hAnsi="宋体"/>
          <w:color w:val="auto"/>
          <w:sz w:val="24"/>
          <w:lang w:val="en-US" w:eastAsia="zh-CN"/>
        </w:rPr>
        <w:t>的</w:t>
      </w:r>
      <w:r>
        <w:rPr>
          <w:rFonts w:hint="eastAsia" w:ascii="Times New Roman" w:hAnsi="宋体"/>
          <w:color w:val="auto"/>
          <w:sz w:val="24"/>
          <w:lang w:val="en-US" w:eastAsia="zh-CN"/>
        </w:rPr>
        <w:t>要求。</w:t>
      </w:r>
    </w:p>
    <w:p w14:paraId="6577526C">
      <w:pPr>
        <w:widowControl/>
        <w:wordWrap w:val="0"/>
        <w:adjustRightIn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（2）危险废物</w:t>
      </w:r>
    </w:p>
    <w:p w14:paraId="533F25D3">
      <w:pPr>
        <w:widowControl/>
        <w:wordWrap w:val="0"/>
        <w:adjustRightInd w:val="0"/>
        <w:spacing w:line="360" w:lineRule="auto"/>
        <w:ind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rPr>
        <w:fldChar w:fldCharType="begin"/>
      </w:r>
      <w:r>
        <w:rPr>
          <w:rFonts w:hint="eastAsia" w:ascii="Times New Roman" w:hAnsi="Times New Roman" w:eastAsia="宋体" w:cs="Times New Roman"/>
          <w:color w:val="auto"/>
          <w:sz w:val="24"/>
        </w:rPr>
        <w:instrText xml:space="preserve"> = 1 \* GB3 </w:instrText>
      </w:r>
      <w:r>
        <w:rPr>
          <w:rFonts w:hint="eastAsia" w:ascii="Times New Roman" w:hAnsi="Times New Roman" w:eastAsia="宋体" w:cs="Times New Roman"/>
          <w:color w:val="auto"/>
          <w:sz w:val="24"/>
        </w:rPr>
        <w:fldChar w:fldCharType="separate"/>
      </w:r>
      <w:r>
        <w:rPr>
          <w:rFonts w:hint="eastAsia" w:ascii="Times New Roman" w:hAnsi="Times New Roman" w:eastAsia="宋体" w:cs="Times New Roman"/>
          <w:color w:val="auto"/>
          <w:sz w:val="24"/>
        </w:rPr>
        <w:t>①</w:t>
      </w:r>
      <w:r>
        <w:rPr>
          <w:rFonts w:hint="eastAsia" w:ascii="Times New Roman" w:hAnsi="Times New Roman" w:eastAsia="宋体" w:cs="Times New Roman"/>
          <w:color w:val="auto"/>
          <w:sz w:val="24"/>
        </w:rPr>
        <w:fldChar w:fldCharType="end"/>
      </w:r>
      <w:r>
        <w:rPr>
          <w:rFonts w:hint="eastAsia" w:ascii="Times New Roman" w:hAnsi="Times New Roman" w:eastAsia="宋体" w:cs="Times New Roman"/>
          <w:color w:val="auto"/>
          <w:sz w:val="24"/>
        </w:rPr>
        <w:t>废保护油墨桶</w:t>
      </w:r>
      <w:r>
        <w:rPr>
          <w:rFonts w:hint="eastAsia" w:ascii="Times New Roman" w:hAnsi="Times New Roman" w:eastAsia="宋体" w:cs="Times New Roman"/>
          <w:color w:val="auto"/>
          <w:sz w:val="24"/>
          <w:lang w:eastAsia="zh-CN"/>
        </w:rPr>
        <w:t>：</w:t>
      </w:r>
      <w:r>
        <w:rPr>
          <w:rFonts w:hint="eastAsia"/>
          <w:bCs/>
          <w:snapToGrid w:val="0"/>
          <w:color w:val="auto"/>
          <w:sz w:val="24"/>
          <w:szCs w:val="24"/>
        </w:rPr>
        <w:t>项目凹面涂保护油墨工序会产生废油墨</w:t>
      </w:r>
      <w:r>
        <w:rPr>
          <w:rFonts w:hint="eastAsia"/>
          <w:bCs/>
          <w:snapToGrid w:val="0"/>
          <w:color w:val="auto"/>
          <w:sz w:val="24"/>
          <w:szCs w:val="24"/>
          <w:lang w:val="en-US" w:eastAsia="zh-CN"/>
        </w:rPr>
        <w:t>桶</w:t>
      </w:r>
      <w:r>
        <w:rPr>
          <w:rFonts w:hint="eastAsia"/>
          <w:bCs/>
          <w:snapToGrid w:val="0"/>
          <w:color w:val="auto"/>
          <w:sz w:val="24"/>
          <w:szCs w:val="24"/>
        </w:rPr>
        <w:t>，对照《国家危险废物名录》（202</w:t>
      </w:r>
      <w:r>
        <w:rPr>
          <w:rFonts w:hint="eastAsia"/>
          <w:bCs/>
          <w:snapToGrid w:val="0"/>
          <w:color w:val="auto"/>
          <w:sz w:val="24"/>
          <w:szCs w:val="24"/>
          <w:lang w:val="en-US" w:eastAsia="zh-CN"/>
        </w:rPr>
        <w:t>5</w:t>
      </w:r>
      <w:r>
        <w:rPr>
          <w:rFonts w:hint="eastAsia"/>
          <w:bCs/>
          <w:snapToGrid w:val="0"/>
          <w:color w:val="auto"/>
          <w:sz w:val="24"/>
          <w:szCs w:val="24"/>
        </w:rPr>
        <w:t>版），</w:t>
      </w:r>
      <w:r>
        <w:rPr>
          <w:rFonts w:hint="eastAsia" w:ascii="Times New Roman" w:hAnsi="Times New Roman" w:eastAsia="宋体" w:cs="Times New Roman"/>
          <w:color w:val="auto"/>
          <w:sz w:val="24"/>
        </w:rPr>
        <w:t>废保护油墨桶</w:t>
      </w:r>
      <w:r>
        <w:rPr>
          <w:rFonts w:hint="eastAsia"/>
          <w:bCs/>
          <w:snapToGrid w:val="0"/>
          <w:color w:val="auto"/>
          <w:sz w:val="24"/>
          <w:szCs w:val="24"/>
        </w:rPr>
        <w:t>类别为“HW12”，代码为900-253-12。收集暂存于危险废物贮存库，交由有资质的单位进行处理</w:t>
      </w:r>
      <w:r>
        <w:rPr>
          <w:rFonts w:hint="eastAsia"/>
          <w:bCs/>
          <w:snapToGrid w:val="0"/>
          <w:color w:val="auto"/>
          <w:sz w:val="24"/>
          <w:szCs w:val="24"/>
          <w:lang w:eastAsia="zh-CN"/>
        </w:rPr>
        <w:t>。</w:t>
      </w:r>
    </w:p>
    <w:p w14:paraId="14774664">
      <w:pPr>
        <w:widowControl/>
        <w:wordWrap w:val="0"/>
        <w:adjustRightInd w:val="0"/>
        <w:spacing w:line="360" w:lineRule="auto"/>
        <w:ind w:firstLine="480" w:firstLineChars="200"/>
        <w:rPr>
          <w:rFonts w:hint="eastAsia" w:ascii="Times New Roman" w:hAnsi="Times New Roman" w:eastAsia="宋体" w:cs="Times New Roman"/>
          <w:bCs/>
          <w:snapToGrid w:val="0"/>
          <w:color w:val="auto"/>
          <w:sz w:val="24"/>
          <w:szCs w:val="24"/>
          <w:lang w:val="en-US" w:eastAsia="zh-CN"/>
        </w:rPr>
      </w:pPr>
      <w:r>
        <w:rPr>
          <w:rFonts w:hint="eastAsia" w:ascii="Times New Roman" w:hAnsi="Times New Roman" w:eastAsia="宋体" w:cs="Times New Roman"/>
          <w:bCs/>
          <w:snapToGrid w:val="0"/>
          <w:color w:val="auto"/>
          <w:sz w:val="24"/>
          <w:szCs w:val="24"/>
          <w:lang w:val="en-US" w:eastAsia="zh-CN"/>
        </w:rPr>
        <w:t>②废光刻胶桶：</w:t>
      </w:r>
      <w:r>
        <w:rPr>
          <w:rFonts w:hint="eastAsia"/>
          <w:bCs/>
          <w:snapToGrid w:val="0"/>
          <w:color w:val="auto"/>
          <w:sz w:val="24"/>
          <w:szCs w:val="24"/>
        </w:rPr>
        <w:t>项目</w:t>
      </w:r>
      <w:r>
        <w:rPr>
          <w:rFonts w:hint="eastAsia" w:ascii="Times New Roman" w:hAnsi="Times New Roman" w:eastAsia="宋体" w:cs="Times New Roman"/>
          <w:bCs/>
          <w:snapToGrid w:val="0"/>
          <w:color w:val="auto"/>
          <w:sz w:val="24"/>
          <w:szCs w:val="24"/>
          <w:lang w:val="en-US" w:eastAsia="zh-CN"/>
        </w:rPr>
        <w:t>光刻胶喷涂</w:t>
      </w:r>
      <w:r>
        <w:rPr>
          <w:rFonts w:hint="eastAsia"/>
          <w:bCs/>
          <w:snapToGrid w:val="0"/>
          <w:color w:val="auto"/>
          <w:sz w:val="24"/>
          <w:szCs w:val="24"/>
        </w:rPr>
        <w:t>工序会产生废</w:t>
      </w:r>
      <w:r>
        <w:rPr>
          <w:rFonts w:hint="eastAsia" w:ascii="Times New Roman" w:hAnsi="Times New Roman" w:eastAsia="宋体" w:cs="Times New Roman"/>
          <w:bCs/>
          <w:snapToGrid w:val="0"/>
          <w:color w:val="auto"/>
          <w:sz w:val="24"/>
          <w:szCs w:val="24"/>
          <w:lang w:val="en-US" w:eastAsia="zh-CN"/>
        </w:rPr>
        <w:t>光刻胶桶</w:t>
      </w:r>
      <w:r>
        <w:rPr>
          <w:rFonts w:hint="eastAsia"/>
          <w:bCs/>
          <w:snapToGrid w:val="0"/>
          <w:color w:val="auto"/>
          <w:sz w:val="24"/>
          <w:szCs w:val="24"/>
        </w:rPr>
        <w:t>，对照《国家危险废物名录》（202</w:t>
      </w:r>
      <w:r>
        <w:rPr>
          <w:rFonts w:hint="eastAsia"/>
          <w:bCs/>
          <w:snapToGrid w:val="0"/>
          <w:color w:val="auto"/>
          <w:sz w:val="24"/>
          <w:szCs w:val="24"/>
          <w:lang w:val="en-US" w:eastAsia="zh-CN"/>
        </w:rPr>
        <w:t>5</w:t>
      </w:r>
      <w:r>
        <w:rPr>
          <w:rFonts w:hint="eastAsia"/>
          <w:bCs/>
          <w:snapToGrid w:val="0"/>
          <w:color w:val="auto"/>
          <w:sz w:val="24"/>
          <w:szCs w:val="24"/>
        </w:rPr>
        <w:t>版），</w:t>
      </w:r>
      <w:r>
        <w:rPr>
          <w:rFonts w:hint="eastAsia" w:ascii="Times New Roman" w:hAnsi="Times New Roman" w:eastAsia="宋体" w:cs="Times New Roman"/>
          <w:color w:val="auto"/>
          <w:sz w:val="24"/>
        </w:rPr>
        <w:t>废</w:t>
      </w:r>
      <w:r>
        <w:rPr>
          <w:rFonts w:hint="eastAsia" w:ascii="Times New Roman" w:hAnsi="Times New Roman" w:eastAsia="宋体" w:cs="Times New Roman"/>
          <w:bCs/>
          <w:snapToGrid w:val="0"/>
          <w:color w:val="auto"/>
          <w:sz w:val="24"/>
          <w:szCs w:val="24"/>
          <w:lang w:val="en-US" w:eastAsia="zh-CN"/>
        </w:rPr>
        <w:t>光刻胶桶</w:t>
      </w:r>
      <w:r>
        <w:rPr>
          <w:rFonts w:hint="eastAsia"/>
          <w:bCs/>
          <w:snapToGrid w:val="0"/>
          <w:color w:val="auto"/>
          <w:sz w:val="24"/>
          <w:szCs w:val="24"/>
        </w:rPr>
        <w:t>类别为</w:t>
      </w:r>
      <w:r>
        <w:rPr>
          <w:rFonts w:hint="eastAsia" w:ascii="Times New Roman" w:hAnsi="Times New Roman" w:eastAsia="宋体" w:cs="Times New Roman"/>
          <w:bCs/>
          <w:snapToGrid w:val="0"/>
          <w:color w:val="auto"/>
          <w:sz w:val="24"/>
          <w:szCs w:val="24"/>
          <w:lang w:val="zh-CN"/>
        </w:rPr>
        <w:t>“HW</w:t>
      </w:r>
      <w:r>
        <w:rPr>
          <w:rFonts w:hint="eastAsia" w:ascii="Times New Roman" w:hAnsi="Times New Roman" w:eastAsia="宋体" w:cs="Times New Roman"/>
          <w:bCs/>
          <w:snapToGrid w:val="0"/>
          <w:color w:val="auto"/>
          <w:sz w:val="24"/>
          <w:szCs w:val="24"/>
          <w:lang w:val="en-US" w:eastAsia="zh-CN"/>
        </w:rPr>
        <w:t>4</w:t>
      </w:r>
      <w:r>
        <w:rPr>
          <w:rFonts w:hint="eastAsia" w:ascii="Times New Roman" w:hAnsi="Times New Roman" w:eastAsia="宋体" w:cs="Times New Roman"/>
          <w:bCs/>
          <w:snapToGrid w:val="0"/>
          <w:color w:val="auto"/>
          <w:sz w:val="24"/>
          <w:szCs w:val="24"/>
          <w:lang w:val="zh-CN"/>
        </w:rPr>
        <w:t>9”，废物代码为900-041-49</w:t>
      </w:r>
      <w:r>
        <w:rPr>
          <w:rFonts w:hint="eastAsia"/>
          <w:bCs/>
          <w:snapToGrid w:val="0"/>
          <w:color w:val="auto"/>
          <w:sz w:val="24"/>
          <w:szCs w:val="24"/>
        </w:rPr>
        <w:t>。收集暂存于危险废物贮存库，交由有资质的单位进行处理</w:t>
      </w:r>
      <w:r>
        <w:rPr>
          <w:rFonts w:hint="eastAsia"/>
          <w:bCs/>
          <w:snapToGrid w:val="0"/>
          <w:color w:val="auto"/>
          <w:sz w:val="24"/>
          <w:szCs w:val="24"/>
          <w:lang w:eastAsia="zh-CN"/>
        </w:rPr>
        <w:t>。</w:t>
      </w:r>
    </w:p>
    <w:p w14:paraId="6242685E">
      <w:pPr>
        <w:widowControl/>
        <w:wordWrap w:val="0"/>
        <w:adjustRightInd w:val="0"/>
        <w:spacing w:line="360" w:lineRule="auto"/>
        <w:ind w:firstLine="480" w:firstLineChars="200"/>
        <w:rPr>
          <w:rFonts w:hint="eastAsia" w:ascii="Times New Roman" w:hAnsi="Times New Roman" w:eastAsia="宋体" w:cs="Times New Roman"/>
          <w:bCs/>
          <w:snapToGrid w:val="0"/>
          <w:color w:val="auto"/>
          <w:sz w:val="24"/>
          <w:szCs w:val="24"/>
          <w:lang w:val="en-US" w:eastAsia="zh-CN"/>
        </w:rPr>
      </w:pPr>
      <w:r>
        <w:rPr>
          <w:rFonts w:hint="eastAsia" w:ascii="Times New Roman" w:hAnsi="Times New Roman" w:eastAsia="宋体" w:cs="Times New Roman"/>
          <w:bCs/>
          <w:snapToGrid w:val="0"/>
          <w:color w:val="auto"/>
          <w:sz w:val="24"/>
          <w:szCs w:val="24"/>
          <w:lang w:val="en-US" w:eastAsia="zh-CN"/>
        </w:rPr>
        <w:t>③显影废液：</w:t>
      </w:r>
      <w:r>
        <w:rPr>
          <w:rFonts w:hint="eastAsia"/>
          <w:bCs/>
          <w:snapToGrid w:val="0"/>
          <w:color w:val="auto"/>
          <w:sz w:val="24"/>
          <w:szCs w:val="24"/>
        </w:rPr>
        <w:t>项目</w:t>
      </w:r>
      <w:r>
        <w:rPr>
          <w:rFonts w:hint="eastAsia" w:ascii="Times New Roman" w:hAnsi="Times New Roman" w:eastAsia="宋体" w:cs="Times New Roman"/>
          <w:bCs/>
          <w:snapToGrid w:val="0"/>
          <w:color w:val="auto"/>
          <w:sz w:val="24"/>
          <w:szCs w:val="24"/>
          <w:lang w:val="en-US" w:eastAsia="zh-CN"/>
        </w:rPr>
        <w:t>显影</w:t>
      </w:r>
      <w:r>
        <w:rPr>
          <w:rFonts w:hint="eastAsia"/>
          <w:bCs/>
          <w:snapToGrid w:val="0"/>
          <w:color w:val="auto"/>
          <w:sz w:val="24"/>
          <w:szCs w:val="24"/>
        </w:rPr>
        <w:t>工序会产生</w:t>
      </w:r>
      <w:r>
        <w:rPr>
          <w:rFonts w:hint="eastAsia" w:ascii="Times New Roman" w:hAnsi="Times New Roman" w:eastAsia="宋体" w:cs="Times New Roman"/>
          <w:bCs/>
          <w:snapToGrid w:val="0"/>
          <w:color w:val="auto"/>
          <w:sz w:val="24"/>
          <w:szCs w:val="24"/>
          <w:lang w:val="en-US" w:eastAsia="zh-CN"/>
        </w:rPr>
        <w:t>显影废液</w:t>
      </w:r>
      <w:r>
        <w:rPr>
          <w:rFonts w:hint="eastAsia"/>
          <w:bCs/>
          <w:snapToGrid w:val="0"/>
          <w:color w:val="auto"/>
          <w:sz w:val="24"/>
          <w:szCs w:val="24"/>
        </w:rPr>
        <w:t>，对照《国家危险废物名录》（202</w:t>
      </w:r>
      <w:r>
        <w:rPr>
          <w:rFonts w:hint="eastAsia"/>
          <w:bCs/>
          <w:snapToGrid w:val="0"/>
          <w:color w:val="auto"/>
          <w:sz w:val="24"/>
          <w:szCs w:val="24"/>
          <w:lang w:val="en-US" w:eastAsia="zh-CN"/>
        </w:rPr>
        <w:t>5</w:t>
      </w:r>
      <w:r>
        <w:rPr>
          <w:rFonts w:hint="eastAsia"/>
          <w:bCs/>
          <w:snapToGrid w:val="0"/>
          <w:color w:val="auto"/>
          <w:sz w:val="24"/>
          <w:szCs w:val="24"/>
        </w:rPr>
        <w:t>版），</w:t>
      </w:r>
      <w:r>
        <w:rPr>
          <w:rFonts w:hint="eastAsia" w:ascii="Times New Roman" w:hAnsi="Times New Roman" w:eastAsia="宋体" w:cs="Times New Roman"/>
          <w:bCs/>
          <w:snapToGrid w:val="0"/>
          <w:color w:val="auto"/>
          <w:sz w:val="24"/>
          <w:szCs w:val="24"/>
          <w:lang w:val="en-US" w:eastAsia="zh-CN"/>
        </w:rPr>
        <w:t>显影废液</w:t>
      </w:r>
      <w:r>
        <w:rPr>
          <w:rFonts w:hint="eastAsia"/>
          <w:bCs/>
          <w:snapToGrid w:val="0"/>
          <w:color w:val="auto"/>
          <w:sz w:val="24"/>
          <w:szCs w:val="24"/>
        </w:rPr>
        <w:t>类别为“HW1</w:t>
      </w:r>
      <w:r>
        <w:rPr>
          <w:rFonts w:hint="eastAsia"/>
          <w:bCs/>
          <w:snapToGrid w:val="0"/>
          <w:color w:val="auto"/>
          <w:sz w:val="24"/>
          <w:szCs w:val="24"/>
          <w:lang w:val="en-US" w:eastAsia="zh-CN"/>
        </w:rPr>
        <w:t>6</w:t>
      </w:r>
      <w:r>
        <w:rPr>
          <w:rFonts w:hint="eastAsia"/>
          <w:bCs/>
          <w:snapToGrid w:val="0"/>
          <w:color w:val="auto"/>
          <w:sz w:val="24"/>
          <w:szCs w:val="24"/>
        </w:rPr>
        <w:t>”，代码为900-019-16。</w:t>
      </w:r>
      <w:r>
        <w:rPr>
          <w:rFonts w:hint="eastAsia"/>
          <w:bCs/>
          <w:snapToGrid w:val="0"/>
          <w:color w:val="auto"/>
          <w:sz w:val="24"/>
          <w:szCs w:val="24"/>
          <w:lang w:val="en-US" w:eastAsia="zh-CN"/>
        </w:rPr>
        <w:t>采用专用包装桶</w:t>
      </w:r>
      <w:r>
        <w:rPr>
          <w:rFonts w:hint="eastAsia"/>
          <w:bCs/>
          <w:snapToGrid w:val="0"/>
          <w:color w:val="auto"/>
          <w:sz w:val="24"/>
          <w:szCs w:val="24"/>
        </w:rPr>
        <w:t>收集暂存于危险废物贮存库，交由有资质的单位进行处理</w:t>
      </w:r>
      <w:r>
        <w:rPr>
          <w:rFonts w:hint="eastAsia"/>
          <w:bCs/>
          <w:snapToGrid w:val="0"/>
          <w:color w:val="auto"/>
          <w:sz w:val="24"/>
          <w:szCs w:val="24"/>
          <w:lang w:eastAsia="zh-CN"/>
        </w:rPr>
        <w:t>。</w:t>
      </w:r>
    </w:p>
    <w:p w14:paraId="1B207AEF">
      <w:pPr>
        <w:widowControl/>
        <w:wordWrap w:val="0"/>
        <w:adjustRightInd w:val="0"/>
        <w:spacing w:line="360" w:lineRule="auto"/>
        <w:ind w:firstLine="480" w:firstLineChars="200"/>
        <w:rPr>
          <w:rFonts w:hint="eastAsia" w:ascii="Times New Roman" w:hAnsi="Times New Roman" w:eastAsia="宋体" w:cs="Times New Roman"/>
          <w:bCs/>
          <w:snapToGrid w:val="0"/>
          <w:color w:val="auto"/>
          <w:sz w:val="24"/>
          <w:szCs w:val="24"/>
          <w:lang w:val="en-US" w:eastAsia="zh-CN"/>
        </w:rPr>
      </w:pPr>
      <w:r>
        <w:rPr>
          <w:rFonts w:hint="eastAsia" w:ascii="Times New Roman" w:hAnsi="Times New Roman" w:eastAsia="宋体" w:cs="Times New Roman"/>
          <w:bCs/>
          <w:snapToGrid w:val="0"/>
          <w:color w:val="auto"/>
          <w:sz w:val="24"/>
          <w:szCs w:val="24"/>
          <w:lang w:val="en-US" w:eastAsia="zh-CN"/>
        </w:rPr>
        <w:t>④蚀刻线废槽渣：</w:t>
      </w:r>
      <w:r>
        <w:rPr>
          <w:rFonts w:hint="eastAsia"/>
          <w:bCs/>
          <w:snapToGrid w:val="0"/>
          <w:color w:val="auto"/>
          <w:sz w:val="24"/>
          <w:szCs w:val="24"/>
        </w:rPr>
        <w:t>项目</w:t>
      </w:r>
      <w:r>
        <w:rPr>
          <w:rFonts w:hint="eastAsia" w:ascii="Times New Roman" w:hAnsi="Times New Roman" w:eastAsia="宋体" w:cs="Times New Roman"/>
          <w:bCs/>
          <w:snapToGrid w:val="0"/>
          <w:color w:val="auto"/>
          <w:sz w:val="24"/>
          <w:szCs w:val="24"/>
          <w:lang w:val="en-US" w:eastAsia="zh-CN"/>
        </w:rPr>
        <w:t>蚀刻线蒙砂和化抛槽</w:t>
      </w:r>
      <w:r>
        <w:rPr>
          <w:rFonts w:hint="eastAsia"/>
          <w:bCs/>
          <w:snapToGrid w:val="0"/>
          <w:color w:val="auto"/>
          <w:sz w:val="24"/>
          <w:szCs w:val="24"/>
        </w:rPr>
        <w:t>会产生</w:t>
      </w:r>
      <w:r>
        <w:rPr>
          <w:rFonts w:hint="eastAsia" w:ascii="Times New Roman" w:hAnsi="Times New Roman" w:eastAsia="宋体" w:cs="Times New Roman"/>
          <w:bCs/>
          <w:snapToGrid w:val="0"/>
          <w:color w:val="auto"/>
          <w:sz w:val="24"/>
          <w:szCs w:val="24"/>
          <w:lang w:val="en-US" w:eastAsia="zh-CN"/>
        </w:rPr>
        <w:t>蚀刻线废槽渣</w:t>
      </w:r>
      <w:r>
        <w:rPr>
          <w:rFonts w:hint="eastAsia" w:cs="Times New Roman"/>
          <w:bCs/>
          <w:snapToGrid w:val="0"/>
          <w:color w:val="auto"/>
          <w:sz w:val="24"/>
          <w:szCs w:val="24"/>
          <w:lang w:val="en-US" w:eastAsia="zh-CN"/>
        </w:rPr>
        <w:t>，</w:t>
      </w:r>
      <w:r>
        <w:rPr>
          <w:rFonts w:hint="eastAsia"/>
          <w:bCs/>
          <w:snapToGrid w:val="0"/>
          <w:color w:val="auto"/>
          <w:sz w:val="24"/>
          <w:szCs w:val="24"/>
        </w:rPr>
        <w:t>对照《国家危险废物名录》（202</w:t>
      </w:r>
      <w:r>
        <w:rPr>
          <w:rFonts w:hint="eastAsia"/>
          <w:bCs/>
          <w:snapToGrid w:val="0"/>
          <w:color w:val="auto"/>
          <w:sz w:val="24"/>
          <w:szCs w:val="24"/>
          <w:lang w:val="en-US" w:eastAsia="zh-CN"/>
        </w:rPr>
        <w:t>5</w:t>
      </w:r>
      <w:r>
        <w:rPr>
          <w:rFonts w:hint="eastAsia"/>
          <w:bCs/>
          <w:snapToGrid w:val="0"/>
          <w:color w:val="auto"/>
          <w:sz w:val="24"/>
          <w:szCs w:val="24"/>
        </w:rPr>
        <w:t>版），</w:t>
      </w:r>
      <w:r>
        <w:rPr>
          <w:rFonts w:hint="eastAsia" w:ascii="Times New Roman" w:hAnsi="Times New Roman" w:eastAsia="宋体" w:cs="Times New Roman"/>
          <w:bCs/>
          <w:snapToGrid w:val="0"/>
          <w:color w:val="auto"/>
          <w:sz w:val="24"/>
          <w:szCs w:val="24"/>
          <w:lang w:val="en-US" w:eastAsia="zh-CN"/>
        </w:rPr>
        <w:t>蚀刻线废槽渣</w:t>
      </w:r>
      <w:r>
        <w:rPr>
          <w:rFonts w:hint="eastAsia"/>
          <w:bCs/>
          <w:snapToGrid w:val="0"/>
          <w:color w:val="auto"/>
          <w:sz w:val="24"/>
          <w:szCs w:val="24"/>
        </w:rPr>
        <w:t>类别为“HW</w:t>
      </w:r>
      <w:r>
        <w:rPr>
          <w:rFonts w:hint="eastAsia"/>
          <w:bCs/>
          <w:snapToGrid w:val="0"/>
          <w:color w:val="auto"/>
          <w:sz w:val="24"/>
          <w:szCs w:val="24"/>
          <w:lang w:val="en-US" w:eastAsia="zh-CN"/>
        </w:rPr>
        <w:t>49</w:t>
      </w:r>
      <w:r>
        <w:rPr>
          <w:rFonts w:hint="eastAsia"/>
          <w:bCs/>
          <w:snapToGrid w:val="0"/>
          <w:color w:val="auto"/>
          <w:sz w:val="24"/>
          <w:szCs w:val="24"/>
        </w:rPr>
        <w:t>”，代码为900-047-49。</w:t>
      </w:r>
      <w:r>
        <w:rPr>
          <w:rFonts w:hint="eastAsia"/>
          <w:bCs/>
          <w:snapToGrid w:val="0"/>
          <w:color w:val="auto"/>
          <w:sz w:val="24"/>
          <w:szCs w:val="24"/>
          <w:lang w:val="en-US" w:eastAsia="zh-CN"/>
        </w:rPr>
        <w:t>采用专用包装桶</w:t>
      </w:r>
      <w:r>
        <w:rPr>
          <w:rFonts w:hint="eastAsia"/>
          <w:bCs/>
          <w:snapToGrid w:val="0"/>
          <w:color w:val="auto"/>
          <w:sz w:val="24"/>
          <w:szCs w:val="24"/>
        </w:rPr>
        <w:t>收集暂存于危险废物贮存库，交由有资质的单位进行处理</w:t>
      </w:r>
      <w:r>
        <w:rPr>
          <w:rFonts w:hint="eastAsia"/>
          <w:bCs/>
          <w:snapToGrid w:val="0"/>
          <w:color w:val="auto"/>
          <w:sz w:val="24"/>
          <w:szCs w:val="24"/>
          <w:lang w:eastAsia="zh-CN"/>
        </w:rPr>
        <w:t>。</w:t>
      </w:r>
    </w:p>
    <w:p w14:paraId="081C0E98">
      <w:pPr>
        <w:widowControl/>
        <w:wordWrap w:val="0"/>
        <w:adjustRightInd w:val="0"/>
        <w:spacing w:line="360" w:lineRule="auto"/>
        <w:ind w:firstLine="480" w:firstLineChars="200"/>
        <w:rPr>
          <w:rFonts w:hint="eastAsia" w:ascii="Times New Roman" w:hAnsi="Times New Roman" w:eastAsia="宋体" w:cs="Times New Roman"/>
          <w:bCs/>
          <w:snapToGrid w:val="0"/>
          <w:color w:val="auto"/>
          <w:sz w:val="24"/>
          <w:szCs w:val="24"/>
          <w:lang w:val="en-US" w:eastAsia="zh-CN"/>
        </w:rPr>
      </w:pPr>
      <w:r>
        <w:rPr>
          <w:rFonts w:hint="eastAsia" w:ascii="Times New Roman" w:hAnsi="Times New Roman" w:eastAsia="宋体" w:cs="Times New Roman"/>
          <w:bCs/>
          <w:snapToGrid w:val="0"/>
          <w:color w:val="auto"/>
          <w:sz w:val="24"/>
          <w:szCs w:val="24"/>
          <w:lang w:val="en-US" w:eastAsia="zh-CN"/>
        </w:rPr>
        <w:t>⑤退油槽废碱性槽液：</w:t>
      </w:r>
      <w:r>
        <w:rPr>
          <w:rFonts w:hint="eastAsia"/>
          <w:bCs/>
          <w:snapToGrid w:val="0"/>
          <w:color w:val="auto"/>
          <w:sz w:val="24"/>
          <w:szCs w:val="24"/>
        </w:rPr>
        <w:t>项目</w:t>
      </w:r>
      <w:r>
        <w:rPr>
          <w:rFonts w:hint="eastAsia" w:ascii="Times New Roman" w:hAnsi="Times New Roman" w:eastAsia="宋体" w:cs="Times New Roman"/>
          <w:bCs/>
          <w:snapToGrid w:val="0"/>
          <w:color w:val="auto"/>
          <w:sz w:val="24"/>
          <w:szCs w:val="24"/>
          <w:lang w:val="en-US" w:eastAsia="zh-CN"/>
        </w:rPr>
        <w:t>退油</w:t>
      </w:r>
      <w:r>
        <w:rPr>
          <w:rFonts w:hint="eastAsia"/>
          <w:bCs/>
          <w:snapToGrid w:val="0"/>
          <w:color w:val="auto"/>
          <w:sz w:val="24"/>
          <w:szCs w:val="24"/>
        </w:rPr>
        <w:t>工序会产生</w:t>
      </w:r>
      <w:r>
        <w:rPr>
          <w:rFonts w:hint="eastAsia" w:ascii="Times New Roman" w:hAnsi="Times New Roman" w:eastAsia="宋体" w:cs="Times New Roman"/>
          <w:bCs/>
          <w:snapToGrid w:val="0"/>
          <w:color w:val="auto"/>
          <w:sz w:val="24"/>
          <w:szCs w:val="24"/>
          <w:lang w:val="en-US" w:eastAsia="zh-CN"/>
        </w:rPr>
        <w:t>退油槽废碱性槽液</w:t>
      </w:r>
      <w:r>
        <w:rPr>
          <w:rFonts w:hint="eastAsia"/>
          <w:bCs/>
          <w:snapToGrid w:val="0"/>
          <w:color w:val="auto"/>
          <w:sz w:val="24"/>
          <w:szCs w:val="24"/>
          <w:lang w:eastAsia="zh-CN"/>
        </w:rPr>
        <w:t>，</w:t>
      </w:r>
      <w:r>
        <w:rPr>
          <w:rFonts w:hint="eastAsia"/>
          <w:bCs/>
          <w:snapToGrid w:val="0"/>
          <w:color w:val="auto"/>
          <w:sz w:val="24"/>
          <w:szCs w:val="24"/>
        </w:rPr>
        <w:t>对照《国家危险废物名录》（202</w:t>
      </w:r>
      <w:r>
        <w:rPr>
          <w:rFonts w:hint="eastAsia"/>
          <w:bCs/>
          <w:snapToGrid w:val="0"/>
          <w:color w:val="auto"/>
          <w:sz w:val="24"/>
          <w:szCs w:val="24"/>
          <w:lang w:val="en-US" w:eastAsia="zh-CN"/>
        </w:rPr>
        <w:t>5</w:t>
      </w:r>
      <w:r>
        <w:rPr>
          <w:rFonts w:hint="eastAsia"/>
          <w:bCs/>
          <w:snapToGrid w:val="0"/>
          <w:color w:val="auto"/>
          <w:sz w:val="24"/>
          <w:szCs w:val="24"/>
        </w:rPr>
        <w:t>版），</w:t>
      </w:r>
      <w:r>
        <w:rPr>
          <w:rFonts w:hint="eastAsia" w:ascii="Times New Roman" w:hAnsi="Times New Roman" w:eastAsia="宋体" w:cs="Times New Roman"/>
          <w:bCs/>
          <w:snapToGrid w:val="0"/>
          <w:color w:val="auto"/>
          <w:sz w:val="24"/>
          <w:szCs w:val="24"/>
          <w:lang w:val="en-US" w:eastAsia="zh-CN"/>
        </w:rPr>
        <w:t>退油槽废碱性槽液</w:t>
      </w:r>
      <w:r>
        <w:rPr>
          <w:rFonts w:hint="eastAsia"/>
          <w:bCs/>
          <w:snapToGrid w:val="0"/>
          <w:color w:val="auto"/>
          <w:sz w:val="24"/>
          <w:szCs w:val="24"/>
        </w:rPr>
        <w:t>类别为“HW</w:t>
      </w:r>
      <w:r>
        <w:rPr>
          <w:rFonts w:hint="eastAsia"/>
          <w:bCs/>
          <w:snapToGrid w:val="0"/>
          <w:color w:val="auto"/>
          <w:sz w:val="24"/>
          <w:szCs w:val="24"/>
          <w:lang w:val="en-US" w:eastAsia="zh-CN"/>
        </w:rPr>
        <w:t>49</w:t>
      </w:r>
      <w:r>
        <w:rPr>
          <w:rFonts w:hint="eastAsia"/>
          <w:bCs/>
          <w:snapToGrid w:val="0"/>
          <w:color w:val="auto"/>
          <w:sz w:val="24"/>
          <w:szCs w:val="24"/>
        </w:rPr>
        <w:t>”，代码为900-047-49。</w:t>
      </w:r>
      <w:r>
        <w:rPr>
          <w:rFonts w:hint="eastAsia"/>
          <w:bCs/>
          <w:snapToGrid w:val="0"/>
          <w:color w:val="auto"/>
          <w:sz w:val="24"/>
          <w:szCs w:val="24"/>
          <w:lang w:val="en-US" w:eastAsia="zh-CN"/>
        </w:rPr>
        <w:t>采用专用包装桶</w:t>
      </w:r>
      <w:r>
        <w:rPr>
          <w:rFonts w:hint="eastAsia"/>
          <w:bCs/>
          <w:snapToGrid w:val="0"/>
          <w:color w:val="auto"/>
          <w:sz w:val="24"/>
          <w:szCs w:val="24"/>
        </w:rPr>
        <w:t>收集暂存于危险废物贮存库，交由有资质的单位进行处理</w:t>
      </w:r>
      <w:r>
        <w:rPr>
          <w:rFonts w:hint="eastAsia"/>
          <w:bCs/>
          <w:snapToGrid w:val="0"/>
          <w:color w:val="auto"/>
          <w:sz w:val="24"/>
          <w:szCs w:val="24"/>
          <w:lang w:eastAsia="zh-CN"/>
        </w:rPr>
        <w:t>。</w:t>
      </w:r>
    </w:p>
    <w:p w14:paraId="0FC1DC99">
      <w:pPr>
        <w:widowControl/>
        <w:wordWrap w:val="0"/>
        <w:adjustRightInd w:val="0"/>
        <w:spacing w:line="360" w:lineRule="auto"/>
        <w:ind w:firstLine="480" w:firstLineChars="200"/>
        <w:rPr>
          <w:rFonts w:hint="eastAsia" w:ascii="Times New Roman" w:hAnsi="Times New Roman" w:eastAsia="宋体" w:cs="Times New Roman"/>
          <w:bCs/>
          <w:snapToGrid w:val="0"/>
          <w:color w:val="auto"/>
          <w:sz w:val="24"/>
          <w:szCs w:val="24"/>
          <w:lang w:val="zh-CN"/>
        </w:rPr>
      </w:pPr>
      <w:r>
        <w:rPr>
          <w:rFonts w:hint="eastAsia" w:ascii="Times New Roman" w:hAnsi="Times New Roman" w:eastAsia="宋体" w:cs="Times New Roman"/>
          <w:bCs/>
          <w:snapToGrid w:val="0"/>
          <w:color w:val="auto"/>
          <w:sz w:val="24"/>
          <w:szCs w:val="24"/>
          <w:lang w:val="en-US" w:eastAsia="zh-CN"/>
        </w:rPr>
        <w:t>⑥化学品包装物：</w:t>
      </w:r>
      <w:r>
        <w:rPr>
          <w:rFonts w:hint="eastAsia" w:ascii="Times New Roman" w:hAnsi="Times New Roman" w:eastAsia="宋体" w:cs="Times New Roman"/>
          <w:bCs/>
          <w:snapToGrid w:val="0"/>
          <w:color w:val="auto"/>
          <w:sz w:val="24"/>
          <w:szCs w:val="24"/>
          <w:lang w:val="zh-CN"/>
        </w:rPr>
        <w:t>项目生产线需要使用</w:t>
      </w:r>
      <w:r>
        <w:rPr>
          <w:rFonts w:hint="eastAsia" w:ascii="Times New Roman" w:hAnsi="Times New Roman" w:eastAsia="宋体" w:cs="Times New Roman"/>
          <w:bCs/>
          <w:snapToGrid w:val="0"/>
          <w:color w:val="auto"/>
          <w:sz w:val="24"/>
          <w:szCs w:val="24"/>
        </w:rPr>
        <w:t>清洗剂</w:t>
      </w:r>
      <w:r>
        <w:rPr>
          <w:rFonts w:hint="eastAsia" w:ascii="Times New Roman" w:hAnsi="Times New Roman" w:eastAsia="宋体" w:cs="Times New Roman"/>
          <w:bCs/>
          <w:snapToGrid w:val="0"/>
          <w:color w:val="auto"/>
          <w:sz w:val="24"/>
          <w:szCs w:val="24"/>
          <w:lang w:val="zh-CN"/>
        </w:rPr>
        <w:t>、</w:t>
      </w:r>
      <w:r>
        <w:rPr>
          <w:rFonts w:hint="eastAsia" w:ascii="Times New Roman" w:hAnsi="Times New Roman" w:eastAsia="宋体" w:cs="Times New Roman"/>
          <w:bCs/>
          <w:snapToGrid w:val="0"/>
          <w:color w:val="auto"/>
          <w:sz w:val="24"/>
          <w:szCs w:val="24"/>
          <w:lang w:val="en-US" w:eastAsia="zh-CN"/>
        </w:rPr>
        <w:t>蒙砂液、化抛液</w:t>
      </w:r>
      <w:r>
        <w:rPr>
          <w:rFonts w:hint="eastAsia" w:ascii="Times New Roman" w:hAnsi="Times New Roman" w:eastAsia="宋体" w:cs="Times New Roman"/>
          <w:bCs/>
          <w:snapToGrid w:val="0"/>
          <w:color w:val="auto"/>
          <w:sz w:val="24"/>
          <w:szCs w:val="24"/>
        </w:rPr>
        <w:t>等</w:t>
      </w:r>
      <w:r>
        <w:rPr>
          <w:rFonts w:hint="eastAsia" w:ascii="Times New Roman" w:hAnsi="Times New Roman" w:eastAsia="宋体" w:cs="Times New Roman"/>
          <w:bCs/>
          <w:snapToGrid w:val="0"/>
          <w:color w:val="auto"/>
          <w:sz w:val="24"/>
          <w:szCs w:val="24"/>
          <w:lang w:val="en-US" w:eastAsia="zh-CN"/>
        </w:rPr>
        <w:t>化学品</w:t>
      </w:r>
      <w:r>
        <w:rPr>
          <w:rFonts w:hint="eastAsia" w:ascii="Times New Roman" w:hAnsi="Times New Roman" w:eastAsia="宋体" w:cs="Times New Roman"/>
          <w:bCs/>
          <w:snapToGrid w:val="0"/>
          <w:color w:val="auto"/>
          <w:sz w:val="24"/>
          <w:szCs w:val="24"/>
          <w:lang w:val="zh-CN"/>
        </w:rPr>
        <w:t>，其</w:t>
      </w:r>
      <w:r>
        <w:rPr>
          <w:rFonts w:hint="eastAsia" w:ascii="Times New Roman" w:hAnsi="Times New Roman" w:eastAsia="宋体" w:cs="Times New Roman"/>
          <w:bCs/>
          <w:snapToGrid w:val="0"/>
          <w:color w:val="auto"/>
          <w:sz w:val="24"/>
          <w:szCs w:val="24"/>
          <w:lang w:val="en-US" w:eastAsia="zh-CN"/>
        </w:rPr>
        <w:t>使用后</w:t>
      </w:r>
      <w:r>
        <w:rPr>
          <w:rFonts w:hint="eastAsia" w:ascii="Times New Roman" w:hAnsi="Times New Roman" w:eastAsia="宋体" w:cs="Times New Roman"/>
          <w:bCs/>
          <w:snapToGrid w:val="0"/>
          <w:color w:val="auto"/>
          <w:sz w:val="24"/>
          <w:szCs w:val="24"/>
          <w:lang w:val="zh-CN"/>
        </w:rPr>
        <w:t>会产生相应废包装</w:t>
      </w:r>
      <w:r>
        <w:rPr>
          <w:rFonts w:hint="eastAsia" w:ascii="Times New Roman" w:hAnsi="Times New Roman" w:eastAsia="宋体" w:cs="Times New Roman"/>
          <w:bCs/>
          <w:snapToGrid w:val="0"/>
          <w:color w:val="auto"/>
          <w:sz w:val="24"/>
          <w:szCs w:val="24"/>
          <w:lang w:val="en-US" w:eastAsia="zh-CN"/>
        </w:rPr>
        <w:t>物</w:t>
      </w:r>
      <w:r>
        <w:rPr>
          <w:rFonts w:hint="eastAsia" w:ascii="Times New Roman" w:hAnsi="Times New Roman" w:eastAsia="宋体" w:cs="Times New Roman"/>
          <w:bCs/>
          <w:snapToGrid w:val="0"/>
          <w:color w:val="auto"/>
          <w:sz w:val="24"/>
          <w:szCs w:val="24"/>
          <w:lang w:val="zh-CN"/>
        </w:rPr>
        <w:t>，对照《国家危险废物名录》（202</w:t>
      </w:r>
      <w:r>
        <w:rPr>
          <w:rFonts w:hint="eastAsia" w:ascii="Times New Roman" w:hAnsi="Times New Roman" w:eastAsia="宋体" w:cs="Times New Roman"/>
          <w:bCs/>
          <w:snapToGrid w:val="0"/>
          <w:color w:val="auto"/>
          <w:sz w:val="24"/>
          <w:szCs w:val="24"/>
          <w:lang w:val="en-US" w:eastAsia="zh-CN"/>
        </w:rPr>
        <w:t>5</w:t>
      </w:r>
      <w:r>
        <w:rPr>
          <w:rFonts w:hint="eastAsia" w:ascii="Times New Roman" w:hAnsi="Times New Roman" w:eastAsia="宋体" w:cs="Times New Roman"/>
          <w:bCs/>
          <w:snapToGrid w:val="0"/>
          <w:color w:val="auto"/>
          <w:sz w:val="24"/>
          <w:szCs w:val="24"/>
          <w:lang w:val="zh-CN"/>
        </w:rPr>
        <w:t>版），其类别为“HW</w:t>
      </w:r>
      <w:r>
        <w:rPr>
          <w:rFonts w:hint="eastAsia" w:ascii="Times New Roman" w:hAnsi="Times New Roman" w:eastAsia="宋体" w:cs="Times New Roman"/>
          <w:bCs/>
          <w:snapToGrid w:val="0"/>
          <w:color w:val="auto"/>
          <w:sz w:val="24"/>
          <w:szCs w:val="24"/>
          <w:lang w:val="en-US" w:eastAsia="zh-CN"/>
        </w:rPr>
        <w:t>4</w:t>
      </w:r>
      <w:r>
        <w:rPr>
          <w:rFonts w:hint="eastAsia" w:ascii="Times New Roman" w:hAnsi="Times New Roman" w:eastAsia="宋体" w:cs="Times New Roman"/>
          <w:bCs/>
          <w:snapToGrid w:val="0"/>
          <w:color w:val="auto"/>
          <w:sz w:val="24"/>
          <w:szCs w:val="24"/>
          <w:lang w:val="zh-CN"/>
        </w:rPr>
        <w:t>9”，废物代码为900-041-49。收集暂存于危险废物贮存库，交由有资质的单位进行处理。</w:t>
      </w:r>
    </w:p>
    <w:p w14:paraId="79CA6716">
      <w:pPr>
        <w:widowControl/>
        <w:wordWrap w:val="0"/>
        <w:adjustRightIn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⑦</w:t>
      </w:r>
      <w:r>
        <w:rPr>
          <w:rFonts w:hint="eastAsia" w:ascii="Times New Roman" w:hAnsi="Times New Roman" w:eastAsia="宋体" w:cs="Times New Roman"/>
          <w:color w:val="auto"/>
          <w:sz w:val="24"/>
        </w:rPr>
        <w:t>废活性炭：</w:t>
      </w:r>
      <w:r>
        <w:rPr>
          <w:rFonts w:hint="eastAsia" w:ascii="Times New Roman" w:hAnsi="Times New Roman" w:eastAsia="宋体" w:cs="Times New Roman"/>
          <w:color w:val="auto"/>
          <w:sz w:val="24"/>
          <w:lang w:eastAsia="zh-CN"/>
        </w:rPr>
        <w:t>项目</w:t>
      </w:r>
      <w:r>
        <w:rPr>
          <w:rFonts w:hint="eastAsia" w:ascii="Times New Roman" w:hAnsi="Times New Roman" w:eastAsia="宋体" w:cs="Times New Roman"/>
          <w:color w:val="auto"/>
          <w:sz w:val="24"/>
        </w:rPr>
        <w:t>处理有机废气</w:t>
      </w:r>
      <w:r>
        <w:rPr>
          <w:rFonts w:hint="eastAsia" w:cs="Times New Roman"/>
          <w:color w:val="auto"/>
          <w:sz w:val="24"/>
          <w:lang w:val="en-US" w:eastAsia="zh-CN"/>
        </w:rPr>
        <w:t>产生的</w:t>
      </w:r>
      <w:r>
        <w:rPr>
          <w:rFonts w:hint="eastAsia" w:ascii="Times New Roman" w:hAnsi="Times New Roman" w:eastAsia="宋体" w:cs="Times New Roman"/>
          <w:color w:val="auto"/>
          <w:sz w:val="24"/>
        </w:rPr>
        <w:t>废活性炭（包括吸附的有机物）属于《国家危险废物名录》（</w:t>
      </w:r>
      <w:r>
        <w:rPr>
          <w:rFonts w:hint="eastAsia" w:ascii="Times New Roman" w:hAnsi="Times New Roman" w:eastAsia="宋体" w:cs="Times New Roman"/>
          <w:color w:val="auto"/>
          <w:sz w:val="24"/>
          <w:lang w:eastAsia="zh-CN"/>
        </w:rPr>
        <w:t>2025年版</w:t>
      </w:r>
      <w:r>
        <w:rPr>
          <w:rFonts w:hint="eastAsia" w:ascii="Times New Roman" w:hAnsi="Times New Roman" w:eastAsia="宋体" w:cs="Times New Roman"/>
          <w:color w:val="auto"/>
          <w:sz w:val="24"/>
        </w:rPr>
        <w:t>）中“含有或直接沾染危险废物的废弃包装物、容器、过滤吸附介质”，废物类别及代码HW49，900-041-49。收集暂存于危废暂存间，交由有资质的单位进行处理。</w:t>
      </w:r>
    </w:p>
    <w:p w14:paraId="7D562B47">
      <w:pPr>
        <w:widowControl/>
        <w:wordWrap w:val="0"/>
        <w:adjustRightInd w:val="0"/>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⑧</w:t>
      </w:r>
      <w:r>
        <w:rPr>
          <w:rFonts w:hint="eastAsia" w:ascii="Times New Roman" w:hAnsi="Times New Roman" w:eastAsia="宋体" w:cs="Times New Roman"/>
          <w:color w:val="auto"/>
          <w:sz w:val="24"/>
          <w:highlight w:val="none"/>
          <w:lang w:val="en-US" w:eastAsia="zh-CN"/>
        </w:rPr>
        <w:t>化抛蚀刻槽液废液、蒙砂废液</w:t>
      </w:r>
      <w:r>
        <w:rPr>
          <w:rFonts w:hint="eastAsia" w:cs="Times New Roman"/>
          <w:color w:val="auto"/>
          <w:sz w:val="24"/>
          <w:highlight w:val="none"/>
          <w:lang w:val="en-US" w:eastAsia="zh-CN"/>
        </w:rPr>
        <w:t>：蒙砂、化抛过程中产生的含氟废液及</w:t>
      </w:r>
      <w:r>
        <w:rPr>
          <w:rFonts w:hint="eastAsia" w:ascii="Times New Roman" w:hAnsi="Times New Roman" w:eastAsia="宋体" w:cs="Times New Roman"/>
          <w:color w:val="auto"/>
          <w:sz w:val="24"/>
          <w:highlight w:val="none"/>
          <w:lang w:eastAsia="zh-CN"/>
        </w:rPr>
        <w:t>项目</w:t>
      </w:r>
      <w:r>
        <w:rPr>
          <w:rFonts w:hint="eastAsia" w:ascii="Times New Roman" w:hAnsi="Times New Roman" w:eastAsia="宋体" w:cs="Times New Roman"/>
          <w:color w:val="auto"/>
          <w:sz w:val="24"/>
          <w:highlight w:val="none"/>
        </w:rPr>
        <w:t>处理</w:t>
      </w:r>
      <w:r>
        <w:rPr>
          <w:rFonts w:hint="eastAsia" w:ascii="Times New Roman" w:hAnsi="Times New Roman" w:eastAsia="宋体" w:cs="Times New Roman"/>
          <w:color w:val="auto"/>
          <w:sz w:val="24"/>
          <w:highlight w:val="none"/>
          <w:lang w:val="en-US" w:eastAsia="zh-CN"/>
        </w:rPr>
        <w:t>AG蚀刻线蒙砂废气</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化抛废气</w:t>
      </w:r>
      <w:r>
        <w:rPr>
          <w:rFonts w:hint="eastAsia" w:cs="Times New Roman"/>
          <w:color w:val="auto"/>
          <w:sz w:val="24"/>
          <w:highlight w:val="none"/>
          <w:lang w:val="en-US" w:eastAsia="zh-CN"/>
        </w:rPr>
        <w:t>产生的喷淋废水</w:t>
      </w:r>
      <w:r>
        <w:rPr>
          <w:rFonts w:hint="eastAsia" w:ascii="Times New Roman" w:hAnsi="Times New Roman" w:eastAsia="宋体" w:cs="Times New Roman"/>
          <w:color w:val="auto"/>
          <w:sz w:val="24"/>
          <w:highlight w:val="none"/>
        </w:rPr>
        <w:t>属于《国家危险废物名录》（</w:t>
      </w:r>
      <w:r>
        <w:rPr>
          <w:rFonts w:hint="eastAsia" w:ascii="Times New Roman" w:hAnsi="Times New Roman" w:eastAsia="宋体" w:cs="Times New Roman"/>
          <w:color w:val="auto"/>
          <w:sz w:val="24"/>
          <w:highlight w:val="none"/>
          <w:lang w:eastAsia="zh-CN"/>
        </w:rPr>
        <w:t>2025年版</w:t>
      </w:r>
      <w:r>
        <w:rPr>
          <w:rFonts w:hint="eastAsia" w:ascii="Times New Roman" w:hAnsi="Times New Roman" w:eastAsia="宋体" w:cs="Times New Roman"/>
          <w:color w:val="auto"/>
          <w:sz w:val="24"/>
          <w:highlight w:val="none"/>
        </w:rPr>
        <w:t>）中</w:t>
      </w:r>
      <w:r>
        <w:rPr>
          <w:rFonts w:hint="eastAsia" w:cs="Times New Roman"/>
          <w:color w:val="auto"/>
          <w:sz w:val="24"/>
          <w:highlight w:val="none"/>
          <w:lang w:eastAsia="zh-CN"/>
        </w:rPr>
        <w:t>“</w:t>
      </w:r>
      <w:r>
        <w:rPr>
          <w:rFonts w:ascii="宋体" w:hAnsi="宋体" w:eastAsia="宋体" w:cs="宋体"/>
          <w:sz w:val="24"/>
          <w:szCs w:val="24"/>
          <w:highlight w:val="none"/>
        </w:rPr>
        <w:t xml:space="preserve">使用氢氟酸进行蚀刻产生的废蚀刻液 </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废物类别及代码HW</w:t>
      </w:r>
      <w:r>
        <w:rPr>
          <w:rFonts w:hint="eastAsia" w:cs="Times New Roman"/>
          <w:color w:val="auto"/>
          <w:sz w:val="24"/>
          <w:highlight w:val="none"/>
          <w:lang w:val="en-US" w:eastAsia="zh-CN"/>
        </w:rPr>
        <w:t>32</w:t>
      </w:r>
      <w:r>
        <w:rPr>
          <w:rFonts w:hint="eastAsia" w:ascii="Times New Roman" w:hAnsi="Times New Roman" w:eastAsia="宋体" w:cs="Times New Roman"/>
          <w:color w:val="auto"/>
          <w:sz w:val="24"/>
          <w:highlight w:val="none"/>
        </w:rPr>
        <w:t>，900-0</w:t>
      </w:r>
      <w:r>
        <w:rPr>
          <w:rFonts w:hint="eastAsia" w:cs="Times New Roman"/>
          <w:color w:val="auto"/>
          <w:sz w:val="24"/>
          <w:highlight w:val="none"/>
          <w:lang w:val="en-US" w:eastAsia="zh-CN"/>
        </w:rPr>
        <w:t>26</w:t>
      </w:r>
      <w:r>
        <w:rPr>
          <w:rFonts w:hint="eastAsia" w:ascii="Times New Roman" w:hAnsi="Times New Roman" w:eastAsia="宋体" w:cs="Times New Roman"/>
          <w:color w:val="auto"/>
          <w:sz w:val="24"/>
          <w:highlight w:val="none"/>
        </w:rPr>
        <w:t>-</w:t>
      </w:r>
      <w:r>
        <w:rPr>
          <w:rFonts w:hint="eastAsia" w:cs="Times New Roman"/>
          <w:color w:val="auto"/>
          <w:sz w:val="24"/>
          <w:highlight w:val="none"/>
          <w:lang w:val="en-US" w:eastAsia="zh-CN"/>
        </w:rPr>
        <w:t>32</w:t>
      </w:r>
      <w:r>
        <w:rPr>
          <w:rFonts w:hint="eastAsia" w:ascii="Times New Roman" w:hAnsi="Times New Roman" w:eastAsia="宋体" w:cs="Times New Roman"/>
          <w:color w:val="auto"/>
          <w:sz w:val="24"/>
          <w:highlight w:val="none"/>
        </w:rPr>
        <w:t>。收集暂存于危废暂存间，交由有资质的单位进行处理。</w:t>
      </w:r>
    </w:p>
    <w:p w14:paraId="28B935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ascii="Times New Roman" w:hAnsi="宋体"/>
          <w:color w:val="auto"/>
          <w:sz w:val="24"/>
        </w:rPr>
        <w:t>危险废物暂存间</w:t>
      </w:r>
      <w:r>
        <w:rPr>
          <w:rFonts w:hint="eastAsia" w:ascii="宋体" w:hAnsi="宋体" w:eastAsia="宋体" w:cs="宋体"/>
          <w:sz w:val="24"/>
          <w:szCs w:val="24"/>
          <w:lang w:val="en-US" w:eastAsia="zh-CN"/>
        </w:rPr>
        <w:t>做好了</w:t>
      </w:r>
      <w:r>
        <w:rPr>
          <w:rFonts w:hint="eastAsia" w:ascii="宋体" w:hAnsi="宋体" w:eastAsia="宋体" w:cs="宋体"/>
          <w:sz w:val="24"/>
          <w:szCs w:val="24"/>
        </w:rPr>
        <w:t>“</w:t>
      </w:r>
      <w:r>
        <w:rPr>
          <w:rFonts w:hint="eastAsia" w:ascii="宋体" w:hAnsi="宋体" w:eastAsia="宋体" w:cs="宋体"/>
          <w:sz w:val="24"/>
          <w:szCs w:val="24"/>
          <w:lang w:val="en-US" w:eastAsia="zh-CN"/>
        </w:rPr>
        <w:t>六</w:t>
      </w:r>
      <w:r>
        <w:rPr>
          <w:rFonts w:hint="eastAsia" w:ascii="宋体" w:hAnsi="宋体" w:eastAsia="宋体" w:cs="宋体"/>
          <w:sz w:val="24"/>
          <w:szCs w:val="24"/>
        </w:rPr>
        <w:t>防”（防风</w:t>
      </w:r>
      <w:r>
        <w:rPr>
          <w:rFonts w:hint="eastAsia" w:ascii="宋体" w:hAnsi="宋体" w:eastAsia="宋体" w:cs="宋体"/>
          <w:sz w:val="24"/>
          <w:szCs w:val="24"/>
          <w:lang w:eastAsia="zh-CN"/>
        </w:rPr>
        <w:t>，</w:t>
      </w:r>
      <w:r>
        <w:rPr>
          <w:rFonts w:hint="eastAsia" w:ascii="宋体" w:hAnsi="宋体" w:eastAsia="宋体" w:cs="宋体"/>
          <w:sz w:val="24"/>
          <w:szCs w:val="24"/>
        </w:rPr>
        <w:t>防晒</w:t>
      </w:r>
      <w:r>
        <w:rPr>
          <w:rFonts w:hint="eastAsia" w:ascii="宋体" w:hAnsi="宋体" w:eastAsia="宋体" w:cs="宋体"/>
          <w:sz w:val="24"/>
          <w:szCs w:val="24"/>
          <w:lang w:eastAsia="zh-CN"/>
        </w:rPr>
        <w:t>，</w:t>
      </w:r>
      <w:r>
        <w:rPr>
          <w:rFonts w:hint="eastAsia" w:ascii="宋体" w:hAnsi="宋体" w:eastAsia="宋体" w:cs="宋体"/>
          <w:sz w:val="24"/>
          <w:szCs w:val="24"/>
        </w:rPr>
        <w:t>防雨</w:t>
      </w:r>
      <w:r>
        <w:rPr>
          <w:rFonts w:hint="eastAsia" w:ascii="宋体" w:hAnsi="宋体" w:eastAsia="宋体" w:cs="宋体"/>
          <w:sz w:val="24"/>
          <w:szCs w:val="24"/>
          <w:lang w:eastAsia="zh-CN"/>
        </w:rPr>
        <w:t>，</w:t>
      </w:r>
      <w:r>
        <w:rPr>
          <w:rFonts w:hint="eastAsia" w:ascii="宋体" w:hAnsi="宋体" w:eastAsia="宋体" w:cs="宋体"/>
          <w:sz w:val="24"/>
          <w:szCs w:val="24"/>
        </w:rPr>
        <w:t>防漏</w:t>
      </w:r>
      <w:r>
        <w:rPr>
          <w:rFonts w:hint="eastAsia" w:ascii="宋体" w:hAnsi="宋体" w:eastAsia="宋体" w:cs="宋体"/>
          <w:sz w:val="24"/>
          <w:szCs w:val="24"/>
          <w:lang w:eastAsia="zh-CN"/>
        </w:rPr>
        <w:t>，</w:t>
      </w:r>
      <w:r>
        <w:rPr>
          <w:rFonts w:hint="eastAsia" w:ascii="宋体" w:hAnsi="宋体" w:eastAsia="宋体" w:cs="宋体"/>
          <w:sz w:val="24"/>
          <w:szCs w:val="24"/>
        </w:rPr>
        <w:t>防渗</w:t>
      </w:r>
      <w:r>
        <w:rPr>
          <w:rFonts w:hint="eastAsia" w:ascii="宋体" w:hAnsi="宋体" w:eastAsia="宋体" w:cs="宋体"/>
          <w:sz w:val="24"/>
          <w:szCs w:val="24"/>
          <w:lang w:eastAsia="zh-CN"/>
        </w:rPr>
        <w:t>，</w:t>
      </w:r>
      <w:r>
        <w:rPr>
          <w:rFonts w:hint="eastAsia" w:ascii="宋体" w:hAnsi="宋体" w:eastAsia="宋体" w:cs="宋体"/>
          <w:sz w:val="24"/>
          <w:szCs w:val="24"/>
        </w:rPr>
        <w:t>防腐）</w:t>
      </w:r>
      <w:r>
        <w:rPr>
          <w:rFonts w:hint="eastAsia" w:ascii="宋体" w:hAnsi="宋体" w:eastAsia="宋体" w:cs="宋体"/>
          <w:sz w:val="24"/>
          <w:szCs w:val="24"/>
          <w:lang w:val="en-US" w:eastAsia="zh-CN"/>
        </w:rPr>
        <w:t>措施，对各类危废进行了分类暂存，危废的转移满足</w:t>
      </w:r>
      <w:r>
        <w:rPr>
          <w:rFonts w:hint="eastAsia" w:ascii="宋体" w:hAnsi="宋体" w:eastAsia="宋体" w:cs="宋体"/>
          <w:sz w:val="24"/>
          <w:szCs w:val="24"/>
        </w:rPr>
        <w:t>《危险废物转移管理办法》</w:t>
      </w:r>
      <w:r>
        <w:rPr>
          <w:rFonts w:hint="eastAsia" w:ascii="宋体" w:hAnsi="宋体" w:eastAsia="宋体" w:cs="宋体"/>
          <w:sz w:val="24"/>
          <w:szCs w:val="24"/>
          <w:lang w:val="en-US" w:eastAsia="zh-CN"/>
        </w:rPr>
        <w:t>相关要求。</w:t>
      </w:r>
    </w:p>
    <w:p w14:paraId="6FC58E2F">
      <w:pPr>
        <w:pStyle w:val="134"/>
        <w:adjustRightInd w:val="0"/>
        <w:spacing w:line="360" w:lineRule="auto"/>
        <w:ind w:firstLine="480" w:firstLineChars="200"/>
        <w:rPr>
          <w:rFonts w:hint="eastAsia" w:ascii="Times New Roman" w:hAnsi="宋体"/>
          <w:color w:val="auto"/>
          <w:sz w:val="24"/>
          <w:lang w:val="en-US" w:eastAsia="zh-CN"/>
        </w:rPr>
      </w:pPr>
      <w:r>
        <w:rPr>
          <w:rFonts w:hint="eastAsia" w:ascii="Times New Roman" w:hAnsi="Times New Roman"/>
          <w:color w:val="auto"/>
          <w:sz w:val="24"/>
        </w:rPr>
        <w:t>（</w:t>
      </w:r>
      <w:r>
        <w:rPr>
          <w:rFonts w:hint="eastAsia" w:ascii="Times New Roman" w:hAnsi="Times New Roman"/>
          <w:color w:val="auto"/>
          <w:sz w:val="24"/>
          <w:lang w:val="en-US" w:eastAsia="zh-CN"/>
        </w:rPr>
        <w:t>3</w:t>
      </w:r>
      <w:r>
        <w:rPr>
          <w:rFonts w:hint="eastAsia" w:ascii="Times New Roman" w:hAnsi="Times New Roman"/>
          <w:color w:val="auto"/>
          <w:sz w:val="24"/>
        </w:rPr>
        <w:t>）</w:t>
      </w:r>
      <w:r>
        <w:rPr>
          <w:rFonts w:hint="eastAsia" w:ascii="Times New Roman" w:hAnsi="宋体"/>
          <w:color w:val="auto"/>
          <w:sz w:val="24"/>
          <w:lang w:val="en-US" w:eastAsia="zh-CN"/>
        </w:rPr>
        <w:t>生活垃圾</w:t>
      </w:r>
    </w:p>
    <w:p w14:paraId="18B836C5">
      <w:pPr>
        <w:pStyle w:val="134"/>
        <w:adjustRightInd w:val="0"/>
        <w:spacing w:line="360" w:lineRule="auto"/>
        <w:ind w:firstLine="480" w:firstLineChars="200"/>
        <w:rPr>
          <w:rFonts w:hint="eastAsia" w:ascii="Times New Roman" w:hAnsi="宋体"/>
          <w:color w:val="auto"/>
          <w:sz w:val="24"/>
          <w:lang w:val="en-US" w:eastAsia="zh-CN"/>
        </w:rPr>
      </w:pPr>
      <w:r>
        <w:rPr>
          <w:rFonts w:hint="eastAsia" w:hAnsi="宋体"/>
          <w:color w:val="auto"/>
          <w:sz w:val="24"/>
          <w:lang w:val="en-US" w:eastAsia="zh-CN"/>
        </w:rPr>
        <w:t>本项目劳</w:t>
      </w:r>
      <w:r>
        <w:rPr>
          <w:rFonts w:hint="eastAsia" w:ascii="Times New Roman" w:hAnsi="宋体"/>
          <w:color w:val="auto"/>
          <w:sz w:val="24"/>
          <w:lang w:val="en-US" w:eastAsia="zh-CN"/>
        </w:rPr>
        <w:t>动定员200人。各楼层和办公室均设置分类垃圾桶，收集后统一交市政环卫部门进行处置。</w:t>
      </w:r>
    </w:p>
    <w:p w14:paraId="68E7AA29">
      <w:pPr>
        <w:widowControl/>
        <w:wordWrap w:val="0"/>
        <w:adjustRightInd w:val="0"/>
        <w:spacing w:line="360" w:lineRule="auto"/>
        <w:ind w:firstLine="480" w:firstLineChars="200"/>
        <w:rPr>
          <w:rFonts w:ascii="Times New Roman" w:hAnsi="Times New Roman"/>
          <w:bCs/>
          <w:color w:val="auto"/>
          <w:sz w:val="24"/>
        </w:rPr>
      </w:pPr>
      <w:r>
        <w:rPr>
          <w:rFonts w:hint="eastAsia"/>
          <w:bCs/>
          <w:color w:val="auto"/>
          <w:sz w:val="24"/>
          <w:lang w:val="en-US" w:eastAsia="zh-CN"/>
        </w:rPr>
        <w:t>根据建设单位提供的资料，</w:t>
      </w:r>
      <w:r>
        <w:rPr>
          <w:rFonts w:ascii="Times New Roman" w:hAnsi="Times New Roman"/>
          <w:bCs/>
          <w:color w:val="auto"/>
          <w:sz w:val="24"/>
        </w:rPr>
        <w:t>项目固体废物产排污及治理设施情况如下：</w:t>
      </w:r>
    </w:p>
    <w:p w14:paraId="2AF167B6">
      <w:pPr>
        <w:pStyle w:val="135"/>
        <w:spacing w:before="56" w:line="228" w:lineRule="auto"/>
        <w:jc w:val="center"/>
        <w:rPr>
          <w:rFonts w:hint="eastAsia" w:ascii="Times New Roman" w:hAnsi="Times New Roman" w:eastAsia="宋体" w:cs="Times New Roman"/>
          <w:b/>
          <w:bCs/>
          <w:color w:val="auto"/>
          <w:spacing w:val="6"/>
          <w:sz w:val="24"/>
          <w:szCs w:val="24"/>
        </w:rPr>
      </w:pPr>
      <w:r>
        <w:rPr>
          <w:rFonts w:hint="eastAsia" w:ascii="Times New Roman" w:hAnsi="Times New Roman" w:eastAsia="宋体" w:cs="Times New Roman"/>
          <w:b/>
          <w:bCs/>
          <w:color w:val="auto"/>
          <w:spacing w:val="6"/>
          <w:sz w:val="24"/>
          <w:szCs w:val="24"/>
        </w:rPr>
        <w:t>表</w:t>
      </w:r>
      <w:r>
        <w:rPr>
          <w:rFonts w:hint="eastAsia" w:ascii="Times New Roman" w:hAnsi="Times New Roman" w:cs="Times New Roman"/>
          <w:b/>
          <w:bCs/>
          <w:color w:val="auto"/>
          <w:spacing w:val="6"/>
          <w:sz w:val="24"/>
          <w:szCs w:val="24"/>
          <w:lang w:val="en-US" w:eastAsia="zh-CN"/>
        </w:rPr>
        <w:t>4</w:t>
      </w:r>
      <w:r>
        <w:rPr>
          <w:rFonts w:hint="eastAsia" w:ascii="Times New Roman" w:hAnsi="Times New Roman" w:eastAsia="宋体" w:cs="Times New Roman"/>
          <w:b/>
          <w:bCs/>
          <w:color w:val="auto"/>
          <w:spacing w:val="6"/>
          <w:sz w:val="24"/>
          <w:szCs w:val="24"/>
        </w:rPr>
        <w:t>-</w:t>
      </w:r>
      <w:r>
        <w:rPr>
          <w:rFonts w:hint="eastAsia" w:ascii="Times New Roman" w:hAnsi="Times New Roman" w:eastAsia="宋体" w:cs="Times New Roman"/>
          <w:b/>
          <w:bCs/>
          <w:color w:val="auto"/>
          <w:spacing w:val="6"/>
          <w:sz w:val="24"/>
          <w:szCs w:val="24"/>
          <w:lang w:val="en-US" w:eastAsia="zh-CN"/>
        </w:rPr>
        <w:t>1</w:t>
      </w:r>
      <w:r>
        <w:rPr>
          <w:rFonts w:hint="eastAsia" w:ascii="Times New Roman" w:hAnsi="Times New Roman" w:cs="Times New Roman"/>
          <w:b/>
          <w:bCs/>
          <w:color w:val="auto"/>
          <w:spacing w:val="6"/>
          <w:sz w:val="24"/>
          <w:szCs w:val="24"/>
          <w:lang w:val="en-US" w:eastAsia="zh-CN"/>
        </w:rPr>
        <w:t xml:space="preserve"> </w:t>
      </w:r>
      <w:r>
        <w:rPr>
          <w:rFonts w:hint="default" w:ascii="Times New Roman" w:hAnsi="Times New Roman" w:eastAsia="宋体" w:cs="Times New Roman"/>
          <w:b/>
          <w:bCs/>
          <w:color w:val="auto"/>
          <w:spacing w:val="6"/>
          <w:sz w:val="24"/>
          <w:szCs w:val="24"/>
        </w:rPr>
        <w:t>固体废物产排污情况一览表</w:t>
      </w:r>
    </w:p>
    <w:tbl>
      <w:tblPr>
        <w:tblStyle w:val="35"/>
        <w:tblW w:w="492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2"/>
        <w:gridCol w:w="758"/>
        <w:gridCol w:w="717"/>
        <w:gridCol w:w="650"/>
        <w:gridCol w:w="888"/>
        <w:gridCol w:w="1350"/>
        <w:gridCol w:w="725"/>
        <w:gridCol w:w="850"/>
        <w:gridCol w:w="712"/>
        <w:gridCol w:w="862"/>
        <w:gridCol w:w="926"/>
      </w:tblGrid>
      <w:tr w14:paraId="0BA725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8" w:type="pct"/>
            <w:noWrap w:val="0"/>
            <w:vAlign w:val="center"/>
          </w:tcPr>
          <w:p w14:paraId="39D0BA08">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产生环节</w:t>
            </w:r>
          </w:p>
        </w:tc>
        <w:tc>
          <w:tcPr>
            <w:tcW w:w="416" w:type="pct"/>
            <w:noWrap w:val="0"/>
            <w:vAlign w:val="center"/>
          </w:tcPr>
          <w:p w14:paraId="4EB141DB">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名称</w:t>
            </w:r>
          </w:p>
        </w:tc>
        <w:tc>
          <w:tcPr>
            <w:tcW w:w="393" w:type="pct"/>
            <w:noWrap w:val="0"/>
            <w:vAlign w:val="center"/>
          </w:tcPr>
          <w:p w14:paraId="2FBE79CB">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属性</w:t>
            </w:r>
          </w:p>
        </w:tc>
        <w:tc>
          <w:tcPr>
            <w:tcW w:w="356" w:type="pct"/>
            <w:noWrap w:val="0"/>
            <w:vAlign w:val="center"/>
          </w:tcPr>
          <w:p w14:paraId="6DA61ADF">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物理性状</w:t>
            </w:r>
          </w:p>
        </w:tc>
        <w:tc>
          <w:tcPr>
            <w:tcW w:w="487" w:type="pct"/>
            <w:noWrap w:val="0"/>
            <w:vAlign w:val="center"/>
          </w:tcPr>
          <w:p w14:paraId="7E11F5B6">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废物类别</w:t>
            </w:r>
          </w:p>
        </w:tc>
        <w:tc>
          <w:tcPr>
            <w:tcW w:w="740" w:type="pct"/>
            <w:noWrap w:val="0"/>
            <w:vAlign w:val="center"/>
          </w:tcPr>
          <w:p w14:paraId="2CB17246">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废物代码</w:t>
            </w:r>
          </w:p>
        </w:tc>
        <w:tc>
          <w:tcPr>
            <w:tcW w:w="397" w:type="pct"/>
            <w:noWrap w:val="0"/>
            <w:vAlign w:val="center"/>
          </w:tcPr>
          <w:p w14:paraId="20415B4F">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危险特性</w:t>
            </w:r>
          </w:p>
        </w:tc>
        <w:tc>
          <w:tcPr>
            <w:tcW w:w="466" w:type="pct"/>
            <w:noWrap w:val="0"/>
            <w:vAlign w:val="center"/>
          </w:tcPr>
          <w:p w14:paraId="393D0E21">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产生量（t/a）</w:t>
            </w:r>
          </w:p>
        </w:tc>
        <w:tc>
          <w:tcPr>
            <w:tcW w:w="390" w:type="pct"/>
            <w:noWrap w:val="0"/>
            <w:vAlign w:val="center"/>
          </w:tcPr>
          <w:p w14:paraId="63EF0181">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贮存方式</w:t>
            </w:r>
          </w:p>
        </w:tc>
        <w:tc>
          <w:tcPr>
            <w:tcW w:w="473" w:type="pct"/>
            <w:noWrap w:val="0"/>
            <w:vAlign w:val="center"/>
          </w:tcPr>
          <w:p w14:paraId="792277D1">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利用处置方式和去向</w:t>
            </w:r>
          </w:p>
        </w:tc>
        <w:tc>
          <w:tcPr>
            <w:tcW w:w="508" w:type="pct"/>
            <w:noWrap w:val="0"/>
            <w:vAlign w:val="center"/>
          </w:tcPr>
          <w:p w14:paraId="0CCEC1C1">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利用或处置量t/a</w:t>
            </w:r>
          </w:p>
        </w:tc>
      </w:tr>
      <w:tr w14:paraId="6C4BAB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8" w:type="pct"/>
            <w:noWrap w:val="0"/>
            <w:vAlign w:val="center"/>
          </w:tcPr>
          <w:p w14:paraId="19BE56E1">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检验</w:t>
            </w:r>
          </w:p>
        </w:tc>
        <w:tc>
          <w:tcPr>
            <w:tcW w:w="416" w:type="pct"/>
            <w:noWrap w:val="0"/>
            <w:vAlign w:val="center"/>
          </w:tcPr>
          <w:p w14:paraId="0844D4BF">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不合格品</w:t>
            </w:r>
          </w:p>
        </w:tc>
        <w:tc>
          <w:tcPr>
            <w:tcW w:w="393" w:type="pct"/>
            <w:vMerge w:val="restart"/>
            <w:noWrap w:val="0"/>
            <w:vAlign w:val="center"/>
          </w:tcPr>
          <w:p w14:paraId="5A323457">
            <w:pPr>
              <w:pStyle w:val="136"/>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一般工业固废</w:t>
            </w:r>
          </w:p>
        </w:tc>
        <w:tc>
          <w:tcPr>
            <w:tcW w:w="356" w:type="pct"/>
            <w:noWrap w:val="0"/>
            <w:vAlign w:val="center"/>
          </w:tcPr>
          <w:p w14:paraId="083FE405">
            <w:pPr>
              <w:pStyle w:val="136"/>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487" w:type="pct"/>
            <w:noWrap w:val="0"/>
            <w:vAlign w:val="center"/>
          </w:tcPr>
          <w:p w14:paraId="02978C54">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不合格品</w:t>
            </w:r>
          </w:p>
        </w:tc>
        <w:tc>
          <w:tcPr>
            <w:tcW w:w="740" w:type="pct"/>
            <w:noWrap w:val="0"/>
            <w:vAlign w:val="center"/>
          </w:tcPr>
          <w:p w14:paraId="6A5CCB26">
            <w:pPr>
              <w:pStyle w:val="136"/>
              <w:bidi w:val="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w:t>
            </w:r>
            <w:r>
              <w:rPr>
                <w:rFonts w:hint="default" w:ascii="Times New Roman" w:hAnsi="Times New Roman" w:eastAsia="宋体" w:cs="Times New Roman"/>
                <w:color w:val="auto"/>
                <w:sz w:val="21"/>
                <w:szCs w:val="21"/>
                <w:lang w:val="en-US" w:eastAsia="zh-CN"/>
              </w:rPr>
              <w:t>04</w:t>
            </w:r>
            <w:r>
              <w:rPr>
                <w:rFonts w:hint="default" w:ascii="Times New Roman" w:hAnsi="Times New Roman" w:eastAsia="宋体" w:cs="Times New Roman"/>
                <w:color w:val="auto"/>
                <w:sz w:val="21"/>
                <w:szCs w:val="21"/>
              </w:rPr>
              <w:t>-S17</w:t>
            </w:r>
          </w:p>
        </w:tc>
        <w:tc>
          <w:tcPr>
            <w:tcW w:w="397" w:type="pct"/>
            <w:noWrap w:val="0"/>
            <w:vAlign w:val="center"/>
          </w:tcPr>
          <w:p w14:paraId="489057B3">
            <w:pPr>
              <w:pStyle w:val="136"/>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66" w:type="pct"/>
            <w:noWrap w:val="0"/>
            <w:vAlign w:val="center"/>
          </w:tcPr>
          <w:p w14:paraId="27187DF6">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390" w:type="pct"/>
            <w:vMerge w:val="restart"/>
            <w:noWrap w:val="0"/>
            <w:vAlign w:val="center"/>
          </w:tcPr>
          <w:p w14:paraId="58B1C949">
            <w:pPr>
              <w:pStyle w:val="136"/>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分类存放于一般固废暂存区</w:t>
            </w:r>
          </w:p>
        </w:tc>
        <w:tc>
          <w:tcPr>
            <w:tcW w:w="473" w:type="pct"/>
            <w:vMerge w:val="restart"/>
            <w:noWrap w:val="0"/>
            <w:vAlign w:val="center"/>
          </w:tcPr>
          <w:p w14:paraId="40B4FA77">
            <w:pPr>
              <w:pStyle w:val="136"/>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定期交由物资回收单位</w:t>
            </w:r>
          </w:p>
        </w:tc>
        <w:tc>
          <w:tcPr>
            <w:tcW w:w="508" w:type="pct"/>
            <w:noWrap w:val="0"/>
            <w:vAlign w:val="center"/>
          </w:tcPr>
          <w:p w14:paraId="3F17BAF0">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10</w:t>
            </w:r>
          </w:p>
        </w:tc>
      </w:tr>
      <w:tr w14:paraId="7C5F45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8" w:type="pct"/>
            <w:noWrap w:val="0"/>
            <w:vAlign w:val="center"/>
          </w:tcPr>
          <w:p w14:paraId="3217AFD6">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rPr>
              <w:t>包装</w:t>
            </w:r>
          </w:p>
        </w:tc>
        <w:tc>
          <w:tcPr>
            <w:tcW w:w="416" w:type="pct"/>
            <w:noWrap w:val="0"/>
            <w:vAlign w:val="center"/>
          </w:tcPr>
          <w:p w14:paraId="05FDFE63">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普通</w:t>
            </w:r>
            <w:r>
              <w:rPr>
                <w:rFonts w:hint="default" w:ascii="Times New Roman" w:hAnsi="Times New Roman" w:eastAsia="宋体" w:cs="Times New Roman"/>
                <w:color w:val="auto"/>
                <w:sz w:val="21"/>
                <w:szCs w:val="21"/>
              </w:rPr>
              <w:t>废包装材料</w:t>
            </w:r>
          </w:p>
        </w:tc>
        <w:tc>
          <w:tcPr>
            <w:tcW w:w="393" w:type="pct"/>
            <w:vMerge w:val="continue"/>
            <w:noWrap w:val="0"/>
            <w:vAlign w:val="center"/>
          </w:tcPr>
          <w:p w14:paraId="251A662A">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p>
        </w:tc>
        <w:tc>
          <w:tcPr>
            <w:tcW w:w="356" w:type="pct"/>
            <w:noWrap w:val="0"/>
            <w:vAlign w:val="center"/>
          </w:tcPr>
          <w:p w14:paraId="7A68EC28">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rPr>
              <w:t>固态</w:t>
            </w:r>
          </w:p>
        </w:tc>
        <w:tc>
          <w:tcPr>
            <w:tcW w:w="487" w:type="pct"/>
            <w:noWrap w:val="0"/>
            <w:vAlign w:val="center"/>
          </w:tcPr>
          <w:p w14:paraId="7D3F9336">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rPr>
              <w:t>废复合包装</w:t>
            </w:r>
          </w:p>
        </w:tc>
        <w:tc>
          <w:tcPr>
            <w:tcW w:w="740" w:type="pct"/>
            <w:noWrap w:val="0"/>
            <w:vAlign w:val="center"/>
          </w:tcPr>
          <w:p w14:paraId="20270F37">
            <w:pPr>
              <w:pStyle w:val="136"/>
              <w:bidi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900-0</w:t>
            </w:r>
            <w:r>
              <w:rPr>
                <w:rFonts w:hint="default" w:ascii="Times New Roman" w:hAnsi="Times New Roman" w:eastAsia="宋体" w:cs="Times New Roman"/>
                <w:color w:val="auto"/>
                <w:sz w:val="21"/>
                <w:szCs w:val="21"/>
                <w:lang w:val="en-US" w:eastAsia="zh-CN"/>
              </w:rPr>
              <w:t>05</w:t>
            </w:r>
            <w:r>
              <w:rPr>
                <w:rFonts w:hint="default" w:ascii="Times New Roman" w:hAnsi="Times New Roman" w:eastAsia="宋体" w:cs="Times New Roman"/>
                <w:color w:val="auto"/>
                <w:sz w:val="21"/>
                <w:szCs w:val="21"/>
              </w:rPr>
              <w:t>-S17</w:t>
            </w:r>
          </w:p>
        </w:tc>
        <w:tc>
          <w:tcPr>
            <w:tcW w:w="397" w:type="pct"/>
            <w:noWrap w:val="0"/>
            <w:vAlign w:val="center"/>
          </w:tcPr>
          <w:p w14:paraId="65E2236A">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rPr>
              <w:t>/</w:t>
            </w:r>
          </w:p>
        </w:tc>
        <w:tc>
          <w:tcPr>
            <w:tcW w:w="466" w:type="pct"/>
            <w:noWrap w:val="0"/>
            <w:vAlign w:val="center"/>
          </w:tcPr>
          <w:p w14:paraId="26AE8713">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bidi="ar-SA"/>
              </w:rPr>
              <w:t>1</w:t>
            </w:r>
          </w:p>
        </w:tc>
        <w:tc>
          <w:tcPr>
            <w:tcW w:w="390" w:type="pct"/>
            <w:vMerge w:val="continue"/>
            <w:noWrap w:val="0"/>
            <w:vAlign w:val="center"/>
          </w:tcPr>
          <w:p w14:paraId="34D78AFA">
            <w:pPr>
              <w:pStyle w:val="136"/>
              <w:bidi w:val="0"/>
              <w:jc w:val="center"/>
              <w:rPr>
                <w:rFonts w:hint="default" w:ascii="Times New Roman" w:hAnsi="Times New Roman" w:eastAsia="宋体" w:cs="Times New Roman"/>
                <w:color w:val="auto"/>
                <w:sz w:val="21"/>
                <w:szCs w:val="21"/>
              </w:rPr>
            </w:pPr>
          </w:p>
        </w:tc>
        <w:tc>
          <w:tcPr>
            <w:tcW w:w="473" w:type="pct"/>
            <w:vMerge w:val="continue"/>
            <w:noWrap w:val="0"/>
            <w:vAlign w:val="center"/>
          </w:tcPr>
          <w:p w14:paraId="2F9BC441">
            <w:pPr>
              <w:pStyle w:val="136"/>
              <w:bidi w:val="0"/>
              <w:jc w:val="center"/>
              <w:rPr>
                <w:rFonts w:hint="default" w:ascii="Times New Roman" w:hAnsi="Times New Roman" w:eastAsia="宋体" w:cs="Times New Roman"/>
                <w:color w:val="auto"/>
                <w:sz w:val="21"/>
                <w:szCs w:val="21"/>
              </w:rPr>
            </w:pPr>
          </w:p>
        </w:tc>
        <w:tc>
          <w:tcPr>
            <w:tcW w:w="508" w:type="pct"/>
            <w:noWrap w:val="0"/>
            <w:vAlign w:val="center"/>
          </w:tcPr>
          <w:p w14:paraId="561677E7">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bidi="ar-SA"/>
              </w:rPr>
              <w:t>1</w:t>
            </w:r>
          </w:p>
        </w:tc>
      </w:tr>
      <w:tr w14:paraId="02B6FE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8" w:type="pct"/>
            <w:noWrap w:val="0"/>
            <w:vAlign w:val="center"/>
          </w:tcPr>
          <w:p w14:paraId="5C6BA00F">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生产线</w:t>
            </w:r>
          </w:p>
        </w:tc>
        <w:tc>
          <w:tcPr>
            <w:tcW w:w="416" w:type="pct"/>
            <w:noWrap w:val="0"/>
            <w:vAlign w:val="center"/>
          </w:tcPr>
          <w:p w14:paraId="7FA78C81">
            <w:pPr>
              <w:pStyle w:val="136"/>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废配件</w:t>
            </w:r>
          </w:p>
        </w:tc>
        <w:tc>
          <w:tcPr>
            <w:tcW w:w="393" w:type="pct"/>
            <w:vMerge w:val="continue"/>
            <w:noWrap w:val="0"/>
            <w:vAlign w:val="center"/>
          </w:tcPr>
          <w:p w14:paraId="20AF8FF8">
            <w:pPr>
              <w:pStyle w:val="136"/>
              <w:bidi w:val="0"/>
              <w:jc w:val="center"/>
              <w:rPr>
                <w:rFonts w:hint="default" w:ascii="Times New Roman" w:hAnsi="Times New Roman" w:eastAsia="宋体" w:cs="Times New Roman"/>
                <w:color w:val="auto"/>
                <w:sz w:val="21"/>
                <w:szCs w:val="21"/>
              </w:rPr>
            </w:pPr>
          </w:p>
        </w:tc>
        <w:tc>
          <w:tcPr>
            <w:tcW w:w="356" w:type="pct"/>
            <w:noWrap w:val="0"/>
            <w:vAlign w:val="center"/>
          </w:tcPr>
          <w:p w14:paraId="79F46361">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rPr>
              <w:t>固态</w:t>
            </w:r>
          </w:p>
        </w:tc>
        <w:tc>
          <w:tcPr>
            <w:tcW w:w="487" w:type="pct"/>
            <w:noWrap w:val="0"/>
            <w:vAlign w:val="center"/>
          </w:tcPr>
          <w:p w14:paraId="58731159">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bidi="ar-SA"/>
              </w:rPr>
              <w:t>废配件</w:t>
            </w:r>
          </w:p>
        </w:tc>
        <w:tc>
          <w:tcPr>
            <w:tcW w:w="740" w:type="pct"/>
            <w:noWrap w:val="0"/>
            <w:vAlign w:val="center"/>
          </w:tcPr>
          <w:p w14:paraId="26826AF5">
            <w:pPr>
              <w:pStyle w:val="136"/>
              <w:bidi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900-0</w:t>
            </w:r>
            <w:r>
              <w:rPr>
                <w:rFonts w:hint="default" w:ascii="Times New Roman" w:hAnsi="Times New Roman" w:eastAsia="宋体" w:cs="Times New Roman"/>
                <w:color w:val="auto"/>
                <w:sz w:val="21"/>
                <w:szCs w:val="21"/>
                <w:lang w:val="en-US" w:eastAsia="zh-CN"/>
              </w:rPr>
              <w:t>99</w:t>
            </w:r>
            <w:r>
              <w:rPr>
                <w:rFonts w:hint="default" w:ascii="Times New Roman" w:hAnsi="Times New Roman" w:eastAsia="宋体" w:cs="Times New Roman"/>
                <w:color w:val="auto"/>
                <w:sz w:val="21"/>
                <w:szCs w:val="21"/>
              </w:rPr>
              <w:t>-S17</w:t>
            </w:r>
          </w:p>
        </w:tc>
        <w:tc>
          <w:tcPr>
            <w:tcW w:w="397" w:type="pct"/>
            <w:noWrap w:val="0"/>
            <w:vAlign w:val="center"/>
          </w:tcPr>
          <w:p w14:paraId="7BD5F7FE">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rPr>
              <w:t>/</w:t>
            </w:r>
          </w:p>
        </w:tc>
        <w:tc>
          <w:tcPr>
            <w:tcW w:w="466" w:type="pct"/>
            <w:noWrap w:val="0"/>
            <w:vAlign w:val="center"/>
          </w:tcPr>
          <w:p w14:paraId="08BB4E10">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bidi="ar-SA"/>
              </w:rPr>
              <w:t>0.5</w:t>
            </w:r>
          </w:p>
        </w:tc>
        <w:tc>
          <w:tcPr>
            <w:tcW w:w="390" w:type="pct"/>
            <w:vMerge w:val="continue"/>
            <w:noWrap w:val="0"/>
            <w:vAlign w:val="center"/>
          </w:tcPr>
          <w:p w14:paraId="1740E991">
            <w:pPr>
              <w:pStyle w:val="136"/>
              <w:bidi w:val="0"/>
              <w:jc w:val="center"/>
              <w:rPr>
                <w:rFonts w:hint="default" w:ascii="Times New Roman" w:hAnsi="Times New Roman" w:eastAsia="宋体" w:cs="Times New Roman"/>
                <w:color w:val="auto"/>
                <w:sz w:val="21"/>
                <w:szCs w:val="21"/>
              </w:rPr>
            </w:pPr>
          </w:p>
        </w:tc>
        <w:tc>
          <w:tcPr>
            <w:tcW w:w="473" w:type="pct"/>
            <w:vMerge w:val="continue"/>
            <w:noWrap w:val="0"/>
            <w:vAlign w:val="center"/>
          </w:tcPr>
          <w:p w14:paraId="13997760">
            <w:pPr>
              <w:pStyle w:val="136"/>
              <w:bidi w:val="0"/>
              <w:jc w:val="center"/>
              <w:rPr>
                <w:rFonts w:hint="default" w:ascii="Times New Roman" w:hAnsi="Times New Roman" w:eastAsia="宋体" w:cs="Times New Roman"/>
                <w:color w:val="auto"/>
                <w:sz w:val="21"/>
                <w:szCs w:val="21"/>
              </w:rPr>
            </w:pPr>
          </w:p>
        </w:tc>
        <w:tc>
          <w:tcPr>
            <w:tcW w:w="508" w:type="pct"/>
            <w:noWrap w:val="0"/>
            <w:vAlign w:val="center"/>
          </w:tcPr>
          <w:p w14:paraId="667F8E68">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bidi="ar-SA"/>
              </w:rPr>
              <w:t>0.5</w:t>
            </w:r>
          </w:p>
        </w:tc>
      </w:tr>
      <w:tr w14:paraId="49E3AB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8" w:type="pct"/>
            <w:noWrap w:val="0"/>
            <w:vAlign w:val="center"/>
          </w:tcPr>
          <w:p w14:paraId="6F425209">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油墨开包</w:t>
            </w:r>
          </w:p>
        </w:tc>
        <w:tc>
          <w:tcPr>
            <w:tcW w:w="416" w:type="pct"/>
            <w:noWrap w:val="0"/>
            <w:vAlign w:val="center"/>
          </w:tcPr>
          <w:p w14:paraId="4A7995A3">
            <w:pPr>
              <w:pStyle w:val="136"/>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废保护油墨桶</w:t>
            </w:r>
          </w:p>
        </w:tc>
        <w:tc>
          <w:tcPr>
            <w:tcW w:w="393" w:type="pct"/>
            <w:vMerge w:val="restart"/>
            <w:noWrap w:val="0"/>
            <w:vAlign w:val="center"/>
          </w:tcPr>
          <w:p w14:paraId="263A305D">
            <w:pPr>
              <w:pStyle w:val="136"/>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w:t>
            </w:r>
          </w:p>
        </w:tc>
        <w:tc>
          <w:tcPr>
            <w:tcW w:w="356" w:type="pct"/>
            <w:noWrap w:val="0"/>
            <w:vAlign w:val="center"/>
          </w:tcPr>
          <w:p w14:paraId="4353CBB0">
            <w:pPr>
              <w:pStyle w:val="136"/>
              <w:bidi w:val="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487" w:type="pct"/>
            <w:noWrap w:val="0"/>
            <w:vAlign w:val="center"/>
          </w:tcPr>
          <w:p w14:paraId="3E6B984C">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HW12</w:t>
            </w:r>
          </w:p>
        </w:tc>
        <w:tc>
          <w:tcPr>
            <w:tcW w:w="740" w:type="pct"/>
            <w:noWrap w:val="0"/>
            <w:vAlign w:val="center"/>
          </w:tcPr>
          <w:p w14:paraId="4E4F82F2">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900-253-12</w:t>
            </w:r>
          </w:p>
        </w:tc>
        <w:tc>
          <w:tcPr>
            <w:tcW w:w="397" w:type="pct"/>
            <w:noWrap w:val="0"/>
            <w:vAlign w:val="center"/>
          </w:tcPr>
          <w:p w14:paraId="7B9CF034">
            <w:pPr>
              <w:pStyle w:val="136"/>
              <w:bidi w:val="0"/>
              <w:ind w:firstLine="0" w:firstLineChars="0"/>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highlight w:val="none"/>
              </w:rPr>
              <w:t>T/I</w:t>
            </w:r>
          </w:p>
        </w:tc>
        <w:tc>
          <w:tcPr>
            <w:tcW w:w="466" w:type="pct"/>
            <w:noWrap w:val="0"/>
            <w:vAlign w:val="center"/>
          </w:tcPr>
          <w:p w14:paraId="75283F05">
            <w:pPr>
              <w:pStyle w:val="136"/>
              <w:bidi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w:t>
            </w:r>
          </w:p>
        </w:tc>
        <w:tc>
          <w:tcPr>
            <w:tcW w:w="390" w:type="pct"/>
            <w:vMerge w:val="restart"/>
            <w:noWrap w:val="0"/>
            <w:vAlign w:val="center"/>
          </w:tcPr>
          <w:p w14:paraId="05F760B6">
            <w:pPr>
              <w:pStyle w:val="136"/>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分类存放于危废暂存间</w:t>
            </w:r>
          </w:p>
        </w:tc>
        <w:tc>
          <w:tcPr>
            <w:tcW w:w="473" w:type="pct"/>
            <w:vMerge w:val="restart"/>
            <w:noWrap w:val="0"/>
            <w:vAlign w:val="center"/>
          </w:tcPr>
          <w:p w14:paraId="6FD7B2D3">
            <w:pPr>
              <w:pStyle w:val="136"/>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定期交由有资质单位处置</w:t>
            </w:r>
          </w:p>
        </w:tc>
        <w:tc>
          <w:tcPr>
            <w:tcW w:w="508" w:type="pct"/>
            <w:noWrap w:val="0"/>
            <w:vAlign w:val="center"/>
          </w:tcPr>
          <w:p w14:paraId="24CEF230">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0.4</w:t>
            </w:r>
          </w:p>
        </w:tc>
      </w:tr>
      <w:tr w14:paraId="6F75EC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8" w:type="pct"/>
            <w:noWrap w:val="0"/>
            <w:vAlign w:val="center"/>
          </w:tcPr>
          <w:p w14:paraId="2B2A0512">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开包</w:t>
            </w:r>
          </w:p>
        </w:tc>
        <w:tc>
          <w:tcPr>
            <w:tcW w:w="416" w:type="pct"/>
            <w:noWrap w:val="0"/>
            <w:vAlign w:val="center"/>
          </w:tcPr>
          <w:p w14:paraId="34BF56D9">
            <w:pPr>
              <w:pStyle w:val="136"/>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废光刻胶桶</w:t>
            </w:r>
          </w:p>
        </w:tc>
        <w:tc>
          <w:tcPr>
            <w:tcW w:w="393" w:type="pct"/>
            <w:vMerge w:val="continue"/>
            <w:noWrap w:val="0"/>
            <w:vAlign w:val="center"/>
          </w:tcPr>
          <w:p w14:paraId="6307564F">
            <w:pPr>
              <w:pStyle w:val="136"/>
              <w:bidi w:val="0"/>
              <w:jc w:val="center"/>
              <w:rPr>
                <w:rFonts w:hint="default" w:ascii="Times New Roman" w:hAnsi="Times New Roman" w:eastAsia="宋体" w:cs="Times New Roman"/>
                <w:color w:val="auto"/>
                <w:sz w:val="21"/>
                <w:szCs w:val="21"/>
              </w:rPr>
            </w:pPr>
          </w:p>
        </w:tc>
        <w:tc>
          <w:tcPr>
            <w:tcW w:w="356" w:type="pct"/>
            <w:noWrap w:val="0"/>
            <w:vAlign w:val="center"/>
          </w:tcPr>
          <w:p w14:paraId="443DE7A5">
            <w:pPr>
              <w:pStyle w:val="136"/>
              <w:bidi w:val="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487" w:type="pct"/>
            <w:noWrap w:val="0"/>
            <w:vAlign w:val="center"/>
          </w:tcPr>
          <w:p w14:paraId="33FAA9DE">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HW49</w:t>
            </w:r>
          </w:p>
        </w:tc>
        <w:tc>
          <w:tcPr>
            <w:tcW w:w="740" w:type="pct"/>
            <w:noWrap w:val="0"/>
            <w:vAlign w:val="center"/>
          </w:tcPr>
          <w:p w14:paraId="051C3CF5">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900-041-49</w:t>
            </w:r>
          </w:p>
        </w:tc>
        <w:tc>
          <w:tcPr>
            <w:tcW w:w="397" w:type="pct"/>
            <w:noWrap w:val="0"/>
            <w:vAlign w:val="center"/>
          </w:tcPr>
          <w:p w14:paraId="0707F606">
            <w:pPr>
              <w:pStyle w:val="136"/>
              <w:bidi w:val="0"/>
              <w:ind w:firstLine="0" w:firstLineChars="0"/>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highlight w:val="none"/>
              </w:rPr>
              <w:t>T/In</w:t>
            </w:r>
          </w:p>
        </w:tc>
        <w:tc>
          <w:tcPr>
            <w:tcW w:w="466" w:type="pct"/>
            <w:noWrap w:val="0"/>
            <w:vAlign w:val="center"/>
          </w:tcPr>
          <w:p w14:paraId="7716CC3C">
            <w:pPr>
              <w:pStyle w:val="136"/>
              <w:bidi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0.08</w:t>
            </w:r>
          </w:p>
        </w:tc>
        <w:tc>
          <w:tcPr>
            <w:tcW w:w="390" w:type="pct"/>
            <w:vMerge w:val="continue"/>
            <w:noWrap w:val="0"/>
            <w:vAlign w:val="center"/>
          </w:tcPr>
          <w:p w14:paraId="5B3E9A7A">
            <w:pPr>
              <w:pStyle w:val="136"/>
              <w:bidi w:val="0"/>
              <w:jc w:val="center"/>
              <w:rPr>
                <w:rFonts w:hint="default" w:ascii="Times New Roman" w:hAnsi="Times New Roman" w:eastAsia="宋体" w:cs="Times New Roman"/>
                <w:color w:val="auto"/>
                <w:sz w:val="21"/>
                <w:szCs w:val="21"/>
              </w:rPr>
            </w:pPr>
          </w:p>
        </w:tc>
        <w:tc>
          <w:tcPr>
            <w:tcW w:w="473" w:type="pct"/>
            <w:vMerge w:val="continue"/>
            <w:noWrap w:val="0"/>
            <w:vAlign w:val="center"/>
          </w:tcPr>
          <w:p w14:paraId="14AC8AD6">
            <w:pPr>
              <w:pStyle w:val="136"/>
              <w:bidi w:val="0"/>
              <w:jc w:val="center"/>
              <w:rPr>
                <w:rFonts w:hint="default" w:ascii="Times New Roman" w:hAnsi="Times New Roman" w:eastAsia="宋体" w:cs="Times New Roman"/>
                <w:color w:val="auto"/>
                <w:sz w:val="21"/>
                <w:szCs w:val="21"/>
              </w:rPr>
            </w:pPr>
          </w:p>
        </w:tc>
        <w:tc>
          <w:tcPr>
            <w:tcW w:w="508" w:type="pct"/>
            <w:noWrap w:val="0"/>
            <w:vAlign w:val="center"/>
          </w:tcPr>
          <w:p w14:paraId="0EEC4C89">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0.08</w:t>
            </w:r>
          </w:p>
        </w:tc>
      </w:tr>
      <w:tr w14:paraId="614337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8" w:type="pct"/>
            <w:noWrap w:val="0"/>
            <w:vAlign w:val="center"/>
          </w:tcPr>
          <w:p w14:paraId="00DC2AB3">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显影工序</w:t>
            </w:r>
          </w:p>
        </w:tc>
        <w:tc>
          <w:tcPr>
            <w:tcW w:w="416" w:type="pct"/>
            <w:noWrap w:val="0"/>
            <w:vAlign w:val="center"/>
          </w:tcPr>
          <w:p w14:paraId="21D1CBC4">
            <w:pPr>
              <w:pStyle w:val="136"/>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显影废液</w:t>
            </w:r>
          </w:p>
        </w:tc>
        <w:tc>
          <w:tcPr>
            <w:tcW w:w="393" w:type="pct"/>
            <w:vMerge w:val="continue"/>
            <w:noWrap w:val="0"/>
            <w:vAlign w:val="center"/>
          </w:tcPr>
          <w:p w14:paraId="6FCD1DA6">
            <w:pPr>
              <w:pStyle w:val="136"/>
              <w:bidi w:val="0"/>
              <w:jc w:val="center"/>
              <w:rPr>
                <w:rFonts w:hint="default" w:ascii="Times New Roman" w:hAnsi="Times New Roman" w:eastAsia="宋体" w:cs="Times New Roman"/>
                <w:color w:val="auto"/>
                <w:sz w:val="21"/>
                <w:szCs w:val="21"/>
              </w:rPr>
            </w:pPr>
          </w:p>
        </w:tc>
        <w:tc>
          <w:tcPr>
            <w:tcW w:w="356" w:type="pct"/>
            <w:noWrap w:val="0"/>
            <w:vAlign w:val="center"/>
          </w:tcPr>
          <w:p w14:paraId="7DE014D2">
            <w:pPr>
              <w:pStyle w:val="136"/>
              <w:bidi w:val="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液</w:t>
            </w:r>
            <w:r>
              <w:rPr>
                <w:rFonts w:hint="default" w:ascii="Times New Roman" w:hAnsi="Times New Roman" w:eastAsia="宋体" w:cs="Times New Roman"/>
                <w:color w:val="auto"/>
                <w:sz w:val="21"/>
                <w:szCs w:val="21"/>
              </w:rPr>
              <w:t>态</w:t>
            </w:r>
          </w:p>
        </w:tc>
        <w:tc>
          <w:tcPr>
            <w:tcW w:w="487" w:type="pct"/>
            <w:noWrap w:val="0"/>
            <w:vAlign w:val="center"/>
          </w:tcPr>
          <w:p w14:paraId="5AEDB26A">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HW16</w:t>
            </w:r>
          </w:p>
        </w:tc>
        <w:tc>
          <w:tcPr>
            <w:tcW w:w="740" w:type="pct"/>
            <w:noWrap w:val="0"/>
            <w:vAlign w:val="center"/>
          </w:tcPr>
          <w:p w14:paraId="7F7E70DD">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900-019-16</w:t>
            </w:r>
          </w:p>
        </w:tc>
        <w:tc>
          <w:tcPr>
            <w:tcW w:w="397" w:type="pct"/>
            <w:noWrap w:val="0"/>
            <w:vAlign w:val="center"/>
          </w:tcPr>
          <w:p w14:paraId="229E7635">
            <w:pPr>
              <w:pStyle w:val="136"/>
              <w:bidi w:val="0"/>
              <w:ind w:firstLine="0" w:firstLineChars="0"/>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highlight w:val="none"/>
              </w:rPr>
              <w:t>T</w:t>
            </w:r>
          </w:p>
        </w:tc>
        <w:tc>
          <w:tcPr>
            <w:tcW w:w="466" w:type="pct"/>
            <w:noWrap w:val="0"/>
            <w:vAlign w:val="center"/>
          </w:tcPr>
          <w:p w14:paraId="6BBFB75A">
            <w:pPr>
              <w:pStyle w:val="136"/>
              <w:bidi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w:t>
            </w:r>
          </w:p>
        </w:tc>
        <w:tc>
          <w:tcPr>
            <w:tcW w:w="390" w:type="pct"/>
            <w:vMerge w:val="continue"/>
            <w:noWrap w:val="0"/>
            <w:vAlign w:val="center"/>
          </w:tcPr>
          <w:p w14:paraId="79C17A88">
            <w:pPr>
              <w:pStyle w:val="136"/>
              <w:bidi w:val="0"/>
              <w:jc w:val="center"/>
              <w:rPr>
                <w:rFonts w:hint="default" w:ascii="Times New Roman" w:hAnsi="Times New Roman" w:eastAsia="宋体" w:cs="Times New Roman"/>
                <w:color w:val="auto"/>
                <w:sz w:val="21"/>
                <w:szCs w:val="21"/>
              </w:rPr>
            </w:pPr>
          </w:p>
        </w:tc>
        <w:tc>
          <w:tcPr>
            <w:tcW w:w="473" w:type="pct"/>
            <w:vMerge w:val="continue"/>
            <w:noWrap w:val="0"/>
            <w:vAlign w:val="center"/>
          </w:tcPr>
          <w:p w14:paraId="15635D52">
            <w:pPr>
              <w:pStyle w:val="136"/>
              <w:bidi w:val="0"/>
              <w:jc w:val="center"/>
              <w:rPr>
                <w:rFonts w:hint="default" w:ascii="Times New Roman" w:hAnsi="Times New Roman" w:eastAsia="宋体" w:cs="Times New Roman"/>
                <w:color w:val="auto"/>
                <w:sz w:val="21"/>
                <w:szCs w:val="21"/>
              </w:rPr>
            </w:pPr>
          </w:p>
        </w:tc>
        <w:tc>
          <w:tcPr>
            <w:tcW w:w="508" w:type="pct"/>
            <w:noWrap w:val="0"/>
            <w:vAlign w:val="center"/>
          </w:tcPr>
          <w:p w14:paraId="4C70D59E">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0.5</w:t>
            </w:r>
          </w:p>
        </w:tc>
      </w:tr>
      <w:tr w14:paraId="1FA5CC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8" w:type="pct"/>
            <w:noWrap w:val="0"/>
            <w:vAlign w:val="center"/>
          </w:tcPr>
          <w:p w14:paraId="6D4C211C">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蚀刻线蒙砂和化抛工序</w:t>
            </w:r>
          </w:p>
        </w:tc>
        <w:tc>
          <w:tcPr>
            <w:tcW w:w="416" w:type="pct"/>
            <w:noWrap w:val="0"/>
            <w:vAlign w:val="center"/>
          </w:tcPr>
          <w:p w14:paraId="62A2D579">
            <w:pPr>
              <w:pStyle w:val="136"/>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蚀刻线废槽渣</w:t>
            </w:r>
          </w:p>
        </w:tc>
        <w:tc>
          <w:tcPr>
            <w:tcW w:w="393" w:type="pct"/>
            <w:vMerge w:val="continue"/>
            <w:noWrap w:val="0"/>
            <w:vAlign w:val="center"/>
          </w:tcPr>
          <w:p w14:paraId="52545B27">
            <w:pPr>
              <w:pStyle w:val="136"/>
              <w:bidi w:val="0"/>
              <w:jc w:val="center"/>
              <w:rPr>
                <w:rFonts w:hint="default" w:ascii="Times New Roman" w:hAnsi="Times New Roman" w:eastAsia="宋体" w:cs="Times New Roman"/>
                <w:color w:val="auto"/>
                <w:sz w:val="21"/>
                <w:szCs w:val="21"/>
              </w:rPr>
            </w:pPr>
          </w:p>
        </w:tc>
        <w:tc>
          <w:tcPr>
            <w:tcW w:w="356" w:type="pct"/>
            <w:noWrap w:val="0"/>
            <w:vAlign w:val="center"/>
          </w:tcPr>
          <w:p w14:paraId="0FF86CF1">
            <w:pPr>
              <w:pStyle w:val="136"/>
              <w:bidi w:val="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固态</w:t>
            </w:r>
          </w:p>
        </w:tc>
        <w:tc>
          <w:tcPr>
            <w:tcW w:w="487" w:type="pct"/>
            <w:noWrap w:val="0"/>
            <w:vAlign w:val="center"/>
          </w:tcPr>
          <w:p w14:paraId="32AF5D22">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HW49</w:t>
            </w:r>
          </w:p>
        </w:tc>
        <w:tc>
          <w:tcPr>
            <w:tcW w:w="740" w:type="pct"/>
            <w:noWrap w:val="0"/>
            <w:vAlign w:val="center"/>
          </w:tcPr>
          <w:p w14:paraId="69F4A013">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900-047-49</w:t>
            </w:r>
          </w:p>
        </w:tc>
        <w:tc>
          <w:tcPr>
            <w:tcW w:w="397" w:type="pct"/>
            <w:noWrap w:val="0"/>
            <w:vAlign w:val="center"/>
          </w:tcPr>
          <w:p w14:paraId="4EC05138">
            <w:pPr>
              <w:pStyle w:val="136"/>
              <w:bidi w:val="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T/C/I/R</w:t>
            </w:r>
          </w:p>
        </w:tc>
        <w:tc>
          <w:tcPr>
            <w:tcW w:w="466" w:type="pct"/>
            <w:noWrap w:val="0"/>
            <w:vAlign w:val="center"/>
          </w:tcPr>
          <w:p w14:paraId="3A70FE31">
            <w:pPr>
              <w:pStyle w:val="136"/>
              <w:bidi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w:t>
            </w:r>
          </w:p>
        </w:tc>
        <w:tc>
          <w:tcPr>
            <w:tcW w:w="390" w:type="pct"/>
            <w:vMerge w:val="continue"/>
            <w:noWrap w:val="0"/>
            <w:vAlign w:val="center"/>
          </w:tcPr>
          <w:p w14:paraId="20055834">
            <w:pPr>
              <w:pStyle w:val="136"/>
              <w:bidi w:val="0"/>
              <w:jc w:val="center"/>
              <w:rPr>
                <w:rFonts w:hint="default" w:ascii="Times New Roman" w:hAnsi="Times New Roman" w:eastAsia="宋体" w:cs="Times New Roman"/>
                <w:color w:val="auto"/>
                <w:sz w:val="21"/>
                <w:szCs w:val="21"/>
              </w:rPr>
            </w:pPr>
          </w:p>
        </w:tc>
        <w:tc>
          <w:tcPr>
            <w:tcW w:w="473" w:type="pct"/>
            <w:vMerge w:val="continue"/>
            <w:noWrap w:val="0"/>
            <w:vAlign w:val="center"/>
          </w:tcPr>
          <w:p w14:paraId="487F7022">
            <w:pPr>
              <w:pStyle w:val="136"/>
              <w:bidi w:val="0"/>
              <w:jc w:val="center"/>
              <w:rPr>
                <w:rFonts w:hint="default" w:ascii="Times New Roman" w:hAnsi="Times New Roman" w:eastAsia="宋体" w:cs="Times New Roman"/>
                <w:color w:val="auto"/>
                <w:sz w:val="21"/>
                <w:szCs w:val="21"/>
              </w:rPr>
            </w:pPr>
          </w:p>
        </w:tc>
        <w:tc>
          <w:tcPr>
            <w:tcW w:w="508" w:type="pct"/>
            <w:noWrap w:val="0"/>
            <w:vAlign w:val="center"/>
          </w:tcPr>
          <w:p w14:paraId="48009F30">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0.05</w:t>
            </w:r>
          </w:p>
        </w:tc>
      </w:tr>
      <w:tr w14:paraId="1B5686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8" w:type="pct"/>
            <w:noWrap w:val="0"/>
            <w:vAlign w:val="center"/>
          </w:tcPr>
          <w:p w14:paraId="42449FC2">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开包</w:t>
            </w:r>
          </w:p>
        </w:tc>
        <w:tc>
          <w:tcPr>
            <w:tcW w:w="416" w:type="pct"/>
            <w:noWrap w:val="0"/>
            <w:vAlign w:val="center"/>
          </w:tcPr>
          <w:p w14:paraId="0B0F3CF7">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化学品包装物</w:t>
            </w:r>
          </w:p>
        </w:tc>
        <w:tc>
          <w:tcPr>
            <w:tcW w:w="393" w:type="pct"/>
            <w:vMerge w:val="continue"/>
            <w:noWrap w:val="0"/>
            <w:vAlign w:val="center"/>
          </w:tcPr>
          <w:p w14:paraId="1DEDA1BC">
            <w:pPr>
              <w:pStyle w:val="136"/>
              <w:bidi w:val="0"/>
              <w:jc w:val="center"/>
              <w:rPr>
                <w:rFonts w:hint="default" w:ascii="Times New Roman" w:hAnsi="Times New Roman" w:eastAsia="宋体" w:cs="Times New Roman"/>
                <w:color w:val="auto"/>
                <w:sz w:val="21"/>
                <w:szCs w:val="21"/>
              </w:rPr>
            </w:pPr>
          </w:p>
        </w:tc>
        <w:tc>
          <w:tcPr>
            <w:tcW w:w="356" w:type="pct"/>
            <w:noWrap w:val="0"/>
            <w:vAlign w:val="center"/>
          </w:tcPr>
          <w:p w14:paraId="3522DF27">
            <w:pPr>
              <w:pStyle w:val="136"/>
              <w:bidi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487" w:type="pct"/>
            <w:noWrap w:val="0"/>
            <w:vAlign w:val="center"/>
          </w:tcPr>
          <w:p w14:paraId="3A66B154">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HW49</w:t>
            </w:r>
          </w:p>
        </w:tc>
        <w:tc>
          <w:tcPr>
            <w:tcW w:w="740" w:type="pct"/>
            <w:noWrap w:val="0"/>
            <w:vAlign w:val="center"/>
          </w:tcPr>
          <w:p w14:paraId="3FBB5CE0">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900-041-49</w:t>
            </w:r>
          </w:p>
        </w:tc>
        <w:tc>
          <w:tcPr>
            <w:tcW w:w="397" w:type="pct"/>
            <w:noWrap w:val="0"/>
            <w:vAlign w:val="center"/>
          </w:tcPr>
          <w:p w14:paraId="6D91ACFF">
            <w:pPr>
              <w:pStyle w:val="136"/>
              <w:bidi w:val="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T/In</w:t>
            </w:r>
          </w:p>
        </w:tc>
        <w:tc>
          <w:tcPr>
            <w:tcW w:w="466" w:type="pct"/>
            <w:noWrap w:val="0"/>
            <w:vAlign w:val="center"/>
          </w:tcPr>
          <w:p w14:paraId="1D3C9FE5">
            <w:pPr>
              <w:pStyle w:val="136"/>
              <w:bidi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390" w:type="pct"/>
            <w:vMerge w:val="continue"/>
            <w:noWrap w:val="0"/>
            <w:vAlign w:val="center"/>
          </w:tcPr>
          <w:p w14:paraId="67BB600B">
            <w:pPr>
              <w:pStyle w:val="136"/>
              <w:bidi w:val="0"/>
              <w:jc w:val="center"/>
              <w:rPr>
                <w:rFonts w:hint="default" w:ascii="Times New Roman" w:hAnsi="Times New Roman" w:eastAsia="宋体" w:cs="Times New Roman"/>
                <w:color w:val="auto"/>
                <w:sz w:val="21"/>
                <w:szCs w:val="21"/>
              </w:rPr>
            </w:pPr>
          </w:p>
        </w:tc>
        <w:tc>
          <w:tcPr>
            <w:tcW w:w="473" w:type="pct"/>
            <w:vMerge w:val="continue"/>
            <w:noWrap w:val="0"/>
            <w:vAlign w:val="center"/>
          </w:tcPr>
          <w:p w14:paraId="00ABF64D">
            <w:pPr>
              <w:pStyle w:val="136"/>
              <w:bidi w:val="0"/>
              <w:jc w:val="center"/>
              <w:rPr>
                <w:rFonts w:hint="default" w:ascii="Times New Roman" w:hAnsi="Times New Roman" w:eastAsia="宋体" w:cs="Times New Roman"/>
                <w:color w:val="auto"/>
                <w:sz w:val="21"/>
                <w:szCs w:val="21"/>
              </w:rPr>
            </w:pPr>
          </w:p>
        </w:tc>
        <w:tc>
          <w:tcPr>
            <w:tcW w:w="508" w:type="pct"/>
            <w:noWrap w:val="0"/>
            <w:vAlign w:val="center"/>
          </w:tcPr>
          <w:p w14:paraId="7596080B">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4</w:t>
            </w:r>
          </w:p>
        </w:tc>
      </w:tr>
      <w:tr w14:paraId="0B831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8" w:type="pct"/>
            <w:noWrap w:val="0"/>
            <w:vAlign w:val="center"/>
          </w:tcPr>
          <w:p w14:paraId="11C577D4">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退油工序</w:t>
            </w:r>
          </w:p>
        </w:tc>
        <w:tc>
          <w:tcPr>
            <w:tcW w:w="416" w:type="pct"/>
            <w:noWrap w:val="0"/>
            <w:vAlign w:val="center"/>
          </w:tcPr>
          <w:p w14:paraId="0A267BC9">
            <w:pPr>
              <w:pStyle w:val="136"/>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退油槽废碱性槽液</w:t>
            </w:r>
          </w:p>
        </w:tc>
        <w:tc>
          <w:tcPr>
            <w:tcW w:w="393" w:type="pct"/>
            <w:vMerge w:val="continue"/>
            <w:noWrap w:val="0"/>
            <w:vAlign w:val="center"/>
          </w:tcPr>
          <w:p w14:paraId="2DC577C3">
            <w:pPr>
              <w:pStyle w:val="136"/>
              <w:bidi w:val="0"/>
              <w:jc w:val="center"/>
              <w:rPr>
                <w:rFonts w:hint="default" w:ascii="Times New Roman" w:hAnsi="Times New Roman" w:eastAsia="宋体" w:cs="Times New Roman"/>
                <w:color w:val="auto"/>
                <w:sz w:val="21"/>
                <w:szCs w:val="21"/>
              </w:rPr>
            </w:pPr>
          </w:p>
        </w:tc>
        <w:tc>
          <w:tcPr>
            <w:tcW w:w="356" w:type="pct"/>
            <w:noWrap w:val="0"/>
            <w:vAlign w:val="center"/>
          </w:tcPr>
          <w:p w14:paraId="296D89BD">
            <w:pPr>
              <w:pStyle w:val="136"/>
              <w:bidi w:val="0"/>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液</w:t>
            </w:r>
            <w:r>
              <w:rPr>
                <w:rFonts w:hint="default" w:ascii="Times New Roman" w:hAnsi="Times New Roman" w:eastAsia="宋体" w:cs="Times New Roman"/>
                <w:color w:val="auto"/>
                <w:sz w:val="21"/>
                <w:szCs w:val="21"/>
              </w:rPr>
              <w:t>态</w:t>
            </w:r>
          </w:p>
        </w:tc>
        <w:tc>
          <w:tcPr>
            <w:tcW w:w="487" w:type="pct"/>
            <w:noWrap w:val="0"/>
            <w:vAlign w:val="center"/>
          </w:tcPr>
          <w:p w14:paraId="30C5147C">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HW49</w:t>
            </w:r>
          </w:p>
        </w:tc>
        <w:tc>
          <w:tcPr>
            <w:tcW w:w="740" w:type="pct"/>
            <w:noWrap w:val="0"/>
            <w:vAlign w:val="center"/>
          </w:tcPr>
          <w:p w14:paraId="11E96203">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900-047-49</w:t>
            </w:r>
          </w:p>
        </w:tc>
        <w:tc>
          <w:tcPr>
            <w:tcW w:w="397" w:type="pct"/>
            <w:noWrap w:val="0"/>
            <w:vAlign w:val="center"/>
          </w:tcPr>
          <w:p w14:paraId="3507F808">
            <w:pPr>
              <w:pStyle w:val="136"/>
              <w:bidi w:val="0"/>
              <w:ind w:firstLine="0" w:firstLineChars="0"/>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highlight w:val="none"/>
              </w:rPr>
              <w:t>T/C/I/R</w:t>
            </w:r>
          </w:p>
        </w:tc>
        <w:tc>
          <w:tcPr>
            <w:tcW w:w="466" w:type="pct"/>
            <w:noWrap w:val="0"/>
            <w:vAlign w:val="center"/>
          </w:tcPr>
          <w:p w14:paraId="6A6FDBED">
            <w:pPr>
              <w:pStyle w:val="136"/>
              <w:bidi w:val="0"/>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390" w:type="pct"/>
            <w:vMerge w:val="continue"/>
            <w:noWrap w:val="0"/>
            <w:vAlign w:val="center"/>
          </w:tcPr>
          <w:p w14:paraId="047C2FFF">
            <w:pPr>
              <w:pStyle w:val="136"/>
              <w:bidi w:val="0"/>
              <w:jc w:val="center"/>
              <w:rPr>
                <w:rFonts w:hint="default" w:ascii="Times New Roman" w:hAnsi="Times New Roman" w:eastAsia="宋体" w:cs="Times New Roman"/>
                <w:color w:val="auto"/>
                <w:sz w:val="21"/>
                <w:szCs w:val="21"/>
              </w:rPr>
            </w:pPr>
          </w:p>
        </w:tc>
        <w:tc>
          <w:tcPr>
            <w:tcW w:w="473" w:type="pct"/>
            <w:vMerge w:val="continue"/>
            <w:noWrap w:val="0"/>
            <w:vAlign w:val="center"/>
          </w:tcPr>
          <w:p w14:paraId="0C5B142D">
            <w:pPr>
              <w:pStyle w:val="136"/>
              <w:bidi w:val="0"/>
              <w:jc w:val="center"/>
              <w:rPr>
                <w:rFonts w:hint="default" w:ascii="Times New Roman" w:hAnsi="Times New Roman" w:eastAsia="宋体" w:cs="Times New Roman"/>
                <w:color w:val="auto"/>
                <w:sz w:val="21"/>
                <w:szCs w:val="21"/>
              </w:rPr>
            </w:pPr>
          </w:p>
        </w:tc>
        <w:tc>
          <w:tcPr>
            <w:tcW w:w="508" w:type="pct"/>
            <w:noWrap w:val="0"/>
            <w:vAlign w:val="center"/>
          </w:tcPr>
          <w:p w14:paraId="2ECAAED5">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5</w:t>
            </w:r>
          </w:p>
        </w:tc>
      </w:tr>
      <w:tr w14:paraId="7CA850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8" w:type="pct"/>
            <w:noWrap w:val="0"/>
            <w:vAlign w:val="center"/>
          </w:tcPr>
          <w:p w14:paraId="25CC55E2">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有机废气处理</w:t>
            </w:r>
          </w:p>
        </w:tc>
        <w:tc>
          <w:tcPr>
            <w:tcW w:w="416" w:type="pct"/>
            <w:noWrap w:val="0"/>
            <w:vAlign w:val="center"/>
          </w:tcPr>
          <w:p w14:paraId="6659A7C0">
            <w:pPr>
              <w:pStyle w:val="136"/>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废活性炭</w:t>
            </w:r>
          </w:p>
        </w:tc>
        <w:tc>
          <w:tcPr>
            <w:tcW w:w="393" w:type="pct"/>
            <w:vMerge w:val="continue"/>
            <w:noWrap w:val="0"/>
            <w:vAlign w:val="center"/>
          </w:tcPr>
          <w:p w14:paraId="6FB344C7">
            <w:pPr>
              <w:pStyle w:val="136"/>
              <w:bidi w:val="0"/>
              <w:jc w:val="center"/>
              <w:rPr>
                <w:rFonts w:hint="default" w:ascii="Times New Roman" w:hAnsi="Times New Roman" w:eastAsia="宋体" w:cs="Times New Roman"/>
                <w:color w:val="auto"/>
                <w:sz w:val="21"/>
                <w:szCs w:val="21"/>
              </w:rPr>
            </w:pPr>
          </w:p>
        </w:tc>
        <w:tc>
          <w:tcPr>
            <w:tcW w:w="356" w:type="pct"/>
            <w:noWrap w:val="0"/>
            <w:vAlign w:val="center"/>
          </w:tcPr>
          <w:p w14:paraId="61123450">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rPr>
              <w:t>固态</w:t>
            </w:r>
          </w:p>
        </w:tc>
        <w:tc>
          <w:tcPr>
            <w:tcW w:w="487" w:type="pct"/>
            <w:noWrap w:val="0"/>
            <w:vAlign w:val="center"/>
          </w:tcPr>
          <w:p w14:paraId="647DAF87">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HW49</w:t>
            </w:r>
          </w:p>
        </w:tc>
        <w:tc>
          <w:tcPr>
            <w:tcW w:w="740" w:type="pct"/>
            <w:noWrap w:val="0"/>
            <w:vAlign w:val="center"/>
          </w:tcPr>
          <w:p w14:paraId="03990B02">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900-041-49</w:t>
            </w:r>
          </w:p>
        </w:tc>
        <w:tc>
          <w:tcPr>
            <w:tcW w:w="397" w:type="pct"/>
            <w:noWrap w:val="0"/>
            <w:vAlign w:val="center"/>
          </w:tcPr>
          <w:p w14:paraId="7EDCB6E7">
            <w:pPr>
              <w:pStyle w:val="136"/>
              <w:bidi w:val="0"/>
              <w:ind w:firstLine="0" w:firstLineChars="0"/>
              <w:jc w:val="center"/>
              <w:rPr>
                <w:rFonts w:hint="default" w:ascii="Times New Roman" w:hAnsi="Times New Roman" w:eastAsia="宋体" w:cs="Times New Roman"/>
                <w:bCs/>
                <w:color w:val="auto"/>
                <w:kern w:val="0"/>
                <w:sz w:val="21"/>
                <w:szCs w:val="21"/>
                <w:highlight w:val="yellow"/>
                <w:lang w:val="en-US" w:eastAsia="zh-CN" w:bidi="ar-SA"/>
              </w:rPr>
            </w:pPr>
            <w:r>
              <w:rPr>
                <w:rFonts w:hint="default" w:ascii="Times New Roman" w:hAnsi="Times New Roman" w:eastAsia="宋体" w:cs="Times New Roman"/>
                <w:color w:val="auto"/>
                <w:sz w:val="21"/>
                <w:szCs w:val="21"/>
                <w:highlight w:val="none"/>
              </w:rPr>
              <w:t>T/In</w:t>
            </w:r>
          </w:p>
        </w:tc>
        <w:tc>
          <w:tcPr>
            <w:tcW w:w="466" w:type="pct"/>
            <w:noWrap w:val="0"/>
            <w:vAlign w:val="center"/>
          </w:tcPr>
          <w:p w14:paraId="778AA0E6">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bidi="ar-SA"/>
              </w:rPr>
              <w:t>13.71</w:t>
            </w:r>
          </w:p>
        </w:tc>
        <w:tc>
          <w:tcPr>
            <w:tcW w:w="390" w:type="pct"/>
            <w:vMerge w:val="continue"/>
            <w:noWrap w:val="0"/>
            <w:vAlign w:val="center"/>
          </w:tcPr>
          <w:p w14:paraId="7EC6FB9D">
            <w:pPr>
              <w:pStyle w:val="136"/>
              <w:bidi w:val="0"/>
              <w:jc w:val="center"/>
              <w:rPr>
                <w:rFonts w:hint="default" w:ascii="Times New Roman" w:hAnsi="Times New Roman" w:eastAsia="宋体" w:cs="Times New Roman"/>
                <w:color w:val="auto"/>
                <w:sz w:val="21"/>
                <w:szCs w:val="21"/>
              </w:rPr>
            </w:pPr>
          </w:p>
        </w:tc>
        <w:tc>
          <w:tcPr>
            <w:tcW w:w="473" w:type="pct"/>
            <w:vMerge w:val="continue"/>
            <w:noWrap w:val="0"/>
            <w:vAlign w:val="center"/>
          </w:tcPr>
          <w:p w14:paraId="68B11F46">
            <w:pPr>
              <w:pStyle w:val="136"/>
              <w:bidi w:val="0"/>
              <w:jc w:val="center"/>
              <w:rPr>
                <w:rFonts w:hint="default" w:ascii="Times New Roman" w:hAnsi="Times New Roman" w:eastAsia="宋体" w:cs="Times New Roman"/>
                <w:color w:val="auto"/>
                <w:sz w:val="21"/>
                <w:szCs w:val="21"/>
              </w:rPr>
            </w:pPr>
          </w:p>
        </w:tc>
        <w:tc>
          <w:tcPr>
            <w:tcW w:w="508" w:type="pct"/>
            <w:noWrap w:val="0"/>
            <w:vAlign w:val="center"/>
          </w:tcPr>
          <w:p w14:paraId="612E48DE">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bidi="ar-SA"/>
              </w:rPr>
              <w:t>13.71</w:t>
            </w:r>
          </w:p>
        </w:tc>
      </w:tr>
      <w:tr w14:paraId="2D89F2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8" w:type="pct"/>
            <w:shd w:val="clear" w:color="auto" w:fill="auto"/>
            <w:noWrap w:val="0"/>
            <w:vAlign w:val="center"/>
          </w:tcPr>
          <w:p w14:paraId="120CAE1C">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AG</w:t>
            </w:r>
            <w:r>
              <w:rPr>
                <w:rFonts w:hint="default" w:ascii="Times New Roman" w:hAnsi="Times New Roman" w:eastAsia="宋体" w:cs="Times New Roman"/>
                <w:color w:val="auto"/>
                <w:sz w:val="21"/>
                <w:szCs w:val="21"/>
                <w:lang w:val="en-US" w:eastAsia="zh-CN"/>
              </w:rPr>
              <w:t>蚀刻</w:t>
            </w:r>
          </w:p>
        </w:tc>
        <w:tc>
          <w:tcPr>
            <w:tcW w:w="416" w:type="pct"/>
            <w:shd w:val="clear" w:color="auto" w:fill="auto"/>
            <w:noWrap w:val="0"/>
            <w:vAlign w:val="center"/>
          </w:tcPr>
          <w:p w14:paraId="6CA3A81C">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化抛蚀刻槽液废液、蒙砂废液</w:t>
            </w:r>
          </w:p>
        </w:tc>
        <w:tc>
          <w:tcPr>
            <w:tcW w:w="393" w:type="pct"/>
            <w:vMerge w:val="continue"/>
            <w:shd w:val="clear" w:color="auto" w:fill="auto"/>
            <w:noWrap w:val="0"/>
            <w:vAlign w:val="center"/>
          </w:tcPr>
          <w:p w14:paraId="4B1FA575">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p>
        </w:tc>
        <w:tc>
          <w:tcPr>
            <w:tcW w:w="356" w:type="pct"/>
            <w:shd w:val="clear" w:color="auto" w:fill="auto"/>
            <w:noWrap w:val="0"/>
            <w:vAlign w:val="center"/>
          </w:tcPr>
          <w:p w14:paraId="512DD983">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液</w:t>
            </w:r>
            <w:r>
              <w:rPr>
                <w:rFonts w:hint="default" w:ascii="Times New Roman" w:hAnsi="Times New Roman" w:eastAsia="宋体" w:cs="Times New Roman"/>
                <w:color w:val="auto"/>
                <w:sz w:val="21"/>
                <w:szCs w:val="21"/>
              </w:rPr>
              <w:t>态</w:t>
            </w:r>
          </w:p>
        </w:tc>
        <w:tc>
          <w:tcPr>
            <w:tcW w:w="487" w:type="pct"/>
            <w:shd w:val="clear" w:color="auto" w:fill="auto"/>
            <w:noWrap w:val="0"/>
            <w:vAlign w:val="center"/>
          </w:tcPr>
          <w:p w14:paraId="2AB098C8">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color w:val="auto"/>
                <w:sz w:val="21"/>
                <w:szCs w:val="21"/>
                <w:lang w:val="en-US" w:eastAsia="zh-CN"/>
              </w:rPr>
              <w:t>HW32</w:t>
            </w:r>
          </w:p>
        </w:tc>
        <w:tc>
          <w:tcPr>
            <w:tcW w:w="740" w:type="pct"/>
            <w:shd w:val="clear" w:color="auto" w:fill="auto"/>
            <w:noWrap w:val="0"/>
            <w:vAlign w:val="center"/>
          </w:tcPr>
          <w:p w14:paraId="55819F91">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900-026-32</w:t>
            </w:r>
          </w:p>
        </w:tc>
        <w:tc>
          <w:tcPr>
            <w:tcW w:w="397" w:type="pct"/>
            <w:shd w:val="clear" w:color="auto" w:fill="auto"/>
            <w:noWrap w:val="0"/>
            <w:vAlign w:val="center"/>
          </w:tcPr>
          <w:p w14:paraId="489CF539">
            <w:pPr>
              <w:pStyle w:val="136"/>
              <w:bidi w:val="0"/>
              <w:ind w:firstLine="0" w:firstLineChars="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T，C</w:t>
            </w:r>
          </w:p>
        </w:tc>
        <w:tc>
          <w:tcPr>
            <w:tcW w:w="466" w:type="pct"/>
            <w:shd w:val="clear" w:color="auto" w:fill="auto"/>
            <w:noWrap w:val="0"/>
            <w:vAlign w:val="center"/>
          </w:tcPr>
          <w:p w14:paraId="28F45986">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color w:val="auto"/>
                <w:sz w:val="21"/>
                <w:szCs w:val="21"/>
                <w:lang w:val="en-US" w:eastAsia="zh-CN"/>
              </w:rPr>
              <w:t>98</w:t>
            </w:r>
          </w:p>
        </w:tc>
        <w:tc>
          <w:tcPr>
            <w:tcW w:w="390" w:type="pct"/>
            <w:noWrap w:val="0"/>
            <w:vAlign w:val="center"/>
          </w:tcPr>
          <w:p w14:paraId="2C0424DB">
            <w:pPr>
              <w:pStyle w:val="136"/>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密闭防渗储罐收集，暂存于污水处理站</w:t>
            </w:r>
          </w:p>
        </w:tc>
        <w:tc>
          <w:tcPr>
            <w:tcW w:w="473" w:type="pct"/>
            <w:vMerge w:val="continue"/>
            <w:noWrap w:val="0"/>
            <w:vAlign w:val="center"/>
          </w:tcPr>
          <w:p w14:paraId="4113B996">
            <w:pPr>
              <w:pStyle w:val="136"/>
              <w:bidi w:val="0"/>
              <w:jc w:val="center"/>
              <w:rPr>
                <w:rFonts w:hint="default" w:ascii="Times New Roman" w:hAnsi="Times New Roman" w:eastAsia="宋体" w:cs="Times New Roman"/>
                <w:color w:val="auto"/>
                <w:sz w:val="21"/>
                <w:szCs w:val="21"/>
              </w:rPr>
            </w:pPr>
          </w:p>
        </w:tc>
        <w:tc>
          <w:tcPr>
            <w:tcW w:w="508" w:type="pct"/>
            <w:noWrap w:val="0"/>
            <w:vAlign w:val="center"/>
          </w:tcPr>
          <w:p w14:paraId="39ADF0FC">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color w:val="auto"/>
                <w:sz w:val="21"/>
                <w:szCs w:val="21"/>
                <w:lang w:val="en-US" w:eastAsia="zh-CN"/>
              </w:rPr>
              <w:t>98</w:t>
            </w:r>
          </w:p>
        </w:tc>
      </w:tr>
      <w:tr w14:paraId="6CFD61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8" w:type="pct"/>
            <w:noWrap w:val="0"/>
            <w:vAlign w:val="center"/>
          </w:tcPr>
          <w:p w14:paraId="66882E21">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员工生活办公</w:t>
            </w:r>
          </w:p>
        </w:tc>
        <w:tc>
          <w:tcPr>
            <w:tcW w:w="416" w:type="pct"/>
            <w:noWrap w:val="0"/>
            <w:vAlign w:val="center"/>
          </w:tcPr>
          <w:p w14:paraId="734973A0">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w:t>
            </w:r>
          </w:p>
        </w:tc>
        <w:tc>
          <w:tcPr>
            <w:tcW w:w="393" w:type="pct"/>
            <w:noWrap w:val="0"/>
            <w:vAlign w:val="center"/>
          </w:tcPr>
          <w:p w14:paraId="6A2D731E">
            <w:pPr>
              <w:pStyle w:val="136"/>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生活垃圾</w:t>
            </w:r>
          </w:p>
        </w:tc>
        <w:tc>
          <w:tcPr>
            <w:tcW w:w="356" w:type="pct"/>
            <w:noWrap w:val="0"/>
            <w:vAlign w:val="center"/>
          </w:tcPr>
          <w:p w14:paraId="4309F969">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487" w:type="pct"/>
            <w:noWrap w:val="0"/>
            <w:vAlign w:val="center"/>
          </w:tcPr>
          <w:p w14:paraId="3758C96A">
            <w:pPr>
              <w:pStyle w:val="136"/>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40" w:type="pct"/>
            <w:noWrap w:val="0"/>
            <w:vAlign w:val="center"/>
          </w:tcPr>
          <w:p w14:paraId="26D353B3">
            <w:pPr>
              <w:pStyle w:val="136"/>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97" w:type="pct"/>
            <w:noWrap w:val="0"/>
            <w:vAlign w:val="center"/>
          </w:tcPr>
          <w:p w14:paraId="1A5F52AB">
            <w:pPr>
              <w:pStyle w:val="136"/>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66" w:type="pct"/>
            <w:noWrap w:val="0"/>
            <w:vAlign w:val="center"/>
          </w:tcPr>
          <w:p w14:paraId="6657E726">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390" w:type="pct"/>
            <w:noWrap w:val="0"/>
            <w:vAlign w:val="center"/>
          </w:tcPr>
          <w:p w14:paraId="1DD07903">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垃圾收集箱暂存</w:t>
            </w:r>
          </w:p>
        </w:tc>
        <w:tc>
          <w:tcPr>
            <w:tcW w:w="473" w:type="pct"/>
            <w:noWrap w:val="0"/>
            <w:vAlign w:val="center"/>
          </w:tcPr>
          <w:p w14:paraId="1C389BBA">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环卫部门处置</w:t>
            </w:r>
          </w:p>
        </w:tc>
        <w:tc>
          <w:tcPr>
            <w:tcW w:w="508" w:type="pct"/>
            <w:noWrap w:val="0"/>
            <w:vAlign w:val="center"/>
          </w:tcPr>
          <w:p w14:paraId="56CD3279">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r>
    </w:tbl>
    <w:p w14:paraId="74D780BB">
      <w:pPr>
        <w:pStyle w:val="135"/>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pacing w:val="6"/>
          <w:sz w:val="24"/>
          <w:szCs w:val="24"/>
        </w:rPr>
        <w:t>表</w:t>
      </w:r>
      <w:r>
        <w:rPr>
          <w:rFonts w:hint="default" w:ascii="Times New Roman" w:hAnsi="Times New Roman" w:eastAsia="宋体" w:cs="Times New Roman"/>
          <w:color w:val="auto"/>
          <w:spacing w:val="-40"/>
          <w:sz w:val="24"/>
          <w:szCs w:val="24"/>
        </w:rPr>
        <w:t xml:space="preserve"> </w:t>
      </w:r>
      <w:r>
        <w:rPr>
          <w:rFonts w:hint="eastAsia" w:ascii="Times New Roman" w:hAnsi="Times New Roman" w:cs="Times New Roman"/>
          <w:b/>
          <w:bCs/>
          <w:color w:val="auto"/>
          <w:spacing w:val="6"/>
          <w:sz w:val="24"/>
          <w:szCs w:val="24"/>
          <w:lang w:val="en-US" w:eastAsia="zh-CN"/>
        </w:rPr>
        <w:t>4-</w:t>
      </w:r>
      <w:r>
        <w:rPr>
          <w:rFonts w:hint="default" w:ascii="Times New Roman" w:hAnsi="Times New Roman" w:eastAsia="宋体" w:cs="Times New Roman"/>
          <w:b/>
          <w:bCs/>
          <w:color w:val="auto"/>
          <w:spacing w:val="6"/>
          <w:sz w:val="24"/>
          <w:szCs w:val="24"/>
          <w:lang w:val="en-US" w:eastAsia="zh-CN"/>
        </w:rPr>
        <w:t>2</w:t>
      </w:r>
      <w:r>
        <w:rPr>
          <w:rFonts w:hint="eastAsia" w:ascii="Times New Roman" w:hAnsi="Times New Roman" w:cs="Times New Roman"/>
          <w:b/>
          <w:bCs/>
          <w:color w:val="auto"/>
          <w:spacing w:val="6"/>
          <w:sz w:val="24"/>
          <w:szCs w:val="24"/>
          <w:lang w:val="en-US" w:eastAsia="zh-CN"/>
        </w:rPr>
        <w:t xml:space="preserve"> </w:t>
      </w:r>
      <w:r>
        <w:rPr>
          <w:rFonts w:hint="default" w:ascii="Times New Roman" w:hAnsi="Times New Roman" w:eastAsia="宋体" w:cs="Times New Roman"/>
          <w:b/>
          <w:bCs/>
          <w:color w:val="auto"/>
          <w:spacing w:val="6"/>
          <w:sz w:val="24"/>
          <w:szCs w:val="24"/>
        </w:rPr>
        <w:t>危险废物产生量及处置</w:t>
      </w:r>
      <w:r>
        <w:rPr>
          <w:rFonts w:hint="default" w:ascii="Times New Roman" w:hAnsi="Times New Roman" w:eastAsia="宋体" w:cs="Times New Roman"/>
          <w:b/>
          <w:bCs/>
          <w:color w:val="auto"/>
          <w:spacing w:val="5"/>
          <w:sz w:val="24"/>
          <w:szCs w:val="24"/>
        </w:rPr>
        <w:t>情况</w:t>
      </w:r>
    </w:p>
    <w:tbl>
      <w:tblPr>
        <w:tblStyle w:val="119"/>
        <w:tblW w:w="9152" w:type="dxa"/>
        <w:tblInd w:w="-123" w:type="dxa"/>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0" w:type="dxa"/>
          <w:bottom w:w="0" w:type="dxa"/>
          <w:right w:w="0" w:type="dxa"/>
        </w:tblCellMar>
      </w:tblPr>
      <w:tblGrid>
        <w:gridCol w:w="486"/>
        <w:gridCol w:w="814"/>
        <w:gridCol w:w="837"/>
        <w:gridCol w:w="1263"/>
        <w:gridCol w:w="737"/>
        <w:gridCol w:w="809"/>
        <w:gridCol w:w="641"/>
        <w:gridCol w:w="1275"/>
        <w:gridCol w:w="638"/>
        <w:gridCol w:w="733"/>
        <w:gridCol w:w="919"/>
      </w:tblGrid>
      <w:tr w14:paraId="6D969469">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850" w:hRule="atLeast"/>
          <w:tblHeader/>
        </w:trPr>
        <w:tc>
          <w:tcPr>
            <w:tcW w:w="486" w:type="dxa"/>
            <w:noWrap w:val="0"/>
            <w:vAlign w:val="center"/>
          </w:tcPr>
          <w:p w14:paraId="780A8716">
            <w:pPr>
              <w:pStyle w:val="136"/>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814" w:type="dxa"/>
            <w:noWrap w:val="0"/>
            <w:vAlign w:val="center"/>
          </w:tcPr>
          <w:p w14:paraId="1299725D">
            <w:pPr>
              <w:pStyle w:val="136"/>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w:t>
            </w:r>
          </w:p>
        </w:tc>
        <w:tc>
          <w:tcPr>
            <w:tcW w:w="837" w:type="dxa"/>
            <w:noWrap w:val="0"/>
            <w:vAlign w:val="center"/>
          </w:tcPr>
          <w:p w14:paraId="3770A025">
            <w:pPr>
              <w:pStyle w:val="136"/>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危险废物类别</w:t>
            </w:r>
          </w:p>
        </w:tc>
        <w:tc>
          <w:tcPr>
            <w:tcW w:w="1263" w:type="dxa"/>
            <w:noWrap w:val="0"/>
            <w:vAlign w:val="center"/>
          </w:tcPr>
          <w:p w14:paraId="09ED700B">
            <w:pPr>
              <w:pStyle w:val="136"/>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危险废物代码</w:t>
            </w:r>
          </w:p>
        </w:tc>
        <w:tc>
          <w:tcPr>
            <w:tcW w:w="737" w:type="dxa"/>
            <w:noWrap w:val="0"/>
            <w:vAlign w:val="center"/>
          </w:tcPr>
          <w:p w14:paraId="30323EAB">
            <w:pPr>
              <w:pStyle w:val="136"/>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产生量t/a</w:t>
            </w:r>
          </w:p>
        </w:tc>
        <w:tc>
          <w:tcPr>
            <w:tcW w:w="809" w:type="dxa"/>
            <w:noWrap w:val="0"/>
            <w:vAlign w:val="center"/>
          </w:tcPr>
          <w:p w14:paraId="69EAD41B">
            <w:pPr>
              <w:pStyle w:val="136"/>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产生工序</w:t>
            </w:r>
          </w:p>
        </w:tc>
        <w:tc>
          <w:tcPr>
            <w:tcW w:w="641" w:type="dxa"/>
            <w:noWrap w:val="0"/>
            <w:vAlign w:val="center"/>
          </w:tcPr>
          <w:p w14:paraId="7D970317">
            <w:pPr>
              <w:pStyle w:val="136"/>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形态</w:t>
            </w:r>
          </w:p>
        </w:tc>
        <w:tc>
          <w:tcPr>
            <w:tcW w:w="1275" w:type="dxa"/>
            <w:noWrap w:val="0"/>
            <w:vAlign w:val="center"/>
          </w:tcPr>
          <w:p w14:paraId="3B3AF09A">
            <w:pPr>
              <w:pStyle w:val="136"/>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主要成分</w:t>
            </w:r>
          </w:p>
        </w:tc>
        <w:tc>
          <w:tcPr>
            <w:tcW w:w="638" w:type="dxa"/>
            <w:noWrap w:val="0"/>
            <w:vAlign w:val="center"/>
          </w:tcPr>
          <w:p w14:paraId="059AFFB8">
            <w:pPr>
              <w:pStyle w:val="136"/>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产废周期</w:t>
            </w:r>
          </w:p>
        </w:tc>
        <w:tc>
          <w:tcPr>
            <w:tcW w:w="733" w:type="dxa"/>
            <w:noWrap w:val="0"/>
            <w:vAlign w:val="center"/>
          </w:tcPr>
          <w:p w14:paraId="5AFEDC46">
            <w:pPr>
              <w:pStyle w:val="136"/>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危险特性</w:t>
            </w:r>
          </w:p>
        </w:tc>
        <w:tc>
          <w:tcPr>
            <w:tcW w:w="919" w:type="dxa"/>
            <w:noWrap w:val="0"/>
            <w:vAlign w:val="center"/>
          </w:tcPr>
          <w:p w14:paraId="16109609">
            <w:pPr>
              <w:pStyle w:val="136"/>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污染防治措施</w:t>
            </w:r>
          </w:p>
        </w:tc>
      </w:tr>
      <w:tr w14:paraId="47B4FA68">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486" w:type="dxa"/>
            <w:noWrap w:val="0"/>
            <w:vAlign w:val="center"/>
          </w:tcPr>
          <w:p w14:paraId="6FAF1093">
            <w:pPr>
              <w:pStyle w:val="136"/>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814" w:type="dxa"/>
            <w:noWrap w:val="0"/>
            <w:vAlign w:val="center"/>
          </w:tcPr>
          <w:p w14:paraId="16C416BB">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废保护油墨桶</w:t>
            </w:r>
          </w:p>
        </w:tc>
        <w:tc>
          <w:tcPr>
            <w:tcW w:w="837" w:type="dxa"/>
            <w:noWrap w:val="0"/>
            <w:vAlign w:val="center"/>
          </w:tcPr>
          <w:p w14:paraId="28EEE2FA">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HW12</w:t>
            </w:r>
          </w:p>
        </w:tc>
        <w:tc>
          <w:tcPr>
            <w:tcW w:w="1263" w:type="dxa"/>
            <w:noWrap w:val="0"/>
            <w:vAlign w:val="center"/>
          </w:tcPr>
          <w:p w14:paraId="1E886B30">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900-253-12</w:t>
            </w:r>
          </w:p>
        </w:tc>
        <w:tc>
          <w:tcPr>
            <w:tcW w:w="737" w:type="dxa"/>
            <w:noWrap w:val="0"/>
            <w:vAlign w:val="center"/>
          </w:tcPr>
          <w:p w14:paraId="09D2A79A">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0.4</w:t>
            </w:r>
          </w:p>
        </w:tc>
        <w:tc>
          <w:tcPr>
            <w:tcW w:w="809" w:type="dxa"/>
            <w:noWrap w:val="0"/>
            <w:vAlign w:val="center"/>
          </w:tcPr>
          <w:p w14:paraId="10C556E4">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油墨开包</w:t>
            </w:r>
          </w:p>
        </w:tc>
        <w:tc>
          <w:tcPr>
            <w:tcW w:w="641" w:type="dxa"/>
            <w:noWrap w:val="0"/>
            <w:vAlign w:val="center"/>
          </w:tcPr>
          <w:p w14:paraId="089D1D71">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rPr>
              <w:t>固态</w:t>
            </w:r>
          </w:p>
        </w:tc>
        <w:tc>
          <w:tcPr>
            <w:tcW w:w="1275" w:type="dxa"/>
            <w:noWrap w:val="0"/>
            <w:vAlign w:val="center"/>
          </w:tcPr>
          <w:p w14:paraId="5C824CF7">
            <w:pPr>
              <w:pStyle w:val="136"/>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油墨，塑料桶</w:t>
            </w:r>
          </w:p>
        </w:tc>
        <w:tc>
          <w:tcPr>
            <w:tcW w:w="638" w:type="dxa"/>
            <w:noWrap w:val="0"/>
            <w:vAlign w:val="center"/>
          </w:tcPr>
          <w:p w14:paraId="67C0267F">
            <w:pPr>
              <w:pStyle w:val="136"/>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每天</w:t>
            </w:r>
          </w:p>
        </w:tc>
        <w:tc>
          <w:tcPr>
            <w:tcW w:w="733" w:type="dxa"/>
            <w:noWrap w:val="0"/>
            <w:vAlign w:val="center"/>
          </w:tcPr>
          <w:p w14:paraId="1EFB5CB3">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highlight w:val="none"/>
              </w:rPr>
              <w:t>T/I</w:t>
            </w:r>
          </w:p>
        </w:tc>
        <w:tc>
          <w:tcPr>
            <w:tcW w:w="919" w:type="dxa"/>
            <w:vMerge w:val="restart"/>
            <w:noWrap w:val="0"/>
            <w:vAlign w:val="center"/>
          </w:tcPr>
          <w:p w14:paraId="6D74D855">
            <w:pPr>
              <w:pStyle w:val="136"/>
              <w:bidi w:val="0"/>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定期</w:t>
            </w:r>
            <w:r>
              <w:rPr>
                <w:rFonts w:hint="default" w:ascii="Times New Roman" w:hAnsi="Times New Roman" w:eastAsia="宋体" w:cs="Times New Roman"/>
                <w:color w:val="auto"/>
                <w:sz w:val="21"/>
                <w:szCs w:val="21"/>
              </w:rPr>
              <w:t>交由有资质的单位处置</w:t>
            </w:r>
          </w:p>
        </w:tc>
      </w:tr>
      <w:tr w14:paraId="3F085F2C">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486" w:type="dxa"/>
            <w:noWrap w:val="0"/>
            <w:vAlign w:val="center"/>
          </w:tcPr>
          <w:p w14:paraId="32D4E52F">
            <w:pPr>
              <w:pStyle w:val="136"/>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814" w:type="dxa"/>
            <w:noWrap w:val="0"/>
            <w:vAlign w:val="center"/>
          </w:tcPr>
          <w:p w14:paraId="50FF14DE">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废光刻胶桶</w:t>
            </w:r>
          </w:p>
        </w:tc>
        <w:tc>
          <w:tcPr>
            <w:tcW w:w="837" w:type="dxa"/>
            <w:noWrap w:val="0"/>
            <w:vAlign w:val="center"/>
          </w:tcPr>
          <w:p w14:paraId="261ED244">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HW49</w:t>
            </w:r>
          </w:p>
        </w:tc>
        <w:tc>
          <w:tcPr>
            <w:tcW w:w="1263" w:type="dxa"/>
            <w:noWrap w:val="0"/>
            <w:vAlign w:val="center"/>
          </w:tcPr>
          <w:p w14:paraId="128B6834">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900-041-49</w:t>
            </w:r>
          </w:p>
        </w:tc>
        <w:tc>
          <w:tcPr>
            <w:tcW w:w="737" w:type="dxa"/>
            <w:noWrap w:val="0"/>
            <w:vAlign w:val="center"/>
          </w:tcPr>
          <w:p w14:paraId="1F90B63B">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0.08</w:t>
            </w:r>
          </w:p>
        </w:tc>
        <w:tc>
          <w:tcPr>
            <w:tcW w:w="809" w:type="dxa"/>
            <w:noWrap w:val="0"/>
            <w:vAlign w:val="center"/>
          </w:tcPr>
          <w:p w14:paraId="0976FAA0">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开包</w:t>
            </w:r>
          </w:p>
        </w:tc>
        <w:tc>
          <w:tcPr>
            <w:tcW w:w="641" w:type="dxa"/>
            <w:noWrap w:val="0"/>
            <w:vAlign w:val="center"/>
          </w:tcPr>
          <w:p w14:paraId="49B77F50">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rPr>
              <w:t>固态</w:t>
            </w:r>
          </w:p>
        </w:tc>
        <w:tc>
          <w:tcPr>
            <w:tcW w:w="1275" w:type="dxa"/>
            <w:noWrap w:val="0"/>
            <w:vAlign w:val="center"/>
          </w:tcPr>
          <w:p w14:paraId="252037E6">
            <w:pPr>
              <w:pStyle w:val="136"/>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光刻胶，塑料桶</w:t>
            </w:r>
          </w:p>
        </w:tc>
        <w:tc>
          <w:tcPr>
            <w:tcW w:w="638" w:type="dxa"/>
            <w:noWrap w:val="0"/>
            <w:vAlign w:val="center"/>
          </w:tcPr>
          <w:p w14:paraId="3A22D5DF">
            <w:pPr>
              <w:pStyle w:val="136"/>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每天</w:t>
            </w:r>
          </w:p>
        </w:tc>
        <w:tc>
          <w:tcPr>
            <w:tcW w:w="733" w:type="dxa"/>
            <w:noWrap w:val="0"/>
            <w:vAlign w:val="center"/>
          </w:tcPr>
          <w:p w14:paraId="67BC4BD7">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highlight w:val="none"/>
              </w:rPr>
              <w:t>T/In</w:t>
            </w:r>
          </w:p>
        </w:tc>
        <w:tc>
          <w:tcPr>
            <w:tcW w:w="919" w:type="dxa"/>
            <w:vMerge w:val="continue"/>
            <w:noWrap w:val="0"/>
            <w:vAlign w:val="center"/>
          </w:tcPr>
          <w:p w14:paraId="205EC587">
            <w:pPr>
              <w:pStyle w:val="136"/>
              <w:bidi w:val="0"/>
              <w:jc w:val="center"/>
              <w:rPr>
                <w:rFonts w:hint="default" w:ascii="Times New Roman" w:hAnsi="Times New Roman" w:eastAsia="宋体" w:cs="Times New Roman"/>
                <w:color w:val="auto"/>
                <w:sz w:val="21"/>
                <w:szCs w:val="21"/>
              </w:rPr>
            </w:pPr>
          </w:p>
        </w:tc>
      </w:tr>
      <w:tr w14:paraId="14855DFA">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486" w:type="dxa"/>
            <w:noWrap w:val="0"/>
            <w:vAlign w:val="center"/>
          </w:tcPr>
          <w:p w14:paraId="4F8F31FD">
            <w:pPr>
              <w:pStyle w:val="136"/>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814" w:type="dxa"/>
            <w:noWrap w:val="0"/>
            <w:vAlign w:val="center"/>
          </w:tcPr>
          <w:p w14:paraId="2A85909B">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显影废液</w:t>
            </w:r>
          </w:p>
        </w:tc>
        <w:tc>
          <w:tcPr>
            <w:tcW w:w="837" w:type="dxa"/>
            <w:noWrap w:val="0"/>
            <w:vAlign w:val="center"/>
          </w:tcPr>
          <w:p w14:paraId="505599F8">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HW16</w:t>
            </w:r>
          </w:p>
        </w:tc>
        <w:tc>
          <w:tcPr>
            <w:tcW w:w="1263" w:type="dxa"/>
            <w:noWrap w:val="0"/>
            <w:vAlign w:val="center"/>
          </w:tcPr>
          <w:p w14:paraId="36317D8F">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900-019-16</w:t>
            </w:r>
          </w:p>
        </w:tc>
        <w:tc>
          <w:tcPr>
            <w:tcW w:w="737" w:type="dxa"/>
            <w:noWrap w:val="0"/>
            <w:vAlign w:val="center"/>
          </w:tcPr>
          <w:p w14:paraId="7CF5FF09">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0.5</w:t>
            </w:r>
          </w:p>
        </w:tc>
        <w:tc>
          <w:tcPr>
            <w:tcW w:w="809" w:type="dxa"/>
            <w:noWrap w:val="0"/>
            <w:vAlign w:val="center"/>
          </w:tcPr>
          <w:p w14:paraId="154E159C">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显影工序</w:t>
            </w:r>
          </w:p>
        </w:tc>
        <w:tc>
          <w:tcPr>
            <w:tcW w:w="641" w:type="dxa"/>
            <w:noWrap w:val="0"/>
            <w:vAlign w:val="center"/>
          </w:tcPr>
          <w:p w14:paraId="109CC7C3">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液</w:t>
            </w:r>
            <w:r>
              <w:rPr>
                <w:rFonts w:hint="default" w:ascii="Times New Roman" w:hAnsi="Times New Roman" w:eastAsia="宋体" w:cs="Times New Roman"/>
                <w:color w:val="auto"/>
                <w:sz w:val="21"/>
                <w:szCs w:val="21"/>
              </w:rPr>
              <w:t>态</w:t>
            </w:r>
          </w:p>
        </w:tc>
        <w:tc>
          <w:tcPr>
            <w:tcW w:w="1275" w:type="dxa"/>
            <w:noWrap w:val="0"/>
            <w:vAlign w:val="center"/>
          </w:tcPr>
          <w:p w14:paraId="7A05F6DB">
            <w:pPr>
              <w:pStyle w:val="136"/>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显影液</w:t>
            </w:r>
          </w:p>
        </w:tc>
        <w:tc>
          <w:tcPr>
            <w:tcW w:w="638" w:type="dxa"/>
            <w:noWrap w:val="0"/>
            <w:vAlign w:val="center"/>
          </w:tcPr>
          <w:p w14:paraId="28194024">
            <w:pPr>
              <w:pStyle w:val="136"/>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每天</w:t>
            </w:r>
          </w:p>
        </w:tc>
        <w:tc>
          <w:tcPr>
            <w:tcW w:w="733" w:type="dxa"/>
            <w:noWrap w:val="0"/>
            <w:vAlign w:val="center"/>
          </w:tcPr>
          <w:p w14:paraId="51985EDD">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highlight w:val="none"/>
              </w:rPr>
              <w:t>T</w:t>
            </w:r>
          </w:p>
        </w:tc>
        <w:tc>
          <w:tcPr>
            <w:tcW w:w="919" w:type="dxa"/>
            <w:vMerge w:val="continue"/>
            <w:noWrap w:val="0"/>
            <w:vAlign w:val="center"/>
          </w:tcPr>
          <w:p w14:paraId="39B342EF">
            <w:pPr>
              <w:pStyle w:val="136"/>
              <w:bidi w:val="0"/>
              <w:jc w:val="center"/>
              <w:rPr>
                <w:rFonts w:hint="default" w:ascii="Times New Roman" w:hAnsi="Times New Roman" w:eastAsia="宋体" w:cs="Times New Roman"/>
                <w:color w:val="auto"/>
                <w:sz w:val="21"/>
                <w:szCs w:val="21"/>
              </w:rPr>
            </w:pPr>
          </w:p>
        </w:tc>
      </w:tr>
      <w:tr w14:paraId="08DE018B">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486" w:type="dxa"/>
            <w:noWrap w:val="0"/>
            <w:vAlign w:val="center"/>
          </w:tcPr>
          <w:p w14:paraId="4C9B612D">
            <w:pPr>
              <w:pStyle w:val="136"/>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814" w:type="dxa"/>
            <w:noWrap w:val="0"/>
            <w:vAlign w:val="center"/>
          </w:tcPr>
          <w:p w14:paraId="248E8E7A">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蚀刻线废槽渣</w:t>
            </w:r>
          </w:p>
        </w:tc>
        <w:tc>
          <w:tcPr>
            <w:tcW w:w="837" w:type="dxa"/>
            <w:noWrap w:val="0"/>
            <w:vAlign w:val="center"/>
          </w:tcPr>
          <w:p w14:paraId="78BEFBE8">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HW49</w:t>
            </w:r>
          </w:p>
        </w:tc>
        <w:tc>
          <w:tcPr>
            <w:tcW w:w="1263" w:type="dxa"/>
            <w:noWrap w:val="0"/>
            <w:vAlign w:val="center"/>
          </w:tcPr>
          <w:p w14:paraId="32F09CB1">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900-047-49</w:t>
            </w:r>
          </w:p>
        </w:tc>
        <w:tc>
          <w:tcPr>
            <w:tcW w:w="737" w:type="dxa"/>
            <w:noWrap w:val="0"/>
            <w:vAlign w:val="center"/>
          </w:tcPr>
          <w:p w14:paraId="569BAB90">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0.05</w:t>
            </w:r>
          </w:p>
        </w:tc>
        <w:tc>
          <w:tcPr>
            <w:tcW w:w="809" w:type="dxa"/>
            <w:noWrap w:val="0"/>
            <w:vAlign w:val="center"/>
          </w:tcPr>
          <w:p w14:paraId="215FCBEA">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蚀刻线蒙砂和化抛工序</w:t>
            </w:r>
          </w:p>
        </w:tc>
        <w:tc>
          <w:tcPr>
            <w:tcW w:w="641" w:type="dxa"/>
            <w:noWrap w:val="0"/>
            <w:vAlign w:val="center"/>
          </w:tcPr>
          <w:p w14:paraId="488B624D">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rPr>
              <w:t>固态</w:t>
            </w:r>
          </w:p>
        </w:tc>
        <w:tc>
          <w:tcPr>
            <w:tcW w:w="1275" w:type="dxa"/>
            <w:noWrap w:val="0"/>
            <w:vAlign w:val="center"/>
          </w:tcPr>
          <w:p w14:paraId="24DCA907">
            <w:pPr>
              <w:pStyle w:val="136"/>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槽渣</w:t>
            </w:r>
          </w:p>
        </w:tc>
        <w:tc>
          <w:tcPr>
            <w:tcW w:w="638" w:type="dxa"/>
            <w:noWrap w:val="0"/>
            <w:vAlign w:val="center"/>
          </w:tcPr>
          <w:p w14:paraId="2B6B2C7C">
            <w:pPr>
              <w:pStyle w:val="136"/>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每天</w:t>
            </w:r>
          </w:p>
        </w:tc>
        <w:tc>
          <w:tcPr>
            <w:tcW w:w="733" w:type="dxa"/>
            <w:noWrap w:val="0"/>
            <w:vAlign w:val="center"/>
          </w:tcPr>
          <w:p w14:paraId="55047CA2">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highlight w:val="none"/>
              </w:rPr>
              <w:t>T/C/I/R</w:t>
            </w:r>
          </w:p>
        </w:tc>
        <w:tc>
          <w:tcPr>
            <w:tcW w:w="919" w:type="dxa"/>
            <w:vMerge w:val="continue"/>
            <w:noWrap w:val="0"/>
            <w:vAlign w:val="center"/>
          </w:tcPr>
          <w:p w14:paraId="067DCBB8">
            <w:pPr>
              <w:pStyle w:val="136"/>
              <w:bidi w:val="0"/>
              <w:jc w:val="center"/>
              <w:rPr>
                <w:rFonts w:hint="default" w:ascii="Times New Roman" w:hAnsi="Times New Roman" w:eastAsia="宋体" w:cs="Times New Roman"/>
                <w:color w:val="auto"/>
                <w:sz w:val="21"/>
                <w:szCs w:val="21"/>
              </w:rPr>
            </w:pPr>
          </w:p>
        </w:tc>
      </w:tr>
      <w:tr w14:paraId="452AEA8D">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486" w:type="dxa"/>
            <w:noWrap w:val="0"/>
            <w:vAlign w:val="center"/>
          </w:tcPr>
          <w:p w14:paraId="5D6A5FC5">
            <w:pPr>
              <w:pStyle w:val="136"/>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814" w:type="dxa"/>
            <w:noWrap w:val="0"/>
            <w:vAlign w:val="center"/>
          </w:tcPr>
          <w:p w14:paraId="73A45A6F">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化学品包装物</w:t>
            </w:r>
          </w:p>
        </w:tc>
        <w:tc>
          <w:tcPr>
            <w:tcW w:w="837" w:type="dxa"/>
            <w:noWrap w:val="0"/>
            <w:vAlign w:val="center"/>
          </w:tcPr>
          <w:p w14:paraId="3B065FFC">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HW49</w:t>
            </w:r>
          </w:p>
        </w:tc>
        <w:tc>
          <w:tcPr>
            <w:tcW w:w="1263" w:type="dxa"/>
            <w:noWrap w:val="0"/>
            <w:vAlign w:val="center"/>
          </w:tcPr>
          <w:p w14:paraId="06510A87">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900-041-49</w:t>
            </w:r>
          </w:p>
        </w:tc>
        <w:tc>
          <w:tcPr>
            <w:tcW w:w="737" w:type="dxa"/>
            <w:noWrap w:val="0"/>
            <w:vAlign w:val="center"/>
          </w:tcPr>
          <w:p w14:paraId="3C484F15">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4</w:t>
            </w:r>
          </w:p>
        </w:tc>
        <w:tc>
          <w:tcPr>
            <w:tcW w:w="809" w:type="dxa"/>
            <w:noWrap w:val="0"/>
            <w:vAlign w:val="center"/>
          </w:tcPr>
          <w:p w14:paraId="05EE790C">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开包</w:t>
            </w:r>
          </w:p>
        </w:tc>
        <w:tc>
          <w:tcPr>
            <w:tcW w:w="641" w:type="dxa"/>
            <w:noWrap w:val="0"/>
            <w:vAlign w:val="center"/>
          </w:tcPr>
          <w:p w14:paraId="3408E16D">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1275" w:type="dxa"/>
            <w:noWrap w:val="0"/>
            <w:vAlign w:val="center"/>
          </w:tcPr>
          <w:p w14:paraId="5DAE9B58">
            <w:pPr>
              <w:pStyle w:val="136"/>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化学品，塑料桶、塑料袋</w:t>
            </w:r>
          </w:p>
        </w:tc>
        <w:tc>
          <w:tcPr>
            <w:tcW w:w="638" w:type="dxa"/>
            <w:noWrap w:val="0"/>
            <w:vAlign w:val="center"/>
          </w:tcPr>
          <w:p w14:paraId="783BA083">
            <w:pPr>
              <w:pStyle w:val="136"/>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每天</w:t>
            </w:r>
          </w:p>
        </w:tc>
        <w:tc>
          <w:tcPr>
            <w:tcW w:w="733" w:type="dxa"/>
            <w:noWrap w:val="0"/>
            <w:vAlign w:val="center"/>
          </w:tcPr>
          <w:p w14:paraId="7663246D">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highlight w:val="none"/>
              </w:rPr>
              <w:t>T/In</w:t>
            </w:r>
          </w:p>
        </w:tc>
        <w:tc>
          <w:tcPr>
            <w:tcW w:w="919" w:type="dxa"/>
            <w:vMerge w:val="continue"/>
            <w:noWrap w:val="0"/>
            <w:vAlign w:val="center"/>
          </w:tcPr>
          <w:p w14:paraId="74294012">
            <w:pPr>
              <w:pStyle w:val="136"/>
              <w:bidi w:val="0"/>
              <w:jc w:val="center"/>
              <w:rPr>
                <w:rFonts w:hint="default" w:ascii="Times New Roman" w:hAnsi="Times New Roman" w:eastAsia="宋体" w:cs="Times New Roman"/>
                <w:color w:val="auto"/>
                <w:sz w:val="21"/>
                <w:szCs w:val="21"/>
              </w:rPr>
            </w:pPr>
          </w:p>
        </w:tc>
      </w:tr>
      <w:tr w14:paraId="443FE077">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1191" w:hRule="atLeast"/>
        </w:trPr>
        <w:tc>
          <w:tcPr>
            <w:tcW w:w="486" w:type="dxa"/>
            <w:noWrap w:val="0"/>
            <w:vAlign w:val="center"/>
          </w:tcPr>
          <w:p w14:paraId="6FA952CD">
            <w:pPr>
              <w:pStyle w:val="136"/>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814" w:type="dxa"/>
            <w:noWrap w:val="0"/>
            <w:vAlign w:val="center"/>
          </w:tcPr>
          <w:p w14:paraId="693AE93C">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退油槽废碱性槽液</w:t>
            </w:r>
          </w:p>
        </w:tc>
        <w:tc>
          <w:tcPr>
            <w:tcW w:w="837" w:type="dxa"/>
            <w:noWrap w:val="0"/>
            <w:vAlign w:val="center"/>
          </w:tcPr>
          <w:p w14:paraId="04612D09">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HW49</w:t>
            </w:r>
          </w:p>
        </w:tc>
        <w:tc>
          <w:tcPr>
            <w:tcW w:w="1263" w:type="dxa"/>
            <w:noWrap w:val="0"/>
            <w:vAlign w:val="center"/>
          </w:tcPr>
          <w:p w14:paraId="32B05D2F">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900-047-49</w:t>
            </w:r>
          </w:p>
        </w:tc>
        <w:tc>
          <w:tcPr>
            <w:tcW w:w="737" w:type="dxa"/>
            <w:noWrap w:val="0"/>
            <w:vAlign w:val="center"/>
          </w:tcPr>
          <w:p w14:paraId="61A76B12">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5</w:t>
            </w:r>
          </w:p>
        </w:tc>
        <w:tc>
          <w:tcPr>
            <w:tcW w:w="809" w:type="dxa"/>
            <w:noWrap w:val="0"/>
            <w:vAlign w:val="center"/>
          </w:tcPr>
          <w:p w14:paraId="44EC1B7E">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退油工序</w:t>
            </w:r>
          </w:p>
        </w:tc>
        <w:tc>
          <w:tcPr>
            <w:tcW w:w="641" w:type="dxa"/>
            <w:noWrap w:val="0"/>
            <w:vAlign w:val="center"/>
          </w:tcPr>
          <w:p w14:paraId="0361AC06">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液</w:t>
            </w:r>
            <w:r>
              <w:rPr>
                <w:rFonts w:hint="default" w:ascii="Times New Roman" w:hAnsi="Times New Roman" w:eastAsia="宋体" w:cs="Times New Roman"/>
                <w:color w:val="auto"/>
                <w:sz w:val="21"/>
                <w:szCs w:val="21"/>
              </w:rPr>
              <w:t>态</w:t>
            </w:r>
          </w:p>
        </w:tc>
        <w:tc>
          <w:tcPr>
            <w:tcW w:w="1275" w:type="dxa"/>
            <w:noWrap w:val="0"/>
            <w:vAlign w:val="center"/>
          </w:tcPr>
          <w:p w14:paraId="1856B753">
            <w:pPr>
              <w:pStyle w:val="136"/>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槽液</w:t>
            </w:r>
          </w:p>
        </w:tc>
        <w:tc>
          <w:tcPr>
            <w:tcW w:w="638" w:type="dxa"/>
            <w:noWrap w:val="0"/>
            <w:vAlign w:val="center"/>
          </w:tcPr>
          <w:p w14:paraId="7968F435">
            <w:pPr>
              <w:pStyle w:val="136"/>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半年</w:t>
            </w:r>
          </w:p>
        </w:tc>
        <w:tc>
          <w:tcPr>
            <w:tcW w:w="733" w:type="dxa"/>
            <w:noWrap w:val="0"/>
            <w:vAlign w:val="center"/>
          </w:tcPr>
          <w:p w14:paraId="5EC473BE">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highlight w:val="none"/>
              </w:rPr>
              <w:t>T/C/I/R</w:t>
            </w:r>
          </w:p>
        </w:tc>
        <w:tc>
          <w:tcPr>
            <w:tcW w:w="919" w:type="dxa"/>
            <w:vMerge w:val="continue"/>
            <w:noWrap w:val="0"/>
            <w:vAlign w:val="center"/>
          </w:tcPr>
          <w:p w14:paraId="14F42F19">
            <w:pPr>
              <w:pStyle w:val="136"/>
              <w:bidi w:val="0"/>
              <w:jc w:val="center"/>
              <w:rPr>
                <w:rFonts w:hint="default" w:ascii="Times New Roman" w:hAnsi="Times New Roman" w:eastAsia="宋体" w:cs="Times New Roman"/>
                <w:color w:val="auto"/>
                <w:sz w:val="21"/>
                <w:szCs w:val="21"/>
              </w:rPr>
            </w:pPr>
          </w:p>
        </w:tc>
      </w:tr>
      <w:tr w14:paraId="3054364D">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486" w:type="dxa"/>
            <w:noWrap w:val="0"/>
            <w:vAlign w:val="center"/>
          </w:tcPr>
          <w:p w14:paraId="0F9C1021">
            <w:pPr>
              <w:pStyle w:val="136"/>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814" w:type="dxa"/>
            <w:noWrap w:val="0"/>
            <w:vAlign w:val="center"/>
          </w:tcPr>
          <w:p w14:paraId="6F2565C4">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废活性炭</w:t>
            </w:r>
          </w:p>
        </w:tc>
        <w:tc>
          <w:tcPr>
            <w:tcW w:w="837" w:type="dxa"/>
            <w:noWrap w:val="0"/>
            <w:vAlign w:val="center"/>
          </w:tcPr>
          <w:p w14:paraId="1B3342C4">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HW49</w:t>
            </w:r>
          </w:p>
        </w:tc>
        <w:tc>
          <w:tcPr>
            <w:tcW w:w="1263" w:type="dxa"/>
            <w:noWrap w:val="0"/>
            <w:vAlign w:val="center"/>
          </w:tcPr>
          <w:p w14:paraId="30C165CF">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900-041-49</w:t>
            </w:r>
          </w:p>
        </w:tc>
        <w:tc>
          <w:tcPr>
            <w:tcW w:w="737" w:type="dxa"/>
            <w:noWrap w:val="0"/>
            <w:vAlign w:val="center"/>
          </w:tcPr>
          <w:p w14:paraId="287B3AB9">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bidi="ar-SA"/>
              </w:rPr>
              <w:t>13.71</w:t>
            </w:r>
          </w:p>
        </w:tc>
        <w:tc>
          <w:tcPr>
            <w:tcW w:w="809" w:type="dxa"/>
            <w:noWrap w:val="0"/>
            <w:vAlign w:val="center"/>
          </w:tcPr>
          <w:p w14:paraId="52ABACD8">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有机废气处理</w:t>
            </w:r>
          </w:p>
        </w:tc>
        <w:tc>
          <w:tcPr>
            <w:tcW w:w="641" w:type="dxa"/>
            <w:noWrap w:val="0"/>
            <w:vAlign w:val="center"/>
          </w:tcPr>
          <w:p w14:paraId="1CBA1AEC">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rPr>
              <w:t>固态</w:t>
            </w:r>
          </w:p>
        </w:tc>
        <w:tc>
          <w:tcPr>
            <w:tcW w:w="1275" w:type="dxa"/>
            <w:noWrap w:val="0"/>
            <w:vAlign w:val="center"/>
          </w:tcPr>
          <w:p w14:paraId="3D4ABAF1">
            <w:pPr>
              <w:pStyle w:val="136"/>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有机物，活性炭</w:t>
            </w:r>
          </w:p>
        </w:tc>
        <w:tc>
          <w:tcPr>
            <w:tcW w:w="638" w:type="dxa"/>
            <w:noWrap w:val="0"/>
            <w:vAlign w:val="center"/>
          </w:tcPr>
          <w:p w14:paraId="670066C2">
            <w:pPr>
              <w:pStyle w:val="136"/>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三个月</w:t>
            </w:r>
          </w:p>
        </w:tc>
        <w:tc>
          <w:tcPr>
            <w:tcW w:w="733" w:type="dxa"/>
            <w:noWrap w:val="0"/>
            <w:vAlign w:val="center"/>
          </w:tcPr>
          <w:p w14:paraId="2AE07B3B">
            <w:pPr>
              <w:pStyle w:val="136"/>
              <w:bidi w:val="0"/>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highlight w:val="none"/>
              </w:rPr>
              <w:t>T/In</w:t>
            </w:r>
          </w:p>
        </w:tc>
        <w:tc>
          <w:tcPr>
            <w:tcW w:w="919" w:type="dxa"/>
            <w:vMerge w:val="continue"/>
            <w:noWrap w:val="0"/>
            <w:vAlign w:val="center"/>
          </w:tcPr>
          <w:p w14:paraId="7ECFB340">
            <w:pPr>
              <w:pStyle w:val="136"/>
              <w:bidi w:val="0"/>
              <w:jc w:val="center"/>
              <w:rPr>
                <w:rFonts w:hint="default" w:ascii="Times New Roman" w:hAnsi="Times New Roman" w:eastAsia="宋体" w:cs="Times New Roman"/>
                <w:color w:val="auto"/>
                <w:sz w:val="21"/>
                <w:szCs w:val="21"/>
              </w:rPr>
            </w:pPr>
          </w:p>
        </w:tc>
      </w:tr>
      <w:tr w14:paraId="0034582E">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486" w:type="dxa"/>
            <w:noWrap w:val="0"/>
            <w:vAlign w:val="center"/>
          </w:tcPr>
          <w:p w14:paraId="5CD643A8">
            <w:pPr>
              <w:pStyle w:val="136"/>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c>
          <w:tcPr>
            <w:tcW w:w="814" w:type="dxa"/>
            <w:noWrap w:val="0"/>
            <w:vAlign w:val="center"/>
          </w:tcPr>
          <w:p w14:paraId="3F9B490E">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化抛蚀刻槽液废液、蒙砂废液</w:t>
            </w:r>
          </w:p>
        </w:tc>
        <w:tc>
          <w:tcPr>
            <w:tcW w:w="837" w:type="dxa"/>
            <w:noWrap w:val="0"/>
            <w:vAlign w:val="center"/>
          </w:tcPr>
          <w:p w14:paraId="1A0677DD">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HW32</w:t>
            </w:r>
          </w:p>
        </w:tc>
        <w:tc>
          <w:tcPr>
            <w:tcW w:w="1263" w:type="dxa"/>
            <w:noWrap w:val="0"/>
            <w:vAlign w:val="center"/>
          </w:tcPr>
          <w:p w14:paraId="298B8180">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900-026-32</w:t>
            </w:r>
          </w:p>
        </w:tc>
        <w:tc>
          <w:tcPr>
            <w:tcW w:w="737" w:type="dxa"/>
            <w:noWrap w:val="0"/>
            <w:vAlign w:val="center"/>
          </w:tcPr>
          <w:p w14:paraId="3F37E00C">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bidi="ar-SA"/>
              </w:rPr>
              <w:t>98</w:t>
            </w:r>
          </w:p>
        </w:tc>
        <w:tc>
          <w:tcPr>
            <w:tcW w:w="809" w:type="dxa"/>
            <w:noWrap w:val="0"/>
            <w:vAlign w:val="center"/>
          </w:tcPr>
          <w:p w14:paraId="45FB8541">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AG</w:t>
            </w:r>
            <w:r>
              <w:rPr>
                <w:rFonts w:hint="default" w:ascii="Times New Roman" w:hAnsi="Times New Roman" w:eastAsia="宋体" w:cs="Times New Roman"/>
                <w:color w:val="auto"/>
                <w:sz w:val="21"/>
                <w:szCs w:val="21"/>
                <w:highlight w:val="none"/>
                <w:lang w:val="en-US" w:eastAsia="zh-CN"/>
              </w:rPr>
              <w:t>蚀刻线蒙砂和化抛工序</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废气处理</w:t>
            </w:r>
          </w:p>
        </w:tc>
        <w:tc>
          <w:tcPr>
            <w:tcW w:w="641" w:type="dxa"/>
            <w:noWrap w:val="0"/>
            <w:vAlign w:val="center"/>
          </w:tcPr>
          <w:p w14:paraId="32FA5B6F">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液态</w:t>
            </w:r>
          </w:p>
        </w:tc>
        <w:tc>
          <w:tcPr>
            <w:tcW w:w="1275" w:type="dxa"/>
            <w:noWrap w:val="0"/>
            <w:vAlign w:val="center"/>
          </w:tcPr>
          <w:p w14:paraId="669B6C73">
            <w:pPr>
              <w:pStyle w:val="136"/>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氟化物</w:t>
            </w:r>
          </w:p>
        </w:tc>
        <w:tc>
          <w:tcPr>
            <w:tcW w:w="638" w:type="dxa"/>
            <w:noWrap w:val="0"/>
            <w:vAlign w:val="center"/>
          </w:tcPr>
          <w:p w14:paraId="4C63431F">
            <w:pPr>
              <w:pStyle w:val="136"/>
              <w:keepNext w:val="0"/>
              <w:keepLines w:val="0"/>
              <w:pageBreakBefore w:val="0"/>
              <w:widowControl w:val="0"/>
              <w:kinsoku/>
              <w:wordWrap/>
              <w:overflowPunct/>
              <w:topLinePunct w:val="0"/>
              <w:autoSpaceDE/>
              <w:autoSpaceDN/>
              <w:bidi w:val="0"/>
              <w:adjustRightInd/>
              <w:snapToGrid w:val="0"/>
              <w:ind w:left="105" w:leftChars="50" w:right="105" w:rightChars="5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每天</w:t>
            </w:r>
          </w:p>
        </w:tc>
        <w:tc>
          <w:tcPr>
            <w:tcW w:w="733" w:type="dxa"/>
            <w:noWrap w:val="0"/>
            <w:vAlign w:val="center"/>
          </w:tcPr>
          <w:p w14:paraId="208C9627">
            <w:pPr>
              <w:pStyle w:val="136"/>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T，C</w:t>
            </w:r>
          </w:p>
        </w:tc>
        <w:tc>
          <w:tcPr>
            <w:tcW w:w="919" w:type="dxa"/>
            <w:vMerge w:val="continue"/>
            <w:noWrap w:val="0"/>
            <w:vAlign w:val="center"/>
          </w:tcPr>
          <w:p w14:paraId="2B21C871">
            <w:pPr>
              <w:pStyle w:val="136"/>
              <w:bidi w:val="0"/>
              <w:jc w:val="center"/>
              <w:rPr>
                <w:rFonts w:hint="default" w:ascii="Times New Roman" w:hAnsi="Times New Roman" w:eastAsia="宋体" w:cs="Times New Roman"/>
                <w:color w:val="auto"/>
                <w:sz w:val="21"/>
                <w:szCs w:val="21"/>
              </w:rPr>
            </w:pPr>
          </w:p>
        </w:tc>
      </w:tr>
    </w:tbl>
    <w:p w14:paraId="21478F35">
      <w:pPr>
        <w:pStyle w:val="134"/>
        <w:adjustRightInd w:val="0"/>
        <w:spacing w:line="360" w:lineRule="auto"/>
        <w:ind w:firstLine="480" w:firstLineChars="200"/>
        <w:rPr>
          <w:rFonts w:hint="eastAsia" w:ascii="Times New Roman" w:hAnsi="宋体"/>
          <w:color w:val="auto"/>
          <w:sz w:val="24"/>
          <w:lang w:val="en-US" w:eastAsia="zh-CN"/>
        </w:rPr>
      </w:pP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8"/>
        <w:gridCol w:w="4508"/>
      </w:tblGrid>
      <w:tr w14:paraId="6E93B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14:paraId="5E5EE189">
            <w:pPr>
              <w:spacing w:line="360" w:lineRule="auto"/>
              <w:jc w:val="center"/>
            </w:pPr>
            <w:r>
              <w:rPr>
                <w:rFonts w:hint="eastAsia" w:ascii="Times New Roman" w:hAnsi="宋体" w:eastAsia="宋体"/>
                <w:kern w:val="2"/>
                <w:sz w:val="21"/>
                <w:szCs w:val="21"/>
              </w:rPr>
              <w:drawing>
                <wp:inline distT="0" distB="0" distL="0" distR="0">
                  <wp:extent cx="2757170" cy="1898650"/>
                  <wp:effectExtent l="0" t="0" r="5080" b="6350"/>
                  <wp:docPr id="6634492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49264" name="图片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57170" cy="1898650"/>
                          </a:xfrm>
                          <a:prstGeom prst="rect">
                            <a:avLst/>
                          </a:prstGeom>
                        </pic:spPr>
                      </pic:pic>
                    </a:graphicData>
                  </a:graphic>
                </wp:inline>
              </w:drawing>
            </w:r>
          </w:p>
        </w:tc>
        <w:tc>
          <w:tcPr>
            <w:tcW w:w="4508" w:type="dxa"/>
          </w:tcPr>
          <w:p w14:paraId="78FF20A1">
            <w:pPr>
              <w:spacing w:line="360" w:lineRule="auto"/>
              <w:jc w:val="center"/>
            </w:pPr>
            <w:r>
              <w:rPr>
                <w:rFonts w:hint="eastAsia" w:ascii="Times New Roman" w:hAnsi="宋体" w:eastAsia="宋体"/>
                <w:kern w:val="2"/>
                <w:sz w:val="21"/>
                <w:szCs w:val="21"/>
              </w:rPr>
              <w:drawing>
                <wp:inline distT="0" distB="0" distL="0" distR="0">
                  <wp:extent cx="2748280" cy="1910715"/>
                  <wp:effectExtent l="0" t="0" r="13970" b="13335"/>
                  <wp:docPr id="8995210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21072" name="图片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8280" cy="1910715"/>
                          </a:xfrm>
                          <a:prstGeom prst="rect">
                            <a:avLst/>
                          </a:prstGeom>
                        </pic:spPr>
                      </pic:pic>
                    </a:graphicData>
                  </a:graphic>
                </wp:inline>
              </w:drawing>
            </w:r>
          </w:p>
        </w:tc>
      </w:tr>
      <w:tr w14:paraId="70AD1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14:paraId="338DEC7B">
            <w:pPr>
              <w:spacing w:line="360" w:lineRule="auto"/>
              <w:jc w:val="center"/>
              <w:rPr>
                <w:rFonts w:hint="eastAsia" w:eastAsia="宋体"/>
                <w:highlight w:val="none"/>
                <w:lang w:val="en-US" w:eastAsia="zh-CN"/>
              </w:rPr>
            </w:pPr>
            <w:r>
              <w:rPr>
                <w:rFonts w:hint="eastAsia"/>
                <w:highlight w:val="none"/>
                <w:lang w:val="en-US" w:eastAsia="zh-CN"/>
              </w:rPr>
              <w:t>危险废物</w:t>
            </w:r>
            <w:r>
              <w:rPr>
                <w:rFonts w:hint="eastAsia"/>
                <w:highlight w:val="none"/>
              </w:rPr>
              <w:t>暂存间</w:t>
            </w:r>
            <w:r>
              <w:rPr>
                <w:rFonts w:hint="eastAsia"/>
                <w:highlight w:val="none"/>
                <w:lang w:val="en-US" w:eastAsia="zh-CN"/>
              </w:rPr>
              <w:t>内部</w:t>
            </w:r>
          </w:p>
        </w:tc>
        <w:tc>
          <w:tcPr>
            <w:tcW w:w="4508" w:type="dxa"/>
          </w:tcPr>
          <w:p w14:paraId="66B60A11">
            <w:pPr>
              <w:spacing w:line="360" w:lineRule="auto"/>
              <w:jc w:val="center"/>
              <w:rPr>
                <w:rFonts w:hint="eastAsia" w:eastAsia="宋体"/>
                <w:highlight w:val="none"/>
                <w:lang w:val="en-US" w:eastAsia="zh-CN"/>
              </w:rPr>
            </w:pPr>
            <w:r>
              <w:rPr>
                <w:rFonts w:hint="eastAsia"/>
                <w:highlight w:val="none"/>
                <w:lang w:val="en-US" w:eastAsia="zh-CN"/>
              </w:rPr>
              <w:t>危险废物</w:t>
            </w:r>
            <w:r>
              <w:rPr>
                <w:rFonts w:hint="eastAsia"/>
                <w:highlight w:val="none"/>
              </w:rPr>
              <w:t>暂存间</w:t>
            </w:r>
            <w:r>
              <w:rPr>
                <w:rFonts w:hint="eastAsia"/>
                <w:highlight w:val="none"/>
                <w:lang w:val="en-US" w:eastAsia="zh-CN"/>
              </w:rPr>
              <w:t>内部</w:t>
            </w:r>
          </w:p>
        </w:tc>
      </w:tr>
    </w:tbl>
    <w:p w14:paraId="3534F371">
      <w:bookmarkStart w:id="160" w:name="_Toc520988563"/>
      <w:bookmarkStart w:id="161" w:name="_Toc513474973"/>
    </w:p>
    <w:tbl>
      <w:tblPr>
        <w:tblStyle w:val="36"/>
        <w:tblW w:w="0" w:type="auto"/>
        <w:tblInd w:w="22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2"/>
      </w:tblGrid>
      <w:tr w14:paraId="1F8A0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2" w:type="dxa"/>
          </w:tcPr>
          <w:p w14:paraId="050CC4D6">
            <w:pPr>
              <w:spacing w:line="360" w:lineRule="auto"/>
              <w:jc w:val="center"/>
              <w:rPr>
                <w:rFonts w:hint="eastAsia"/>
                <w:highlight w:val="none"/>
                <w:lang w:val="en-US" w:eastAsia="zh-CN"/>
              </w:rPr>
            </w:pPr>
            <w:r>
              <w:rPr>
                <w:rFonts w:hint="eastAsia" w:ascii="Times New Roman" w:hAnsi="宋体" w:eastAsia="宋体"/>
                <w:kern w:val="2"/>
                <w:sz w:val="21"/>
                <w:szCs w:val="21"/>
              </w:rPr>
              <w:drawing>
                <wp:inline distT="0" distB="0" distL="0" distR="0">
                  <wp:extent cx="2832100" cy="2089150"/>
                  <wp:effectExtent l="0" t="0" r="6350" b="6350"/>
                  <wp:docPr id="18481786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78684" name="图片 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32100" cy="2089150"/>
                          </a:xfrm>
                          <a:prstGeom prst="rect">
                            <a:avLst/>
                          </a:prstGeom>
                        </pic:spPr>
                      </pic:pic>
                    </a:graphicData>
                  </a:graphic>
                </wp:inline>
              </w:drawing>
            </w:r>
          </w:p>
        </w:tc>
      </w:tr>
      <w:tr w14:paraId="65ACA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2" w:type="dxa"/>
          </w:tcPr>
          <w:p w14:paraId="758203C0">
            <w:pPr>
              <w:spacing w:line="360" w:lineRule="auto"/>
              <w:jc w:val="center"/>
              <w:rPr>
                <w:rFonts w:hint="eastAsia"/>
                <w:highlight w:val="none"/>
                <w:lang w:val="en-US" w:eastAsia="zh-CN"/>
              </w:rPr>
            </w:pPr>
            <w:r>
              <w:rPr>
                <w:rFonts w:hint="eastAsia" w:ascii="Times New Roman" w:hAnsi="宋体" w:eastAsia="宋体"/>
                <w:kern w:val="2"/>
                <w:sz w:val="21"/>
                <w:szCs w:val="21"/>
                <w:lang w:val="en-US" w:eastAsia="zh-CN"/>
              </w:rPr>
              <w:t>危险废物</w:t>
            </w:r>
            <w:r>
              <w:rPr>
                <w:rFonts w:hint="eastAsia" w:ascii="Times New Roman" w:hAnsi="宋体" w:eastAsia="宋体"/>
                <w:kern w:val="2"/>
                <w:sz w:val="21"/>
                <w:szCs w:val="21"/>
              </w:rPr>
              <w:t>暂存间标识标牌</w:t>
            </w:r>
          </w:p>
        </w:tc>
      </w:tr>
    </w:tbl>
    <w:p w14:paraId="6AD3E7DC">
      <w:pPr>
        <w:pStyle w:val="3"/>
      </w:pPr>
      <w:bookmarkStart w:id="162" w:name="_Toc15117"/>
      <w:r>
        <w:t>4.2其他</w:t>
      </w:r>
      <w:r>
        <w:rPr>
          <w:rFonts w:hint="eastAsia"/>
        </w:rPr>
        <w:t>环境</w:t>
      </w:r>
      <w:r>
        <w:t>保</w:t>
      </w:r>
      <w:r>
        <w:rPr>
          <w:rFonts w:hint="eastAsia"/>
        </w:rPr>
        <w:t>护</w:t>
      </w:r>
      <w:r>
        <w:t>设施</w:t>
      </w:r>
      <w:bookmarkEnd w:id="162"/>
    </w:p>
    <w:p w14:paraId="5E72D6D6">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sz w:val="24"/>
          <w:szCs w:val="24"/>
        </w:rPr>
      </w:pPr>
      <w:r>
        <w:rPr>
          <w:sz w:val="24"/>
          <w:szCs w:val="24"/>
        </w:rPr>
        <w:t>4.2.1环境风险防范</w:t>
      </w:r>
    </w:p>
    <w:p w14:paraId="633ADA9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color w:val="auto"/>
          <w:sz w:val="24"/>
        </w:rPr>
      </w:pPr>
      <w:r>
        <w:rPr>
          <w:rFonts w:hint="eastAsia"/>
          <w:bCs/>
          <w:color w:val="auto"/>
          <w:sz w:val="24"/>
        </w:rPr>
        <w:t>1、防范措施</w:t>
      </w:r>
    </w:p>
    <w:p w14:paraId="57F0746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color w:val="auto"/>
          <w:sz w:val="24"/>
        </w:rPr>
      </w:pPr>
      <w:r>
        <w:rPr>
          <w:rFonts w:hint="eastAsia"/>
          <w:bCs/>
          <w:color w:val="auto"/>
          <w:sz w:val="24"/>
        </w:rPr>
        <w:t>（1）化学品必须储存在</w:t>
      </w:r>
      <w:r>
        <w:rPr>
          <w:rFonts w:hint="eastAsia"/>
          <w:bCs/>
          <w:color w:val="auto"/>
          <w:sz w:val="24"/>
          <w:lang w:val="en-US" w:eastAsia="zh-CN"/>
        </w:rPr>
        <w:t>化学品储存区内</w:t>
      </w:r>
      <w:r>
        <w:rPr>
          <w:rFonts w:hint="eastAsia"/>
          <w:bCs/>
          <w:color w:val="auto"/>
          <w:sz w:val="24"/>
        </w:rPr>
        <w:t>，化学品库采取防渗防腐措施，其储存方式、方法与储存数量必须符合国家标准，并由专人管理，危险化学品出入库必须进行核查登记，并定期检查库存。</w:t>
      </w:r>
    </w:p>
    <w:p w14:paraId="0D917B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color w:val="auto"/>
          <w:sz w:val="24"/>
        </w:rPr>
      </w:pPr>
      <w:r>
        <w:rPr>
          <w:rFonts w:hint="eastAsia"/>
          <w:bCs/>
          <w:color w:val="auto"/>
          <w:sz w:val="24"/>
        </w:rPr>
        <w:t>（2）应当将储存危险化学品的数量、地点以及管理人员的情况，报当地公安部门和负责危险化学品安全监</w:t>
      </w:r>
      <w:r>
        <w:rPr>
          <w:rFonts w:hint="eastAsia"/>
          <w:bCs/>
          <w:color w:val="auto"/>
          <w:sz w:val="24"/>
          <w:lang w:val="en-US" w:eastAsia="zh-CN"/>
        </w:rPr>
        <w:t>督</w:t>
      </w:r>
      <w:r>
        <w:rPr>
          <w:rFonts w:hint="eastAsia"/>
          <w:bCs/>
          <w:color w:val="auto"/>
          <w:sz w:val="24"/>
        </w:rPr>
        <w:t>管</w:t>
      </w:r>
      <w:r>
        <w:rPr>
          <w:rFonts w:hint="eastAsia"/>
          <w:bCs/>
          <w:color w:val="auto"/>
          <w:sz w:val="24"/>
          <w:lang w:val="en-US" w:eastAsia="zh-CN"/>
        </w:rPr>
        <w:t>理</w:t>
      </w:r>
      <w:r>
        <w:rPr>
          <w:rFonts w:hint="eastAsia"/>
          <w:bCs/>
          <w:color w:val="auto"/>
          <w:sz w:val="24"/>
        </w:rPr>
        <w:t>的部门备案。危险化学品库应当符合国家标准对安</w:t>
      </w:r>
      <w:r>
        <w:rPr>
          <w:rFonts w:hint="eastAsia"/>
          <w:bCs/>
          <w:color w:val="auto"/>
          <w:sz w:val="24"/>
          <w:lang w:val="en-US" w:eastAsia="zh-CN"/>
        </w:rPr>
        <w:t>全</w:t>
      </w:r>
      <w:r>
        <w:rPr>
          <w:rFonts w:hint="eastAsia"/>
          <w:bCs/>
          <w:color w:val="auto"/>
          <w:sz w:val="24"/>
        </w:rPr>
        <w:t>、消防的要求，设置明显标志。危险化学品专用仓库的储存设备和安全设施应当定期检测。</w:t>
      </w:r>
    </w:p>
    <w:p w14:paraId="515056C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color w:val="auto"/>
          <w:sz w:val="24"/>
        </w:rPr>
      </w:pPr>
      <w:r>
        <w:rPr>
          <w:rFonts w:hint="eastAsia"/>
          <w:bCs/>
          <w:color w:val="auto"/>
          <w:sz w:val="24"/>
        </w:rPr>
        <w:t>（3）设置专人负责</w:t>
      </w:r>
      <w:r>
        <w:rPr>
          <w:rFonts w:hint="eastAsia"/>
          <w:bCs/>
          <w:color w:val="auto"/>
          <w:sz w:val="24"/>
          <w:lang w:val="en-US" w:eastAsia="zh-CN"/>
        </w:rPr>
        <w:t>化学品仓库</w:t>
      </w:r>
      <w:r>
        <w:rPr>
          <w:rFonts w:hint="eastAsia"/>
          <w:bCs/>
          <w:color w:val="auto"/>
          <w:sz w:val="24"/>
        </w:rPr>
        <w:t>内</w:t>
      </w:r>
      <w:r>
        <w:rPr>
          <w:rFonts w:hint="eastAsia"/>
          <w:bCs/>
          <w:color w:val="auto"/>
          <w:sz w:val="24"/>
          <w:lang w:val="en-US" w:eastAsia="zh-CN"/>
        </w:rPr>
        <w:t>化学品</w:t>
      </w:r>
      <w:r>
        <w:rPr>
          <w:rFonts w:hint="eastAsia"/>
          <w:bCs/>
          <w:color w:val="auto"/>
          <w:sz w:val="24"/>
        </w:rPr>
        <w:t>收发、验库、使用登记、报废等工作</w:t>
      </w:r>
      <w:r>
        <w:rPr>
          <w:rFonts w:hint="eastAsia"/>
          <w:bCs/>
          <w:color w:val="auto"/>
          <w:sz w:val="24"/>
          <w:lang w:eastAsia="zh-CN"/>
        </w:rPr>
        <w:t>，</w:t>
      </w:r>
      <w:r>
        <w:rPr>
          <w:rFonts w:hint="eastAsia"/>
          <w:bCs/>
          <w:color w:val="auto"/>
          <w:sz w:val="24"/>
        </w:rPr>
        <w:t>建立</w:t>
      </w:r>
      <w:r>
        <w:rPr>
          <w:rFonts w:hint="eastAsia"/>
          <w:bCs/>
          <w:color w:val="auto"/>
          <w:sz w:val="24"/>
          <w:lang w:val="en-US" w:eastAsia="zh-CN"/>
        </w:rPr>
        <w:t>化学品</w:t>
      </w:r>
      <w:r>
        <w:rPr>
          <w:rFonts w:hint="eastAsia"/>
          <w:bCs/>
          <w:color w:val="auto"/>
          <w:sz w:val="24"/>
        </w:rPr>
        <w:t>的管理办法。</w:t>
      </w:r>
    </w:p>
    <w:p w14:paraId="069FF6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color w:val="auto"/>
          <w:sz w:val="24"/>
        </w:rPr>
      </w:pPr>
      <w:r>
        <w:rPr>
          <w:rFonts w:hint="eastAsia"/>
          <w:bCs/>
          <w:color w:val="auto"/>
          <w:sz w:val="24"/>
        </w:rPr>
        <w:t>（4）液体物料采用瓶装收集，储存瓶放置在托盘内，托盘容积能够保证最大瓶容器泄漏的需求。</w:t>
      </w:r>
    </w:p>
    <w:p w14:paraId="06CC845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rPr>
      </w:pPr>
      <w:r>
        <w:rPr>
          <w:rFonts w:hint="eastAsia"/>
          <w:bCs/>
          <w:color w:val="auto"/>
          <w:sz w:val="24"/>
        </w:rPr>
        <w:t>（5）对</w:t>
      </w:r>
      <w:r>
        <w:rPr>
          <w:rFonts w:hint="eastAsia"/>
          <w:bCs/>
          <w:color w:val="auto"/>
          <w:sz w:val="24"/>
          <w:lang w:val="en-US" w:eastAsia="zh-CN"/>
        </w:rPr>
        <w:t>危险</w:t>
      </w:r>
      <w:r>
        <w:rPr>
          <w:rFonts w:hint="eastAsia"/>
          <w:bCs/>
          <w:color w:val="auto"/>
          <w:sz w:val="24"/>
        </w:rPr>
        <w:t>废物进行科学的分类收集</w:t>
      </w:r>
      <w:r>
        <w:rPr>
          <w:rFonts w:hint="eastAsia"/>
          <w:bCs/>
          <w:color w:val="auto"/>
          <w:sz w:val="24"/>
          <w:lang w:val="en-US" w:eastAsia="zh-CN"/>
        </w:rPr>
        <w:t>储存</w:t>
      </w:r>
      <w:r>
        <w:rPr>
          <w:rFonts w:hint="eastAsia"/>
          <w:bCs/>
          <w:color w:val="auto"/>
          <w:sz w:val="24"/>
        </w:rPr>
        <w:t>，设置</w:t>
      </w:r>
      <w:r>
        <w:rPr>
          <w:rFonts w:hint="eastAsia"/>
          <w:bCs/>
          <w:color w:val="auto"/>
          <w:sz w:val="24"/>
          <w:lang w:val="en-US" w:eastAsia="zh-CN"/>
        </w:rPr>
        <w:t>危险</w:t>
      </w:r>
      <w:r>
        <w:rPr>
          <w:rFonts w:hint="eastAsia"/>
          <w:bCs/>
          <w:color w:val="auto"/>
          <w:sz w:val="24"/>
        </w:rPr>
        <w:t>废物暂存间，存放采用专用</w:t>
      </w:r>
      <w:r>
        <w:rPr>
          <w:rFonts w:hint="eastAsia" w:ascii="Times New Roman" w:hAnsi="Times New Roman" w:eastAsia="宋体" w:cs="Times New Roman"/>
          <w:bCs/>
          <w:color w:val="auto"/>
          <w:sz w:val="24"/>
        </w:rPr>
        <w:t>容器，明确各类废弃物标识，分类包装，并本着即时、方便、安全、快捷的原则进行收集。</w:t>
      </w:r>
    </w:p>
    <w:p w14:paraId="15AB307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6</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rPr>
        <w:t>项目</w:t>
      </w:r>
      <w:r>
        <w:rPr>
          <w:rFonts w:hint="eastAsia" w:ascii="Times New Roman" w:hAnsi="Times New Roman" w:eastAsia="宋体" w:cs="Times New Roman"/>
          <w:bCs/>
          <w:color w:val="auto"/>
          <w:sz w:val="24"/>
          <w:lang w:val="en-US" w:eastAsia="zh-CN"/>
        </w:rPr>
        <w:t>蚀刻生产线</w:t>
      </w:r>
      <w:r>
        <w:rPr>
          <w:rFonts w:hint="eastAsia" w:ascii="Times New Roman" w:hAnsi="Times New Roman" w:eastAsia="宋体" w:cs="Times New Roman"/>
          <w:bCs/>
          <w:color w:val="auto"/>
          <w:sz w:val="24"/>
        </w:rPr>
        <w:t>车间地面需进行防渗防腐处理，车间门窗等其他部位需进行防腐处理。考虑</w:t>
      </w:r>
      <w:r>
        <w:rPr>
          <w:rFonts w:hint="eastAsia" w:ascii="Times New Roman" w:hAnsi="Times New Roman" w:eastAsia="宋体" w:cs="Times New Roman"/>
          <w:bCs/>
          <w:color w:val="auto"/>
          <w:sz w:val="24"/>
          <w:lang w:val="en-US" w:eastAsia="zh-CN"/>
        </w:rPr>
        <w:t>蚀刻生产线</w:t>
      </w:r>
      <w:r>
        <w:rPr>
          <w:rFonts w:hint="eastAsia" w:ascii="Times New Roman" w:hAnsi="Times New Roman" w:eastAsia="宋体" w:cs="Times New Roman"/>
          <w:bCs/>
          <w:color w:val="auto"/>
          <w:sz w:val="24"/>
        </w:rPr>
        <w:t>车间设有水洗、蚀刻等槽、池，车间设围堰和导流沟。</w:t>
      </w:r>
    </w:p>
    <w:p w14:paraId="2AC01E4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7</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rPr>
        <w:t>车间安装酸性气体</w:t>
      </w:r>
      <w:r>
        <w:rPr>
          <w:rFonts w:hint="eastAsia" w:ascii="Times New Roman" w:hAnsi="Times New Roman" w:eastAsia="宋体" w:cs="Times New Roman"/>
          <w:bCs/>
          <w:color w:val="auto"/>
          <w:sz w:val="24"/>
          <w:lang w:eastAsia="zh-CN"/>
        </w:rPr>
        <w:t>泄漏</w:t>
      </w:r>
      <w:r>
        <w:rPr>
          <w:rFonts w:hint="eastAsia" w:ascii="Times New Roman" w:hAnsi="Times New Roman" w:eastAsia="宋体" w:cs="Times New Roman"/>
          <w:bCs/>
          <w:color w:val="auto"/>
          <w:sz w:val="24"/>
        </w:rPr>
        <w:t>报警装置，一旦发现废气异常排放，立即停止生产。</w:t>
      </w:r>
    </w:p>
    <w:p w14:paraId="31FB1A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color w:val="auto"/>
          <w:sz w:val="24"/>
        </w:rPr>
      </w:pPr>
      <w:r>
        <w:rPr>
          <w:rFonts w:hint="eastAsia"/>
          <w:bCs/>
          <w:color w:val="auto"/>
          <w:sz w:val="24"/>
        </w:rPr>
        <w:t>2、建立报警和通讯联络体系</w:t>
      </w:r>
    </w:p>
    <w:p w14:paraId="729E898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color w:val="auto"/>
          <w:sz w:val="24"/>
        </w:rPr>
      </w:pPr>
      <w:r>
        <w:rPr>
          <w:rFonts w:hint="eastAsia"/>
          <w:bCs/>
          <w:color w:val="auto"/>
          <w:sz w:val="24"/>
        </w:rPr>
        <w:t>报警：员工发现灾情后，应立即向负责人、值班人员或消防队报警，要求提供准确、简明的事故现场信息，并提供报警人的联系方式。企业发生化学事故很重要的是前期扑救工作，应积极采取停车、启动安全保护、组织人员疏散等措施。</w:t>
      </w:r>
    </w:p>
    <w:p w14:paraId="3FD46E1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color w:val="auto"/>
          <w:sz w:val="24"/>
        </w:rPr>
      </w:pPr>
      <w:r>
        <w:rPr>
          <w:rFonts w:hint="eastAsia"/>
          <w:bCs/>
          <w:color w:val="auto"/>
          <w:sz w:val="24"/>
        </w:rPr>
        <w:t>接警和通达：班组负责人、值班人员接到报警后，应立即报告公司应急救援指挥部，报告内容包括：事故发生的时间和地点，事故类型如火灾、爆炸、泄漏，估计造成事故的规模；公司应急救援指挥部根据事故的级别判断是否需要启动应急救援预案，全面启动事故处理程序后，通知各成员火速赶赴现场，实施应急救援行动；然后向上级应急指挥部门报告。</w:t>
      </w:r>
    </w:p>
    <w:p w14:paraId="13E2568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color w:val="auto"/>
          <w:sz w:val="24"/>
        </w:rPr>
      </w:pPr>
      <w:r>
        <w:rPr>
          <w:rFonts w:hint="eastAsia"/>
          <w:bCs/>
          <w:color w:val="auto"/>
          <w:sz w:val="24"/>
        </w:rPr>
        <w:t>3、制定应急培训计划</w:t>
      </w:r>
    </w:p>
    <w:p w14:paraId="4FEBC38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color w:val="auto"/>
          <w:sz w:val="24"/>
        </w:rPr>
      </w:pPr>
      <w:r>
        <w:rPr>
          <w:rFonts w:hint="eastAsia"/>
          <w:bCs/>
          <w:color w:val="auto"/>
          <w:sz w:val="24"/>
        </w:rPr>
        <w:t>为了使相关应急救援人员都能熟悉掌握事故预案的操作程序及处理方法，应制定应急培训计划，培训内容应包括：熟悉、掌握工艺过程。熟悉主要原料、产品、中间产品的性质。正确掌握气防和消防器材、设施的位置及如何使用。事故发生后的报警和通讯联络及人员紧急疏散、撤离，危险区的隔离。受伤人员现场救治方法。</w:t>
      </w:r>
    </w:p>
    <w:p w14:paraId="3AA409C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color w:val="auto"/>
          <w:sz w:val="24"/>
        </w:rPr>
      </w:pPr>
      <w:r>
        <w:rPr>
          <w:rFonts w:hint="eastAsia"/>
          <w:bCs/>
          <w:color w:val="auto"/>
          <w:sz w:val="24"/>
        </w:rPr>
        <w:t>4、定期组织演练</w:t>
      </w:r>
    </w:p>
    <w:p w14:paraId="61A7A25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color w:val="auto"/>
          <w:sz w:val="24"/>
        </w:rPr>
      </w:pPr>
      <w:r>
        <w:rPr>
          <w:rFonts w:hint="eastAsia"/>
          <w:bCs/>
          <w:color w:val="auto"/>
          <w:sz w:val="24"/>
          <w:lang w:val="en-US" w:eastAsia="zh-CN"/>
        </w:rPr>
        <w:t>全厂区</w:t>
      </w:r>
      <w:r>
        <w:rPr>
          <w:rFonts w:hint="eastAsia"/>
          <w:bCs/>
          <w:color w:val="auto"/>
          <w:sz w:val="24"/>
        </w:rPr>
        <w:t>应急救援指挥部组织各成员，以危险化学品的泄漏、火灾、爆炸，停水、停电、停气为主要内容，组织车间范围内的应急救援，每年组织一次演练。</w:t>
      </w:r>
    </w:p>
    <w:p w14:paraId="0958C95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color w:val="auto"/>
          <w:sz w:val="24"/>
        </w:rPr>
      </w:pPr>
      <w:r>
        <w:rPr>
          <w:rFonts w:hint="eastAsia"/>
          <w:bCs/>
          <w:color w:val="auto"/>
          <w:sz w:val="24"/>
        </w:rPr>
        <w:t>5、风险应急预案</w:t>
      </w:r>
    </w:p>
    <w:p w14:paraId="2C20E4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color w:val="auto"/>
          <w:sz w:val="24"/>
        </w:rPr>
      </w:pPr>
      <w:r>
        <w:rPr>
          <w:rFonts w:hint="eastAsia"/>
          <w:bCs/>
          <w:color w:val="auto"/>
          <w:sz w:val="24"/>
        </w:rPr>
        <w:t>按照要求，编制风险应急预案，并与</w:t>
      </w:r>
      <w:r>
        <w:rPr>
          <w:rFonts w:hint="eastAsia"/>
          <w:bCs/>
          <w:color w:val="auto"/>
          <w:sz w:val="24"/>
          <w:lang w:val="en-US" w:eastAsia="zh-CN"/>
        </w:rPr>
        <w:t>高新区</w:t>
      </w:r>
      <w:r>
        <w:rPr>
          <w:rFonts w:hint="eastAsia"/>
          <w:bCs/>
          <w:color w:val="auto"/>
          <w:sz w:val="24"/>
        </w:rPr>
        <w:t>风险应急预案进行衔接，将发生的环境风险事故控制在区范围内。</w:t>
      </w:r>
    </w:p>
    <w:p w14:paraId="12EE1F3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color w:val="auto"/>
          <w:sz w:val="24"/>
        </w:rPr>
      </w:pPr>
      <w:r>
        <w:rPr>
          <w:rFonts w:hint="eastAsia"/>
          <w:bCs/>
          <w:color w:val="auto"/>
          <w:sz w:val="24"/>
        </w:rPr>
        <w:t>最早发现者立即向院领导及区相关部门报告，切断事故源，查清泄漏目标和部位，如有必要请求援助。利用院区内应急物资对泄漏物进行围堵、吸附等处理，吸收泄漏物的吸附材料放入防渗漏桶，按照泄漏物性质进行分类，并通知危险废物暂存部门做好接纳准备。</w:t>
      </w:r>
    </w:p>
    <w:p w14:paraId="04186C1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color w:val="auto"/>
          <w:sz w:val="24"/>
        </w:rPr>
      </w:pPr>
      <w:r>
        <w:rPr>
          <w:rFonts w:hint="eastAsia"/>
          <w:bCs/>
          <w:color w:val="auto"/>
          <w:sz w:val="24"/>
        </w:rPr>
        <w:t>如果泄漏物已经通过废水收集管道等进入废水收集系统，需立即通知相关部门报告泄漏物种类、数量等信息，</w:t>
      </w:r>
      <w:r>
        <w:rPr>
          <w:rFonts w:hint="eastAsia"/>
          <w:bCs/>
          <w:color w:val="auto"/>
          <w:sz w:val="24"/>
          <w:lang w:val="en-US" w:eastAsia="zh-CN"/>
        </w:rPr>
        <w:t>企业</w:t>
      </w:r>
      <w:r>
        <w:rPr>
          <w:rFonts w:hint="eastAsia"/>
          <w:bCs/>
          <w:color w:val="auto"/>
          <w:sz w:val="24"/>
        </w:rPr>
        <w:t>污水处理设施做好接纳事故泄漏物的处置准备。</w:t>
      </w:r>
    </w:p>
    <w:p w14:paraId="6845E2B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color w:val="auto"/>
          <w:sz w:val="24"/>
        </w:rPr>
      </w:pPr>
      <w:r>
        <w:rPr>
          <w:rFonts w:hint="eastAsia"/>
          <w:bCs/>
          <w:color w:val="auto"/>
          <w:sz w:val="24"/>
        </w:rPr>
        <w:t>划分警戒区域，设置警告牌，禁止无关人员进入，对泄漏现场中毒人员进行抢救。调查事故发生的原因，通知相关人员，并组织专业人员尽快抢修设备和人员医疗救助，控制事故，防止事故扩大。</w:t>
      </w:r>
    </w:p>
    <w:p w14:paraId="2103C5E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color w:val="auto"/>
          <w:sz w:val="24"/>
        </w:rPr>
      </w:pPr>
      <w:r>
        <w:rPr>
          <w:rFonts w:hint="eastAsia"/>
          <w:bCs/>
          <w:color w:val="auto"/>
          <w:sz w:val="24"/>
        </w:rPr>
        <w:t>根据事故源的控制情况状况，做好事故后的事故源处置工作和警戒撤离，恢复正常的生产和生活秩序。</w:t>
      </w:r>
    </w:p>
    <w:p w14:paraId="0C6E911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color w:val="auto"/>
          <w:sz w:val="24"/>
        </w:rPr>
      </w:pPr>
      <w:r>
        <w:rPr>
          <w:rFonts w:hint="eastAsia"/>
          <w:bCs/>
          <w:color w:val="auto"/>
          <w:sz w:val="24"/>
        </w:rPr>
        <w:t>事故应急预案的主要内容见下表。</w:t>
      </w:r>
    </w:p>
    <w:p w14:paraId="6F266D02">
      <w:pPr>
        <w:jc w:val="center"/>
        <w:rPr>
          <w:rFonts w:hint="eastAsia"/>
          <w:b/>
          <w:bCs/>
          <w:color w:val="auto"/>
          <w:szCs w:val="21"/>
        </w:rPr>
      </w:pPr>
      <w:r>
        <w:rPr>
          <w:rFonts w:hint="eastAsia"/>
          <w:b/>
          <w:bCs/>
          <w:color w:val="auto"/>
          <w:sz w:val="24"/>
          <w:szCs w:val="24"/>
        </w:rPr>
        <w:t>表4</w:t>
      </w:r>
      <w:r>
        <w:rPr>
          <w:rFonts w:hint="eastAsia"/>
          <w:b/>
          <w:bCs/>
          <w:color w:val="auto"/>
          <w:sz w:val="24"/>
          <w:szCs w:val="24"/>
          <w:lang w:val="en-US" w:eastAsia="zh-CN"/>
        </w:rPr>
        <w:t>-3</w:t>
      </w:r>
      <w:r>
        <w:rPr>
          <w:rFonts w:hint="eastAsia"/>
          <w:b/>
          <w:bCs/>
          <w:color w:val="auto"/>
          <w:sz w:val="24"/>
          <w:szCs w:val="24"/>
        </w:rPr>
        <w:t xml:space="preserve">  事故应急预案内容表</w:t>
      </w:r>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2138"/>
        <w:gridCol w:w="6206"/>
      </w:tblGrid>
      <w:tr w14:paraId="2F75E5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noWrap w:val="0"/>
            <w:vAlign w:val="center"/>
          </w:tcPr>
          <w:p w14:paraId="4033E729">
            <w:pPr>
              <w:tabs>
                <w:tab w:val="left" w:pos="2694"/>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2138" w:type="dxa"/>
            <w:noWrap w:val="0"/>
            <w:vAlign w:val="center"/>
          </w:tcPr>
          <w:p w14:paraId="22803E83">
            <w:pPr>
              <w:tabs>
                <w:tab w:val="left" w:pos="2694"/>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6206" w:type="dxa"/>
            <w:noWrap w:val="0"/>
            <w:vAlign w:val="center"/>
          </w:tcPr>
          <w:p w14:paraId="0EFDB8AD">
            <w:pPr>
              <w:tabs>
                <w:tab w:val="left" w:pos="2694"/>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内容及要求</w:t>
            </w:r>
          </w:p>
        </w:tc>
      </w:tr>
      <w:tr w14:paraId="0BBEB1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646" w:type="dxa"/>
            <w:noWrap w:val="0"/>
            <w:vAlign w:val="center"/>
          </w:tcPr>
          <w:p w14:paraId="2D22096E">
            <w:pPr>
              <w:tabs>
                <w:tab w:val="left" w:pos="2694"/>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138" w:type="dxa"/>
            <w:noWrap w:val="0"/>
            <w:vAlign w:val="center"/>
          </w:tcPr>
          <w:p w14:paraId="6E77CCDD">
            <w:pPr>
              <w:tabs>
                <w:tab w:val="left" w:pos="2694"/>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应急计划区</w:t>
            </w:r>
          </w:p>
        </w:tc>
        <w:tc>
          <w:tcPr>
            <w:tcW w:w="6206" w:type="dxa"/>
            <w:noWrap w:val="0"/>
            <w:vAlign w:val="center"/>
          </w:tcPr>
          <w:p w14:paraId="581450C5">
            <w:pPr>
              <w:keepNext w:val="0"/>
              <w:keepLines w:val="0"/>
              <w:pageBreakBefore w:val="0"/>
              <w:widowControl w:val="0"/>
              <w:tabs>
                <w:tab w:val="left" w:pos="2694"/>
              </w:tabs>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整个</w:t>
            </w:r>
            <w:r>
              <w:rPr>
                <w:rFonts w:hint="default" w:ascii="Times New Roman" w:hAnsi="Times New Roman" w:eastAsia="宋体" w:cs="Times New Roman"/>
                <w:color w:val="auto"/>
                <w:sz w:val="21"/>
                <w:szCs w:val="21"/>
                <w:lang w:val="en-US" w:eastAsia="zh-CN"/>
              </w:rPr>
              <w:t>厂区</w:t>
            </w:r>
          </w:p>
        </w:tc>
      </w:tr>
      <w:tr w14:paraId="7E655D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noWrap w:val="0"/>
            <w:vAlign w:val="center"/>
          </w:tcPr>
          <w:p w14:paraId="05177FC2">
            <w:pPr>
              <w:tabs>
                <w:tab w:val="left" w:pos="2694"/>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138" w:type="dxa"/>
            <w:noWrap w:val="0"/>
            <w:vAlign w:val="center"/>
          </w:tcPr>
          <w:p w14:paraId="494CFC33">
            <w:pPr>
              <w:tabs>
                <w:tab w:val="left" w:pos="2694"/>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应急组织机构、人员</w:t>
            </w:r>
          </w:p>
        </w:tc>
        <w:tc>
          <w:tcPr>
            <w:tcW w:w="6206" w:type="dxa"/>
            <w:noWrap w:val="0"/>
            <w:vAlign w:val="center"/>
          </w:tcPr>
          <w:p w14:paraId="1D16462A">
            <w:pPr>
              <w:keepNext w:val="0"/>
              <w:keepLines w:val="0"/>
              <w:pageBreakBefore w:val="0"/>
              <w:widowControl w:val="0"/>
              <w:tabs>
                <w:tab w:val="left" w:pos="2694"/>
              </w:tabs>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设应急救援小组；成立应急指挥中心，下设应急抢险队（组）、医疗救护队（组）及后勤支援队（组）等，对救援人员、设备等统一指挥。</w:t>
            </w:r>
          </w:p>
        </w:tc>
      </w:tr>
      <w:tr w14:paraId="1144A9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noWrap w:val="0"/>
            <w:vAlign w:val="center"/>
          </w:tcPr>
          <w:p w14:paraId="2A9588BD">
            <w:pPr>
              <w:tabs>
                <w:tab w:val="left" w:pos="2694"/>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138" w:type="dxa"/>
            <w:noWrap w:val="0"/>
            <w:vAlign w:val="center"/>
          </w:tcPr>
          <w:p w14:paraId="7C8605AC">
            <w:pPr>
              <w:tabs>
                <w:tab w:val="left" w:pos="2694"/>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预案分级响应条件</w:t>
            </w:r>
          </w:p>
        </w:tc>
        <w:tc>
          <w:tcPr>
            <w:tcW w:w="6206" w:type="dxa"/>
            <w:noWrap w:val="0"/>
            <w:vAlign w:val="center"/>
          </w:tcPr>
          <w:p w14:paraId="46928496">
            <w:pPr>
              <w:keepNext w:val="0"/>
              <w:keepLines w:val="0"/>
              <w:pageBreakBefore w:val="0"/>
              <w:widowControl w:val="0"/>
              <w:tabs>
                <w:tab w:val="left" w:pos="2694"/>
              </w:tabs>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项目各环境风险源发生火灾，影响估计波及周边范围内居民，必须启动二级预案，并迅速通知周边居民、派出所及地方政府，同时利用本单位应急救援力量制止事故，并不失时机地进行应急救援。</w:t>
            </w:r>
          </w:p>
        </w:tc>
      </w:tr>
      <w:tr w14:paraId="6E583E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noWrap w:val="0"/>
            <w:vAlign w:val="center"/>
          </w:tcPr>
          <w:p w14:paraId="1175F214">
            <w:pPr>
              <w:tabs>
                <w:tab w:val="left" w:pos="2694"/>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138" w:type="dxa"/>
            <w:noWrap w:val="0"/>
            <w:vAlign w:val="center"/>
          </w:tcPr>
          <w:p w14:paraId="2021C998">
            <w:pPr>
              <w:tabs>
                <w:tab w:val="left" w:pos="2694"/>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应急救援保障</w:t>
            </w:r>
          </w:p>
        </w:tc>
        <w:tc>
          <w:tcPr>
            <w:tcW w:w="6206" w:type="dxa"/>
            <w:noWrap w:val="0"/>
            <w:vAlign w:val="center"/>
          </w:tcPr>
          <w:p w14:paraId="0531E19E">
            <w:pPr>
              <w:keepNext w:val="0"/>
              <w:keepLines w:val="0"/>
              <w:pageBreakBefore w:val="0"/>
              <w:widowControl w:val="0"/>
              <w:tabs>
                <w:tab w:val="left" w:pos="2694"/>
              </w:tabs>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易发生火灾区域配备消防设施及专用抢险工具、防护装置（包括医疗抢救设备及药品等器材）等。</w:t>
            </w:r>
          </w:p>
        </w:tc>
      </w:tr>
      <w:tr w14:paraId="32CEF2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noWrap w:val="0"/>
            <w:vAlign w:val="center"/>
          </w:tcPr>
          <w:p w14:paraId="52E01FFC">
            <w:pPr>
              <w:tabs>
                <w:tab w:val="left" w:pos="2694"/>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138" w:type="dxa"/>
            <w:noWrap w:val="0"/>
            <w:vAlign w:val="center"/>
          </w:tcPr>
          <w:p w14:paraId="7C9F8A41">
            <w:pPr>
              <w:tabs>
                <w:tab w:val="left" w:pos="2694"/>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报警、通讯联络方式</w:t>
            </w:r>
          </w:p>
        </w:tc>
        <w:tc>
          <w:tcPr>
            <w:tcW w:w="6206" w:type="dxa"/>
            <w:noWrap w:val="0"/>
            <w:vAlign w:val="center"/>
          </w:tcPr>
          <w:p w14:paraId="78407D8A">
            <w:pPr>
              <w:keepNext w:val="0"/>
              <w:keepLines w:val="0"/>
              <w:pageBreakBefore w:val="0"/>
              <w:widowControl w:val="0"/>
              <w:tabs>
                <w:tab w:val="left" w:pos="2694"/>
              </w:tabs>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院内救援信号主要使用固定电话、移动电话对内对外联络。</w:t>
            </w:r>
          </w:p>
        </w:tc>
      </w:tr>
      <w:tr w14:paraId="39DA35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noWrap w:val="0"/>
            <w:vAlign w:val="center"/>
          </w:tcPr>
          <w:p w14:paraId="66CC3B4D">
            <w:pPr>
              <w:tabs>
                <w:tab w:val="left" w:pos="2694"/>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2138" w:type="dxa"/>
            <w:noWrap w:val="0"/>
            <w:vAlign w:val="center"/>
          </w:tcPr>
          <w:p w14:paraId="4E70325C">
            <w:pPr>
              <w:tabs>
                <w:tab w:val="left" w:pos="2694"/>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事故处理措施</w:t>
            </w:r>
          </w:p>
        </w:tc>
        <w:tc>
          <w:tcPr>
            <w:tcW w:w="6206" w:type="dxa"/>
            <w:noWrap w:val="0"/>
            <w:vAlign w:val="center"/>
          </w:tcPr>
          <w:p w14:paraId="3FB3807E">
            <w:pPr>
              <w:keepNext w:val="0"/>
              <w:keepLines w:val="0"/>
              <w:pageBreakBefore w:val="0"/>
              <w:widowControl w:val="0"/>
              <w:tabs>
                <w:tab w:val="left" w:pos="2694"/>
              </w:tabs>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发生物料泄漏后，相关人员立即指挥周围无关人员迅速离开，隔离现场，院区范围禁止明火，及时堵漏，防止事态扩大；并疏散事故现场周围易燃易爆物品，防止二次事故发生。</w:t>
            </w:r>
          </w:p>
          <w:p w14:paraId="549C54AE">
            <w:pPr>
              <w:keepNext w:val="0"/>
              <w:keepLines w:val="0"/>
              <w:pageBreakBefore w:val="0"/>
              <w:widowControl w:val="0"/>
              <w:tabs>
                <w:tab w:val="left" w:pos="2694"/>
              </w:tabs>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发生火灾或爆炸后，迅速切断区域的电源、明火源等；专业消防人员使用雾状水、抗溶性泡沫、二氧化碳、沙土等灭火材料，防止火灾进一步扩大和爆炸发生；事故排除后，检查现场，恢复火灾或爆炸区域。</w:t>
            </w:r>
          </w:p>
        </w:tc>
      </w:tr>
      <w:tr w14:paraId="74AEB7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noWrap w:val="0"/>
            <w:vAlign w:val="center"/>
          </w:tcPr>
          <w:p w14:paraId="31FB8E2F">
            <w:pPr>
              <w:tabs>
                <w:tab w:val="left" w:pos="2694"/>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2138" w:type="dxa"/>
            <w:noWrap w:val="0"/>
            <w:vAlign w:val="center"/>
          </w:tcPr>
          <w:p w14:paraId="5EF24B05">
            <w:pPr>
              <w:tabs>
                <w:tab w:val="left" w:pos="2694"/>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人员紧急撤离、疏散，应急剂量控制、撤离组织计划</w:t>
            </w:r>
          </w:p>
        </w:tc>
        <w:tc>
          <w:tcPr>
            <w:tcW w:w="6206" w:type="dxa"/>
            <w:noWrap w:val="0"/>
            <w:vAlign w:val="center"/>
          </w:tcPr>
          <w:p w14:paraId="4A22800B">
            <w:pPr>
              <w:keepNext w:val="0"/>
              <w:keepLines w:val="0"/>
              <w:pageBreakBefore w:val="0"/>
              <w:widowControl w:val="0"/>
              <w:tabs>
                <w:tab w:val="left" w:pos="2694"/>
              </w:tabs>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应急救援小组应责令抢救人员护送所有非现场人员离开现场；现场操作人员、抢救救护人员、抢险人员完成本职工作后立即撤离现场。</w:t>
            </w:r>
          </w:p>
          <w:p w14:paraId="7B7000DE">
            <w:pPr>
              <w:keepNext w:val="0"/>
              <w:keepLines w:val="0"/>
              <w:pageBreakBefore w:val="0"/>
              <w:widowControl w:val="0"/>
              <w:tabs>
                <w:tab w:val="left" w:pos="2694"/>
              </w:tabs>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事故发生后，应急救援小组立即根据性质划定危险区范围，设立危险区警戒线，隔离方法采用红胶带圈围的方法。</w:t>
            </w:r>
          </w:p>
        </w:tc>
      </w:tr>
      <w:tr w14:paraId="0104FA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noWrap w:val="0"/>
            <w:vAlign w:val="center"/>
          </w:tcPr>
          <w:p w14:paraId="632E53F5">
            <w:pPr>
              <w:tabs>
                <w:tab w:val="left" w:pos="2694"/>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2138" w:type="dxa"/>
            <w:noWrap w:val="0"/>
            <w:vAlign w:val="center"/>
          </w:tcPr>
          <w:p w14:paraId="35D6E48F">
            <w:pPr>
              <w:tabs>
                <w:tab w:val="left" w:pos="2694"/>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事故应急救援关闭程序</w:t>
            </w:r>
          </w:p>
        </w:tc>
        <w:tc>
          <w:tcPr>
            <w:tcW w:w="6206" w:type="dxa"/>
            <w:noWrap w:val="0"/>
            <w:vAlign w:val="center"/>
          </w:tcPr>
          <w:p w14:paraId="349087D8">
            <w:pPr>
              <w:keepNext w:val="0"/>
              <w:keepLines w:val="0"/>
              <w:pageBreakBefore w:val="0"/>
              <w:widowControl w:val="0"/>
              <w:tabs>
                <w:tab w:val="left" w:pos="2694"/>
              </w:tabs>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事故应急救援关闭程序：①下降警戒级别，撤出救援力量和宣布取消应急；②对现场进行清理；③对于受灾的操作人员提供帮助，进入恢复正常状态；④评估破坏造成的损失，进行事故调查和后果评价及重建等。</w:t>
            </w:r>
          </w:p>
        </w:tc>
      </w:tr>
      <w:tr w14:paraId="50F2CD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noWrap w:val="0"/>
            <w:vAlign w:val="center"/>
          </w:tcPr>
          <w:p w14:paraId="7F9B074B">
            <w:pPr>
              <w:tabs>
                <w:tab w:val="left" w:pos="2694"/>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2138" w:type="dxa"/>
            <w:noWrap w:val="0"/>
            <w:vAlign w:val="center"/>
          </w:tcPr>
          <w:p w14:paraId="1DA5E420">
            <w:pPr>
              <w:tabs>
                <w:tab w:val="left" w:pos="2694"/>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应急培训计划</w:t>
            </w:r>
          </w:p>
        </w:tc>
        <w:tc>
          <w:tcPr>
            <w:tcW w:w="6206" w:type="dxa"/>
            <w:noWrap w:val="0"/>
            <w:vAlign w:val="center"/>
          </w:tcPr>
          <w:p w14:paraId="6D37BADD">
            <w:pPr>
              <w:keepNext w:val="0"/>
              <w:keepLines w:val="0"/>
              <w:pageBreakBefore w:val="0"/>
              <w:widowControl w:val="0"/>
              <w:tabs>
                <w:tab w:val="left" w:pos="2694"/>
              </w:tabs>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每年定期培训1次。应急培训的主要内容有：应急计划、应急救援预案、消防技术、医疗救护基本知识、检测技术、应急反应系统的管理与使用须知等。</w:t>
            </w:r>
          </w:p>
        </w:tc>
      </w:tr>
      <w:tr w14:paraId="6EC3FA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noWrap w:val="0"/>
            <w:vAlign w:val="center"/>
          </w:tcPr>
          <w:p w14:paraId="16BD99E7">
            <w:pPr>
              <w:tabs>
                <w:tab w:val="left" w:pos="2694"/>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2138" w:type="dxa"/>
            <w:noWrap w:val="0"/>
            <w:vAlign w:val="center"/>
          </w:tcPr>
          <w:p w14:paraId="0E5303F0">
            <w:pPr>
              <w:tabs>
                <w:tab w:val="left" w:pos="2694"/>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公众教育和信息</w:t>
            </w:r>
          </w:p>
        </w:tc>
        <w:tc>
          <w:tcPr>
            <w:tcW w:w="6206" w:type="dxa"/>
            <w:noWrap w:val="0"/>
            <w:vAlign w:val="center"/>
          </w:tcPr>
          <w:p w14:paraId="25991236">
            <w:pPr>
              <w:keepNext w:val="0"/>
              <w:keepLines w:val="0"/>
              <w:pageBreakBefore w:val="0"/>
              <w:widowControl w:val="0"/>
              <w:tabs>
                <w:tab w:val="left" w:pos="2694"/>
              </w:tabs>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风险事故可能对周边安全存在较大的威胁，应定期进行宣传，使周边厂区职工了解环境风险物质的物理、化学特性以及基本应急处置措施，以提高其应急意识和能力。</w:t>
            </w:r>
          </w:p>
        </w:tc>
      </w:tr>
    </w:tbl>
    <w:p w14:paraId="3F7E8ACD">
      <w:pPr>
        <w:pStyle w:val="4"/>
        <w:spacing w:before="0" w:after="0" w:line="490" w:lineRule="exact"/>
        <w:rPr>
          <w:sz w:val="24"/>
          <w:szCs w:val="24"/>
        </w:rPr>
      </w:pPr>
      <w:r>
        <w:rPr>
          <w:sz w:val="24"/>
          <w:szCs w:val="24"/>
        </w:rPr>
        <w:t>4.2.2</w:t>
      </w:r>
      <w:r>
        <w:rPr>
          <w:rFonts w:hint="eastAsia"/>
          <w:sz w:val="24"/>
          <w:szCs w:val="24"/>
        </w:rPr>
        <w:t>规范化排污口、监测设施及在线监测装置</w:t>
      </w:r>
    </w:p>
    <w:p w14:paraId="5DBE4851">
      <w:pPr>
        <w:spacing w:line="490" w:lineRule="exact"/>
        <w:ind w:firstLine="480" w:firstLineChars="200"/>
        <w:rPr>
          <w:sz w:val="24"/>
          <w:szCs w:val="24"/>
        </w:rPr>
      </w:pPr>
      <w:r>
        <w:rPr>
          <w:rFonts w:hint="eastAsia"/>
          <w:sz w:val="24"/>
          <w:szCs w:val="24"/>
        </w:rPr>
        <w:t>项目废气排气筒设置了监测孔、设置了排放口标识标牌；固废暂存场所设置了规范的标识标牌、完善了管理相关制度；废气排放口、固废暂存场所的设置基本符合《关于印发重庆市排污口规范化清理整治实施方案的通知》（渝环发[2012]26号）的要求。</w:t>
      </w:r>
    </w:p>
    <w:p w14:paraId="749FB402">
      <w:pPr>
        <w:spacing w:line="490" w:lineRule="exact"/>
        <w:ind w:firstLine="480" w:firstLineChars="200"/>
        <w:rPr>
          <w:sz w:val="24"/>
          <w:szCs w:val="24"/>
        </w:rPr>
      </w:pPr>
      <w:r>
        <w:rPr>
          <w:rFonts w:hint="eastAsia"/>
          <w:sz w:val="24"/>
          <w:szCs w:val="24"/>
        </w:rPr>
        <w:t>根据现场调查及项目污染物产排情况，不需要设置在线监测装置，因此本次竣工验收监测报告不对在线监测装置进行分析。</w:t>
      </w:r>
    </w:p>
    <w:p w14:paraId="3829A226">
      <w:pPr>
        <w:pStyle w:val="4"/>
        <w:spacing w:before="0" w:after="0" w:line="490" w:lineRule="exact"/>
        <w:rPr>
          <w:sz w:val="24"/>
          <w:szCs w:val="24"/>
        </w:rPr>
      </w:pPr>
      <w:r>
        <w:rPr>
          <w:rFonts w:hint="eastAsia"/>
          <w:sz w:val="24"/>
          <w:szCs w:val="24"/>
        </w:rPr>
        <w:t>4.2.3 其他设施</w:t>
      </w:r>
    </w:p>
    <w:p w14:paraId="31806CB2">
      <w:pPr>
        <w:spacing w:line="490" w:lineRule="exact"/>
        <w:ind w:firstLine="480" w:firstLineChars="200"/>
        <w:rPr>
          <w:sz w:val="24"/>
          <w:szCs w:val="24"/>
        </w:rPr>
      </w:pPr>
      <w:r>
        <w:rPr>
          <w:rFonts w:hint="eastAsia"/>
          <w:sz w:val="24"/>
          <w:szCs w:val="24"/>
          <w:highlight w:val="none"/>
        </w:rPr>
        <w:t>本项目主要以废气、固废、噪声、废水污染为主，</w:t>
      </w:r>
      <w:r>
        <w:rPr>
          <w:rFonts w:hint="eastAsia"/>
          <w:sz w:val="24"/>
          <w:szCs w:val="24"/>
          <w:highlight w:val="none"/>
          <w:lang w:eastAsia="zh-CN"/>
        </w:rPr>
        <w:t>重庆京东方晶远科技有限公司</w:t>
      </w:r>
      <w:r>
        <w:rPr>
          <w:rFonts w:hint="eastAsia"/>
          <w:sz w:val="24"/>
          <w:szCs w:val="24"/>
          <w:highlight w:val="none"/>
        </w:rPr>
        <w:t>已做好污染防治，并配置了</w:t>
      </w:r>
      <w:r>
        <w:rPr>
          <w:sz w:val="24"/>
          <w:szCs w:val="24"/>
          <w:highlight w:val="none"/>
        </w:rPr>
        <w:t>1</w:t>
      </w:r>
      <w:r>
        <w:rPr>
          <w:rFonts w:hint="eastAsia"/>
          <w:sz w:val="24"/>
          <w:szCs w:val="24"/>
          <w:highlight w:val="none"/>
        </w:rPr>
        <w:t>名</w:t>
      </w:r>
      <w:r>
        <w:rPr>
          <w:rFonts w:hint="eastAsia"/>
          <w:sz w:val="24"/>
          <w:szCs w:val="24"/>
        </w:rPr>
        <w:t>专职环保工作人员，负责管理、组织、监督、落实环境保护工作，委托具有相关监测资质的单位实施竣工验收监测与例行监测。按规范设置了环保相关标识标牌标志；建立了专门的环保档案，环保资料包括环评报告及其批复、排污许可证、各类管理制度文件及资料，不存在相关环保制度、文件和手续乱放现象。</w:t>
      </w:r>
    </w:p>
    <w:p w14:paraId="2DC9B341">
      <w:pPr>
        <w:pStyle w:val="3"/>
      </w:pPr>
      <w:bookmarkStart w:id="163" w:name="_Toc29032"/>
      <w:r>
        <w:t>4.3环保设施投资及“三同时”落实情况</w:t>
      </w:r>
      <w:bookmarkEnd w:id="160"/>
      <w:bookmarkEnd w:id="161"/>
      <w:bookmarkEnd w:id="163"/>
    </w:p>
    <w:p w14:paraId="2DEE8846">
      <w:pPr>
        <w:pStyle w:val="4"/>
        <w:spacing w:before="0" w:after="0" w:line="490" w:lineRule="exact"/>
        <w:rPr>
          <w:sz w:val="24"/>
          <w:szCs w:val="24"/>
        </w:rPr>
      </w:pPr>
      <w:bookmarkStart w:id="164" w:name="_Toc513474974"/>
      <w:r>
        <w:rPr>
          <w:sz w:val="24"/>
          <w:szCs w:val="24"/>
        </w:rPr>
        <w:t>4.3.1环保设施投资</w:t>
      </w:r>
      <w:bookmarkEnd w:id="164"/>
    </w:p>
    <w:p w14:paraId="32EEC018">
      <w:pPr>
        <w:spacing w:line="490" w:lineRule="exact"/>
        <w:ind w:firstLine="480" w:firstLineChars="200"/>
        <w:rPr>
          <w:sz w:val="24"/>
          <w:szCs w:val="24"/>
          <w:highlight w:val="none"/>
        </w:rPr>
      </w:pPr>
      <w:r>
        <w:rPr>
          <w:rFonts w:hint="eastAsia"/>
          <w:sz w:val="24"/>
          <w:szCs w:val="24"/>
          <w:highlight w:val="none"/>
        </w:rPr>
        <w:t>项目计划总投资</w:t>
      </w:r>
      <w:r>
        <w:rPr>
          <w:sz w:val="24"/>
          <w:szCs w:val="24"/>
          <w:highlight w:val="none"/>
        </w:rPr>
        <w:t>150</w:t>
      </w:r>
      <w:r>
        <w:rPr>
          <w:rFonts w:hint="eastAsia"/>
          <w:sz w:val="24"/>
          <w:szCs w:val="24"/>
          <w:highlight w:val="none"/>
          <w:lang w:val="en-US" w:eastAsia="zh-CN"/>
        </w:rPr>
        <w:t>00</w:t>
      </w:r>
      <w:r>
        <w:rPr>
          <w:rFonts w:hint="eastAsia"/>
          <w:sz w:val="24"/>
          <w:szCs w:val="24"/>
          <w:highlight w:val="none"/>
        </w:rPr>
        <w:t>万元，计划环保投资</w:t>
      </w:r>
      <w:r>
        <w:rPr>
          <w:rFonts w:hint="eastAsia"/>
          <w:sz w:val="24"/>
          <w:szCs w:val="24"/>
          <w:highlight w:val="none"/>
          <w:lang w:val="en-US" w:eastAsia="zh-CN"/>
        </w:rPr>
        <w:t>150</w:t>
      </w:r>
      <w:r>
        <w:rPr>
          <w:rFonts w:hint="eastAsia"/>
          <w:sz w:val="24"/>
          <w:szCs w:val="24"/>
          <w:highlight w:val="none"/>
        </w:rPr>
        <w:t>万元，占计划总投资的</w:t>
      </w:r>
      <w:r>
        <w:rPr>
          <w:rFonts w:hint="eastAsia"/>
          <w:sz w:val="24"/>
          <w:szCs w:val="24"/>
          <w:highlight w:val="none"/>
          <w:lang w:val="en-US" w:eastAsia="zh-CN"/>
        </w:rPr>
        <w:t>1</w:t>
      </w:r>
      <w:r>
        <w:rPr>
          <w:rFonts w:hint="eastAsia"/>
          <w:sz w:val="24"/>
          <w:szCs w:val="24"/>
          <w:highlight w:val="none"/>
        </w:rPr>
        <w:t>%；实际总投资</w:t>
      </w:r>
      <w:r>
        <w:rPr>
          <w:rFonts w:hint="eastAsia"/>
          <w:sz w:val="24"/>
          <w:szCs w:val="24"/>
          <w:highlight w:val="none"/>
          <w:lang w:val="en-US" w:eastAsia="zh-CN"/>
        </w:rPr>
        <w:t>15000</w:t>
      </w:r>
      <w:r>
        <w:rPr>
          <w:rFonts w:hint="eastAsia"/>
          <w:sz w:val="24"/>
          <w:szCs w:val="24"/>
          <w:highlight w:val="none"/>
        </w:rPr>
        <w:t>万元，其中实际环保投资约</w:t>
      </w:r>
      <w:r>
        <w:rPr>
          <w:rFonts w:hint="eastAsia"/>
          <w:sz w:val="24"/>
          <w:szCs w:val="24"/>
          <w:highlight w:val="none"/>
          <w:lang w:val="en-US" w:eastAsia="zh-CN"/>
        </w:rPr>
        <w:t>155</w:t>
      </w:r>
      <w:r>
        <w:rPr>
          <w:rFonts w:hint="eastAsia"/>
          <w:sz w:val="24"/>
          <w:szCs w:val="24"/>
          <w:highlight w:val="none"/>
        </w:rPr>
        <w:t>万元，占总投资比例为</w:t>
      </w:r>
      <w:r>
        <w:rPr>
          <w:rFonts w:hint="eastAsia"/>
          <w:sz w:val="24"/>
          <w:szCs w:val="24"/>
          <w:highlight w:val="none"/>
          <w:lang w:val="en-US" w:eastAsia="zh-CN"/>
        </w:rPr>
        <w:t>1</w:t>
      </w:r>
      <w:r>
        <w:rPr>
          <w:rFonts w:hint="eastAsia"/>
          <w:sz w:val="24"/>
          <w:szCs w:val="24"/>
          <w:highlight w:val="none"/>
        </w:rPr>
        <w:t>%。</w:t>
      </w:r>
    </w:p>
    <w:p w14:paraId="52DB53E3">
      <w:pPr>
        <w:pStyle w:val="4"/>
        <w:spacing w:before="0" w:after="0" w:line="490" w:lineRule="exact"/>
        <w:rPr>
          <w:sz w:val="24"/>
          <w:szCs w:val="24"/>
        </w:rPr>
      </w:pPr>
      <w:bookmarkStart w:id="165" w:name="_Toc513474975"/>
      <w:r>
        <w:rPr>
          <w:sz w:val="24"/>
          <w:szCs w:val="24"/>
        </w:rPr>
        <w:t>4.3.2</w:t>
      </w:r>
      <w:r>
        <w:rPr>
          <w:rFonts w:hint="eastAsia"/>
          <w:sz w:val="24"/>
          <w:szCs w:val="24"/>
        </w:rPr>
        <w:t>“</w:t>
      </w:r>
      <w:r>
        <w:rPr>
          <w:sz w:val="24"/>
          <w:szCs w:val="24"/>
        </w:rPr>
        <w:t>三同时</w:t>
      </w:r>
      <w:r>
        <w:rPr>
          <w:rFonts w:hint="eastAsia"/>
          <w:sz w:val="24"/>
          <w:szCs w:val="24"/>
        </w:rPr>
        <w:t>”</w:t>
      </w:r>
      <w:r>
        <w:rPr>
          <w:sz w:val="24"/>
          <w:szCs w:val="24"/>
        </w:rPr>
        <w:t>落实情况</w:t>
      </w:r>
      <w:bookmarkEnd w:id="165"/>
    </w:p>
    <w:p w14:paraId="7474D630">
      <w:pPr>
        <w:spacing w:line="490" w:lineRule="exact"/>
        <w:ind w:firstLine="480" w:firstLineChars="200"/>
        <w:rPr>
          <w:sz w:val="24"/>
          <w:szCs w:val="24"/>
        </w:rPr>
      </w:pPr>
      <w:r>
        <w:rPr>
          <w:rFonts w:hint="eastAsia"/>
          <w:sz w:val="24"/>
          <w:szCs w:val="24"/>
        </w:rPr>
        <w:t>本项目环保设施环评、设计、实际建设情况详见表</w:t>
      </w:r>
      <w:r>
        <w:rPr>
          <w:rFonts w:hint="eastAsia"/>
          <w:sz w:val="24"/>
          <w:szCs w:val="24"/>
          <w:lang w:val="en-US" w:eastAsia="zh-CN"/>
        </w:rPr>
        <w:t>4-4</w:t>
      </w:r>
      <w:r>
        <w:rPr>
          <w:rFonts w:hint="eastAsia"/>
          <w:sz w:val="24"/>
          <w:szCs w:val="24"/>
        </w:rPr>
        <w:t>。</w:t>
      </w:r>
    </w:p>
    <w:p w14:paraId="5A6952EE">
      <w:pPr>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表</w:t>
      </w:r>
      <w:r>
        <w:rPr>
          <w:rFonts w:hint="default" w:ascii="Times New Roman" w:hAnsi="Times New Roman" w:cs="Times New Roman"/>
          <w:b/>
          <w:bCs/>
          <w:sz w:val="24"/>
          <w:szCs w:val="24"/>
          <w:lang w:val="en-US" w:eastAsia="zh-CN"/>
        </w:rPr>
        <w:t>4-4</w:t>
      </w:r>
      <w:r>
        <w:rPr>
          <w:rFonts w:hint="default" w:ascii="Times New Roman" w:hAnsi="Times New Roman" w:cs="Times New Roman"/>
          <w:b/>
          <w:bCs/>
          <w:sz w:val="24"/>
          <w:szCs w:val="24"/>
        </w:rPr>
        <w:t xml:space="preserve"> 各项环保设施环评、设计、实际建设情况</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555"/>
        <w:gridCol w:w="2690"/>
        <w:gridCol w:w="2691"/>
        <w:gridCol w:w="1356"/>
      </w:tblGrid>
      <w:tr w14:paraId="4E0908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6B2459AC">
            <w:pPr>
              <w:jc w:val="center"/>
              <w:rPr>
                <w:szCs w:val="21"/>
              </w:rPr>
            </w:pPr>
            <w:r>
              <w:rPr>
                <w:szCs w:val="21"/>
              </w:rPr>
              <w:t>类别</w:t>
            </w:r>
          </w:p>
        </w:tc>
        <w:tc>
          <w:tcPr>
            <w:tcW w:w="1555" w:type="dxa"/>
            <w:vAlign w:val="center"/>
          </w:tcPr>
          <w:p w14:paraId="6C910CEC">
            <w:pPr>
              <w:jc w:val="center"/>
              <w:rPr>
                <w:szCs w:val="21"/>
              </w:rPr>
            </w:pPr>
            <w:r>
              <w:rPr>
                <w:szCs w:val="21"/>
              </w:rPr>
              <w:t>污染源</w:t>
            </w:r>
          </w:p>
        </w:tc>
        <w:tc>
          <w:tcPr>
            <w:tcW w:w="2690" w:type="dxa"/>
            <w:vAlign w:val="center"/>
          </w:tcPr>
          <w:p w14:paraId="13A9BA3D">
            <w:pPr>
              <w:jc w:val="center"/>
              <w:rPr>
                <w:szCs w:val="21"/>
              </w:rPr>
            </w:pPr>
            <w:r>
              <w:rPr>
                <w:szCs w:val="21"/>
              </w:rPr>
              <w:t>环评要求</w:t>
            </w:r>
          </w:p>
        </w:tc>
        <w:tc>
          <w:tcPr>
            <w:tcW w:w="2691" w:type="dxa"/>
            <w:vAlign w:val="center"/>
          </w:tcPr>
          <w:p w14:paraId="715A7D6A">
            <w:pPr>
              <w:jc w:val="center"/>
              <w:rPr>
                <w:szCs w:val="21"/>
              </w:rPr>
            </w:pPr>
            <w:r>
              <w:rPr>
                <w:szCs w:val="21"/>
              </w:rPr>
              <w:t>实际建设情况</w:t>
            </w:r>
          </w:p>
        </w:tc>
        <w:tc>
          <w:tcPr>
            <w:tcW w:w="1356" w:type="dxa"/>
            <w:vAlign w:val="center"/>
          </w:tcPr>
          <w:p w14:paraId="378A41BF">
            <w:pPr>
              <w:jc w:val="center"/>
              <w:rPr>
                <w:szCs w:val="21"/>
              </w:rPr>
            </w:pPr>
            <w:r>
              <w:rPr>
                <w:szCs w:val="21"/>
              </w:rPr>
              <w:t>变化情况</w:t>
            </w:r>
          </w:p>
        </w:tc>
      </w:tr>
      <w:tr w14:paraId="0DAA37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4B8A190E">
            <w:pPr>
              <w:jc w:val="center"/>
              <w:rPr>
                <w:szCs w:val="21"/>
              </w:rPr>
            </w:pPr>
            <w:r>
              <w:rPr>
                <w:szCs w:val="21"/>
              </w:rPr>
              <w:t>废水</w:t>
            </w:r>
          </w:p>
        </w:tc>
        <w:tc>
          <w:tcPr>
            <w:tcW w:w="1555" w:type="dxa"/>
            <w:vAlign w:val="center"/>
          </w:tcPr>
          <w:p w14:paraId="0BF00EF9">
            <w:pPr>
              <w:jc w:val="center"/>
              <w:rPr>
                <w:szCs w:val="21"/>
              </w:rPr>
            </w:pPr>
            <w:r>
              <w:rPr>
                <w:szCs w:val="21"/>
              </w:rPr>
              <w:t>DW001</w:t>
            </w:r>
            <w:r>
              <w:rPr>
                <w:rFonts w:hint="eastAsia"/>
                <w:szCs w:val="21"/>
              </w:rPr>
              <w:t>综合污水</w:t>
            </w:r>
            <w:r>
              <w:rPr>
                <w:szCs w:val="21"/>
              </w:rPr>
              <w:t>排</w:t>
            </w:r>
            <w:r>
              <w:rPr>
                <w:rFonts w:hint="eastAsia"/>
                <w:szCs w:val="21"/>
              </w:rPr>
              <w:t>放</w:t>
            </w:r>
            <w:r>
              <w:rPr>
                <w:szCs w:val="21"/>
              </w:rPr>
              <w:t>口</w:t>
            </w:r>
          </w:p>
        </w:tc>
        <w:tc>
          <w:tcPr>
            <w:tcW w:w="2690" w:type="dxa"/>
            <w:vAlign w:val="center"/>
          </w:tcPr>
          <w:p w14:paraId="137B149E">
            <w:pPr>
              <w:jc w:val="center"/>
              <w:rPr>
                <w:szCs w:val="21"/>
              </w:rPr>
            </w:pPr>
            <w:r>
              <w:rPr>
                <w:rFonts w:hint="eastAsia"/>
                <w:color w:val="auto"/>
                <w:sz w:val="21"/>
                <w:szCs w:val="21"/>
              </w:rPr>
              <w:t>生产废水、地面清洁废水、喷淋废水经厂内综合污水处理站处理，生活污水经厂房周边现有</w:t>
            </w:r>
            <w:r>
              <w:rPr>
                <w:rFonts w:hint="eastAsia"/>
                <w:color w:val="auto"/>
                <w:sz w:val="21"/>
                <w:szCs w:val="21"/>
                <w:lang w:eastAsia="zh-CN"/>
              </w:rPr>
              <w:t>分散式生化池</w:t>
            </w:r>
            <w:r>
              <w:rPr>
                <w:rFonts w:hint="eastAsia"/>
                <w:color w:val="auto"/>
                <w:sz w:val="21"/>
                <w:szCs w:val="21"/>
              </w:rPr>
              <w:t>处理，后同纯水制备浓水排入园区管网</w:t>
            </w:r>
          </w:p>
        </w:tc>
        <w:tc>
          <w:tcPr>
            <w:tcW w:w="2691" w:type="dxa"/>
            <w:vAlign w:val="center"/>
          </w:tcPr>
          <w:p w14:paraId="73D2A0AD">
            <w:pPr>
              <w:jc w:val="center"/>
              <w:rPr>
                <w:szCs w:val="21"/>
              </w:rPr>
            </w:pPr>
            <w:r>
              <w:rPr>
                <w:rFonts w:hint="eastAsia"/>
                <w:color w:val="auto"/>
                <w:sz w:val="21"/>
                <w:szCs w:val="21"/>
              </w:rPr>
              <w:t>生产废水、地面清洁废水、喷淋废水经厂内综合污水处理站处理，生活污水经厂房周边现有</w:t>
            </w:r>
            <w:r>
              <w:rPr>
                <w:rFonts w:hint="eastAsia"/>
                <w:color w:val="auto"/>
                <w:sz w:val="21"/>
                <w:szCs w:val="21"/>
                <w:lang w:eastAsia="zh-CN"/>
              </w:rPr>
              <w:t>分散式生化池</w:t>
            </w:r>
            <w:r>
              <w:rPr>
                <w:rFonts w:hint="eastAsia"/>
                <w:color w:val="auto"/>
                <w:sz w:val="21"/>
                <w:szCs w:val="21"/>
              </w:rPr>
              <w:t>处理，后同纯水制备浓水排入园区管网</w:t>
            </w:r>
          </w:p>
        </w:tc>
        <w:tc>
          <w:tcPr>
            <w:tcW w:w="1356" w:type="dxa"/>
            <w:vAlign w:val="center"/>
          </w:tcPr>
          <w:p w14:paraId="726AFE49">
            <w:pPr>
              <w:jc w:val="center"/>
              <w:rPr>
                <w:szCs w:val="21"/>
              </w:rPr>
            </w:pPr>
            <w:r>
              <w:rPr>
                <w:szCs w:val="21"/>
              </w:rPr>
              <w:t>与环评一致</w:t>
            </w:r>
          </w:p>
        </w:tc>
      </w:tr>
      <w:tr w14:paraId="146FEA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Merge w:val="restart"/>
            <w:vAlign w:val="center"/>
          </w:tcPr>
          <w:p w14:paraId="56074095">
            <w:pPr>
              <w:jc w:val="center"/>
              <w:rPr>
                <w:szCs w:val="21"/>
              </w:rPr>
            </w:pPr>
            <w:r>
              <w:rPr>
                <w:szCs w:val="21"/>
              </w:rPr>
              <w:t>废气</w:t>
            </w:r>
          </w:p>
        </w:tc>
        <w:tc>
          <w:tcPr>
            <w:tcW w:w="1555" w:type="dxa"/>
            <w:shd w:val="clear" w:color="auto" w:fill="auto"/>
            <w:vAlign w:val="center"/>
          </w:tcPr>
          <w:p w14:paraId="6F4568F2">
            <w:pPr>
              <w:pStyle w:val="127"/>
              <w:rPr>
                <w:rFonts w:hint="eastAsia" w:ascii="Times New Roman" w:hAnsi="Times New Roman" w:eastAsia="宋体" w:cs="Times New Roman"/>
                <w:bCs/>
                <w:color w:val="auto"/>
                <w:kern w:val="22"/>
                <w:sz w:val="21"/>
                <w:szCs w:val="21"/>
                <w:lang w:val="en-US" w:eastAsia="zh-CN" w:bidi="ar-SA"/>
              </w:rPr>
            </w:pPr>
            <w:r>
              <w:rPr>
                <w:rFonts w:hint="eastAsia"/>
                <w:color w:val="auto"/>
                <w:sz w:val="21"/>
                <w:szCs w:val="21"/>
                <w:lang w:val="en-US" w:eastAsia="zh-CN"/>
              </w:rPr>
              <w:t>油墨喷涂及其后烘烤工序有机废气</w:t>
            </w:r>
            <w:r>
              <w:rPr>
                <w:rFonts w:hint="eastAsia"/>
                <w:color w:val="auto"/>
                <w:sz w:val="21"/>
                <w:szCs w:val="21"/>
              </w:rPr>
              <w:t>排放口</w:t>
            </w:r>
          </w:p>
        </w:tc>
        <w:tc>
          <w:tcPr>
            <w:tcW w:w="2690" w:type="dxa"/>
            <w:vAlign w:val="center"/>
          </w:tcPr>
          <w:p w14:paraId="54D7FD6E">
            <w:pPr>
              <w:pStyle w:val="127"/>
              <w:rPr>
                <w:szCs w:val="21"/>
              </w:rPr>
            </w:pPr>
            <w:r>
              <w:rPr>
                <w:rFonts w:hint="eastAsia" w:ascii="Times New Roman" w:hAnsi="Times New Roman" w:eastAsia="宋体" w:cs="Times New Roman"/>
                <w:color w:val="auto"/>
                <w:sz w:val="21"/>
                <w:szCs w:val="21"/>
                <w:lang w:val="en-US" w:eastAsia="zh-CN"/>
              </w:rPr>
              <w:t>通过风管经废气处理装置（工艺：两级活性炭吸附，风量为10000m</w:t>
            </w:r>
            <w:r>
              <w:rPr>
                <w:rFonts w:hint="eastAsia"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/h）处理达标后经20m排气筒排放</w:t>
            </w:r>
          </w:p>
        </w:tc>
        <w:tc>
          <w:tcPr>
            <w:tcW w:w="2691" w:type="dxa"/>
            <w:vMerge w:val="restart"/>
            <w:vAlign w:val="center"/>
          </w:tcPr>
          <w:p w14:paraId="7D2245FD">
            <w:pPr>
              <w:jc w:val="center"/>
              <w:rPr>
                <w:szCs w:val="21"/>
              </w:rPr>
            </w:pPr>
            <w:r>
              <w:rPr>
                <w:rFonts w:hint="eastAsia" w:ascii="Times New Roman" w:hAnsi="Times New Roman" w:eastAsia="宋体" w:cs="Times New Roman"/>
                <w:color w:val="auto"/>
                <w:sz w:val="21"/>
                <w:szCs w:val="21"/>
                <w:lang w:val="en-US" w:eastAsia="zh-CN"/>
              </w:rPr>
              <w:t>通过风管经废气处理装置（工艺：两级活性炭吸附，风量为</w:t>
            </w:r>
            <w:r>
              <w:rPr>
                <w:rFonts w:hint="eastAsia" w:ascii="Times New Roman" w:hAnsi="Times New Roman" w:eastAsia="宋体" w:cs="Times New Roman"/>
                <w:color w:val="auto"/>
                <w:sz w:val="21"/>
                <w:szCs w:val="21"/>
                <w:highlight w:val="none"/>
                <w:lang w:val="en-US" w:eastAsia="zh-CN"/>
              </w:rPr>
              <w:t>10000m</w:t>
            </w:r>
            <w:r>
              <w:rPr>
                <w:rFonts w:hint="eastAsia"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/h</w:t>
            </w:r>
            <w:r>
              <w:rPr>
                <w:rFonts w:hint="eastAsia" w:ascii="Times New Roman" w:hAnsi="Times New Roman" w:eastAsia="宋体" w:cs="Times New Roman"/>
                <w:color w:val="auto"/>
                <w:sz w:val="21"/>
                <w:szCs w:val="21"/>
                <w:lang w:val="en-US" w:eastAsia="zh-CN"/>
              </w:rPr>
              <w:t>）处理达标后经20m排气筒排放</w:t>
            </w:r>
          </w:p>
        </w:tc>
        <w:tc>
          <w:tcPr>
            <w:tcW w:w="1356" w:type="dxa"/>
            <w:vMerge w:val="restart"/>
            <w:vAlign w:val="center"/>
          </w:tcPr>
          <w:p w14:paraId="26E403BB">
            <w:pPr>
              <w:jc w:val="center"/>
              <w:rPr>
                <w:szCs w:val="21"/>
              </w:rPr>
            </w:pPr>
            <w:r>
              <w:rPr>
                <w:rFonts w:hint="default"/>
                <w:bCs/>
                <w:color w:val="auto"/>
                <w:szCs w:val="21"/>
                <w:lang w:val="en-US" w:eastAsia="zh-CN"/>
              </w:rPr>
              <w:t>油墨喷涂及其后烘烤工序有机废气、光刻胶涂抹及其后烘干工序有机废气、装配工序胶水挥发有机废气由环评中分设三套二级活性炭吸附装置分别处理后经排气筒排放变更为三股废气统一由一套二级活性炭吸附装置处理后经排气筒</w:t>
            </w:r>
            <w:r>
              <w:rPr>
                <w:rFonts w:hint="eastAsia"/>
                <w:bCs/>
                <w:color w:val="auto"/>
                <w:szCs w:val="21"/>
                <w:highlight w:val="none"/>
                <w:lang w:val="en-US" w:eastAsia="zh-CN"/>
              </w:rPr>
              <w:t>（DA008）</w:t>
            </w:r>
            <w:r>
              <w:rPr>
                <w:rFonts w:hint="default"/>
                <w:bCs/>
                <w:color w:val="auto"/>
                <w:szCs w:val="21"/>
                <w:lang w:val="en-US" w:eastAsia="zh-CN"/>
              </w:rPr>
              <w:t>排放</w:t>
            </w:r>
            <w:r>
              <w:rPr>
                <w:rFonts w:hint="eastAsia"/>
                <w:bCs/>
                <w:color w:val="auto"/>
                <w:szCs w:val="21"/>
                <w:lang w:val="en-US" w:eastAsia="zh-CN"/>
              </w:rPr>
              <w:t>。</w:t>
            </w:r>
          </w:p>
        </w:tc>
      </w:tr>
      <w:tr w14:paraId="70ECC7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Merge w:val="continue"/>
            <w:vAlign w:val="center"/>
          </w:tcPr>
          <w:p w14:paraId="09F0B23C">
            <w:pPr>
              <w:jc w:val="center"/>
              <w:rPr>
                <w:szCs w:val="21"/>
              </w:rPr>
            </w:pPr>
          </w:p>
        </w:tc>
        <w:tc>
          <w:tcPr>
            <w:tcW w:w="1555" w:type="dxa"/>
            <w:shd w:val="clear" w:color="auto" w:fill="auto"/>
            <w:vAlign w:val="center"/>
          </w:tcPr>
          <w:p w14:paraId="62370656">
            <w:pPr>
              <w:pStyle w:val="127"/>
              <w:rPr>
                <w:rFonts w:hint="eastAsia" w:ascii="Times New Roman" w:hAnsi="Times New Roman" w:eastAsia="宋体" w:cs="Times New Roman"/>
                <w:bCs/>
                <w:color w:val="auto"/>
                <w:kern w:val="22"/>
                <w:sz w:val="21"/>
                <w:szCs w:val="21"/>
                <w:lang w:val="en-US" w:eastAsia="zh-CN" w:bidi="ar-SA"/>
              </w:rPr>
            </w:pPr>
            <w:r>
              <w:rPr>
                <w:rFonts w:hint="eastAsia"/>
                <w:color w:val="auto"/>
                <w:sz w:val="21"/>
                <w:szCs w:val="21"/>
                <w:lang w:val="en-US" w:eastAsia="zh-CN"/>
              </w:rPr>
              <w:t>光刻胶涂抹及其后烘干工序有机废气排放口</w:t>
            </w:r>
          </w:p>
        </w:tc>
        <w:tc>
          <w:tcPr>
            <w:tcW w:w="2690" w:type="dxa"/>
            <w:vAlign w:val="center"/>
          </w:tcPr>
          <w:p w14:paraId="18B40DDF">
            <w:pPr>
              <w:pStyle w:val="127"/>
              <w:rPr>
                <w:szCs w:val="21"/>
              </w:rPr>
            </w:pPr>
            <w:r>
              <w:rPr>
                <w:rFonts w:hint="eastAsia" w:ascii="Times New Roman" w:hAnsi="Times New Roman" w:eastAsia="宋体" w:cs="Times New Roman"/>
                <w:color w:val="auto"/>
                <w:sz w:val="21"/>
                <w:szCs w:val="21"/>
                <w:lang w:val="en-US" w:eastAsia="zh-CN"/>
              </w:rPr>
              <w:t>通过风管经废气处理装置（工艺：两级活性炭吸附，风量为10000m</w:t>
            </w:r>
            <w:r>
              <w:rPr>
                <w:rFonts w:hint="eastAsia"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/h）处理达标后经20m排气筒排放</w:t>
            </w:r>
          </w:p>
        </w:tc>
        <w:tc>
          <w:tcPr>
            <w:tcW w:w="2691" w:type="dxa"/>
            <w:vMerge w:val="continue"/>
            <w:vAlign w:val="center"/>
          </w:tcPr>
          <w:p w14:paraId="04CA468F">
            <w:pPr>
              <w:jc w:val="center"/>
              <w:rPr>
                <w:szCs w:val="21"/>
              </w:rPr>
            </w:pPr>
          </w:p>
        </w:tc>
        <w:tc>
          <w:tcPr>
            <w:tcW w:w="1356" w:type="dxa"/>
            <w:vMerge w:val="continue"/>
            <w:vAlign w:val="center"/>
          </w:tcPr>
          <w:p w14:paraId="4986FF84">
            <w:pPr>
              <w:jc w:val="center"/>
              <w:rPr>
                <w:szCs w:val="21"/>
              </w:rPr>
            </w:pPr>
          </w:p>
        </w:tc>
      </w:tr>
      <w:tr w14:paraId="119933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Merge w:val="continue"/>
            <w:vAlign w:val="center"/>
          </w:tcPr>
          <w:p w14:paraId="70F98CC0">
            <w:pPr>
              <w:jc w:val="center"/>
              <w:rPr>
                <w:szCs w:val="21"/>
              </w:rPr>
            </w:pPr>
          </w:p>
        </w:tc>
        <w:tc>
          <w:tcPr>
            <w:tcW w:w="1555" w:type="dxa"/>
            <w:vAlign w:val="center"/>
          </w:tcPr>
          <w:p w14:paraId="498CF43F">
            <w:pPr>
              <w:jc w:val="center"/>
              <w:rPr>
                <w:rFonts w:hint="eastAsia"/>
                <w:color w:val="auto"/>
                <w:sz w:val="21"/>
                <w:szCs w:val="21"/>
                <w:lang w:val="en-US" w:eastAsia="zh-CN"/>
              </w:rPr>
            </w:pPr>
            <w:r>
              <w:rPr>
                <w:rFonts w:hint="eastAsia"/>
                <w:color w:val="auto"/>
                <w:sz w:val="21"/>
                <w:szCs w:val="21"/>
                <w:lang w:val="en-US" w:eastAsia="zh-CN"/>
              </w:rPr>
              <w:t>装配工序胶水挥发有机废气排放口</w:t>
            </w:r>
          </w:p>
        </w:tc>
        <w:tc>
          <w:tcPr>
            <w:tcW w:w="2690" w:type="dxa"/>
            <w:vAlign w:val="center"/>
          </w:tcPr>
          <w:p w14:paraId="4613EF20">
            <w:pPr>
              <w:jc w:val="center"/>
              <w:rPr>
                <w:szCs w:val="21"/>
              </w:rPr>
            </w:pPr>
            <w:r>
              <w:rPr>
                <w:rFonts w:hint="eastAsia" w:ascii="Times New Roman" w:hAnsi="Times New Roman" w:eastAsia="宋体" w:cs="Times New Roman"/>
                <w:color w:val="auto"/>
                <w:sz w:val="21"/>
                <w:szCs w:val="21"/>
                <w:lang w:val="en-US" w:eastAsia="zh-CN"/>
              </w:rPr>
              <w:t>通过风管经废气处理装置（工艺：两级活性炭吸附，风量为5000m</w:t>
            </w:r>
            <w:r>
              <w:rPr>
                <w:rFonts w:hint="eastAsia"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/h）处理达标后经20m排气筒排放</w:t>
            </w:r>
          </w:p>
        </w:tc>
        <w:tc>
          <w:tcPr>
            <w:tcW w:w="2691" w:type="dxa"/>
            <w:vMerge w:val="continue"/>
            <w:vAlign w:val="center"/>
          </w:tcPr>
          <w:p w14:paraId="5E6D2DD9">
            <w:pPr>
              <w:jc w:val="center"/>
              <w:rPr>
                <w:szCs w:val="21"/>
              </w:rPr>
            </w:pPr>
          </w:p>
        </w:tc>
        <w:tc>
          <w:tcPr>
            <w:tcW w:w="1356" w:type="dxa"/>
            <w:vMerge w:val="continue"/>
            <w:vAlign w:val="center"/>
          </w:tcPr>
          <w:p w14:paraId="55EB7E0A">
            <w:pPr>
              <w:jc w:val="center"/>
              <w:rPr>
                <w:szCs w:val="21"/>
              </w:rPr>
            </w:pPr>
          </w:p>
        </w:tc>
      </w:tr>
      <w:tr w14:paraId="6C9D41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Merge w:val="continue"/>
            <w:vAlign w:val="center"/>
          </w:tcPr>
          <w:p w14:paraId="01897BA2">
            <w:pPr>
              <w:jc w:val="center"/>
              <w:rPr>
                <w:szCs w:val="21"/>
              </w:rPr>
            </w:pPr>
          </w:p>
        </w:tc>
        <w:tc>
          <w:tcPr>
            <w:tcW w:w="1555" w:type="dxa"/>
            <w:shd w:val="clear" w:color="auto" w:fill="auto"/>
            <w:vAlign w:val="center"/>
          </w:tcPr>
          <w:p w14:paraId="3D1E51F0">
            <w:pPr>
              <w:pStyle w:val="127"/>
              <w:rPr>
                <w:rFonts w:hint="eastAsia" w:ascii="Times New Roman" w:hAnsi="Times New Roman" w:eastAsia="宋体" w:cs="Times New Roman"/>
                <w:bCs/>
                <w:color w:val="auto"/>
                <w:kern w:val="22"/>
                <w:sz w:val="21"/>
                <w:szCs w:val="21"/>
                <w:lang w:val="en-US" w:eastAsia="zh-CN" w:bidi="ar-SA"/>
              </w:rPr>
            </w:pPr>
            <w:r>
              <w:rPr>
                <w:rFonts w:hint="eastAsia"/>
                <w:color w:val="auto"/>
                <w:sz w:val="21"/>
                <w:szCs w:val="21"/>
                <w:lang w:val="en-US" w:eastAsia="zh-CN"/>
              </w:rPr>
              <w:t>AG蚀刻线蒙砂废气、化抛废气排放口</w:t>
            </w:r>
          </w:p>
        </w:tc>
        <w:tc>
          <w:tcPr>
            <w:tcW w:w="2690" w:type="dxa"/>
            <w:shd w:val="clear" w:color="auto" w:fill="auto"/>
            <w:vAlign w:val="center"/>
          </w:tcPr>
          <w:p w14:paraId="486484A3">
            <w:pPr>
              <w:pStyle w:val="127"/>
              <w:rPr>
                <w:rFonts w:hint="default" w:ascii="Times New Roman" w:hAnsi="Times New Roman" w:eastAsia="宋体" w:cs="Times New Roman"/>
                <w:bCs/>
                <w:color w:val="auto"/>
                <w:kern w:val="22"/>
                <w:sz w:val="21"/>
                <w:szCs w:val="21"/>
                <w:lang w:val="en-US" w:eastAsia="zh-CN" w:bidi="ar-SA"/>
              </w:rPr>
            </w:pPr>
            <w:r>
              <w:rPr>
                <w:rFonts w:hint="eastAsia" w:ascii="Times New Roman" w:hAnsi="Times New Roman" w:eastAsia="宋体" w:cs="Times New Roman"/>
                <w:color w:val="auto"/>
                <w:sz w:val="21"/>
                <w:szCs w:val="21"/>
                <w:lang w:val="en-US" w:eastAsia="zh-CN"/>
              </w:rPr>
              <w:t>氟化物、HC</w:t>
            </w:r>
            <w:r>
              <w:rPr>
                <w:rFonts w:hint="eastAsia" w:cs="Times New Roman"/>
                <w:color w:val="auto"/>
                <w:sz w:val="21"/>
                <w:szCs w:val="21"/>
                <w:lang w:val="en-US" w:eastAsia="zh-CN"/>
              </w:rPr>
              <w:t>l</w:t>
            </w:r>
            <w:r>
              <w:rPr>
                <w:rFonts w:hint="eastAsia" w:ascii="Times New Roman" w:hAnsi="Times New Roman" w:eastAsia="宋体" w:cs="Times New Roman"/>
                <w:color w:val="auto"/>
                <w:sz w:val="21"/>
                <w:szCs w:val="21"/>
                <w:lang w:val="en-US" w:eastAsia="zh-CN"/>
              </w:rPr>
              <w:t>、硫酸雾</w:t>
            </w:r>
          </w:p>
        </w:tc>
        <w:tc>
          <w:tcPr>
            <w:tcW w:w="2691" w:type="dxa"/>
            <w:shd w:val="clear" w:color="auto" w:fill="auto"/>
            <w:vAlign w:val="center"/>
          </w:tcPr>
          <w:p w14:paraId="00899293">
            <w:pPr>
              <w:pStyle w:val="127"/>
              <w:rPr>
                <w:rFonts w:hint="eastAsia" w:ascii="Times New Roman" w:hAnsi="Times New Roman" w:eastAsia="宋体" w:cs="Times New Roman"/>
                <w:bCs/>
                <w:color w:val="auto"/>
                <w:kern w:val="22"/>
                <w:sz w:val="21"/>
                <w:szCs w:val="21"/>
                <w:lang w:val="en-US" w:eastAsia="zh-CN" w:bidi="ar-SA"/>
              </w:rPr>
            </w:pPr>
            <w:r>
              <w:rPr>
                <w:rFonts w:hint="eastAsia" w:ascii="Times New Roman" w:hAnsi="Times New Roman" w:eastAsia="宋体" w:cs="Times New Roman"/>
                <w:color w:val="auto"/>
                <w:sz w:val="21"/>
                <w:szCs w:val="21"/>
                <w:lang w:val="en-US" w:eastAsia="zh-CN"/>
              </w:rPr>
              <w:t>通过风管经废气处理装置（工艺：碱液喷淋塔，风量为8000m</w:t>
            </w:r>
            <w:r>
              <w:rPr>
                <w:rFonts w:hint="eastAsia"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/h）处理达标后经20m排气筒排放</w:t>
            </w:r>
          </w:p>
        </w:tc>
        <w:tc>
          <w:tcPr>
            <w:tcW w:w="1356" w:type="dxa"/>
            <w:vAlign w:val="center"/>
          </w:tcPr>
          <w:p w14:paraId="792EF5B4">
            <w:pPr>
              <w:jc w:val="center"/>
              <w:rPr>
                <w:szCs w:val="21"/>
              </w:rPr>
            </w:pPr>
            <w:r>
              <w:rPr>
                <w:szCs w:val="21"/>
              </w:rPr>
              <w:t>与环评一致</w:t>
            </w:r>
          </w:p>
        </w:tc>
      </w:tr>
      <w:tr w14:paraId="41BACD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Merge w:val="continue"/>
            <w:vAlign w:val="center"/>
          </w:tcPr>
          <w:p w14:paraId="302566E0">
            <w:pPr>
              <w:jc w:val="center"/>
              <w:rPr>
                <w:szCs w:val="21"/>
              </w:rPr>
            </w:pPr>
          </w:p>
        </w:tc>
        <w:tc>
          <w:tcPr>
            <w:tcW w:w="1555" w:type="dxa"/>
            <w:vAlign w:val="center"/>
          </w:tcPr>
          <w:p w14:paraId="5FCEA968">
            <w:pPr>
              <w:jc w:val="center"/>
              <w:rPr>
                <w:szCs w:val="21"/>
              </w:rPr>
            </w:pPr>
            <w:r>
              <w:rPr>
                <w:rFonts w:hint="eastAsia"/>
                <w:szCs w:val="21"/>
              </w:rPr>
              <w:t>无组织</w:t>
            </w:r>
          </w:p>
        </w:tc>
        <w:tc>
          <w:tcPr>
            <w:tcW w:w="2690" w:type="dxa"/>
            <w:vAlign w:val="center"/>
          </w:tcPr>
          <w:p w14:paraId="1645F30B">
            <w:pPr>
              <w:jc w:val="center"/>
              <w:rPr>
                <w:szCs w:val="21"/>
              </w:rPr>
            </w:pPr>
            <w:r>
              <w:rPr>
                <w:rFonts w:hint="eastAsia"/>
                <w:szCs w:val="21"/>
              </w:rPr>
              <w:t>加强厂房通风</w:t>
            </w:r>
          </w:p>
        </w:tc>
        <w:tc>
          <w:tcPr>
            <w:tcW w:w="2691" w:type="dxa"/>
            <w:vAlign w:val="center"/>
          </w:tcPr>
          <w:p w14:paraId="1489B4EE">
            <w:pPr>
              <w:jc w:val="center"/>
              <w:rPr>
                <w:szCs w:val="21"/>
              </w:rPr>
            </w:pPr>
            <w:r>
              <w:rPr>
                <w:rFonts w:hint="eastAsia"/>
                <w:szCs w:val="21"/>
              </w:rPr>
              <w:t>加强厂房通风</w:t>
            </w:r>
          </w:p>
        </w:tc>
        <w:tc>
          <w:tcPr>
            <w:tcW w:w="1356" w:type="dxa"/>
            <w:vAlign w:val="center"/>
          </w:tcPr>
          <w:p w14:paraId="01EED054">
            <w:pPr>
              <w:jc w:val="center"/>
              <w:rPr>
                <w:szCs w:val="21"/>
              </w:rPr>
            </w:pPr>
            <w:r>
              <w:rPr>
                <w:szCs w:val="21"/>
              </w:rPr>
              <w:t>与环评一致</w:t>
            </w:r>
          </w:p>
        </w:tc>
      </w:tr>
      <w:tr w14:paraId="3C3A30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Align w:val="center"/>
          </w:tcPr>
          <w:p w14:paraId="36018A30">
            <w:pPr>
              <w:jc w:val="center"/>
              <w:rPr>
                <w:szCs w:val="21"/>
              </w:rPr>
            </w:pPr>
            <w:r>
              <w:rPr>
                <w:rFonts w:hint="eastAsia"/>
                <w:szCs w:val="21"/>
              </w:rPr>
              <w:t>噪声</w:t>
            </w:r>
          </w:p>
        </w:tc>
        <w:tc>
          <w:tcPr>
            <w:tcW w:w="1555" w:type="dxa"/>
            <w:vAlign w:val="center"/>
          </w:tcPr>
          <w:p w14:paraId="741F28C7">
            <w:pPr>
              <w:jc w:val="center"/>
              <w:rPr>
                <w:szCs w:val="21"/>
              </w:rPr>
            </w:pPr>
            <w:r>
              <w:rPr>
                <w:rFonts w:hint="eastAsia"/>
                <w:szCs w:val="21"/>
              </w:rPr>
              <w:t>机械噪声</w:t>
            </w:r>
          </w:p>
        </w:tc>
        <w:tc>
          <w:tcPr>
            <w:tcW w:w="2690" w:type="dxa"/>
            <w:vAlign w:val="center"/>
          </w:tcPr>
          <w:p w14:paraId="6A6C5639">
            <w:pPr>
              <w:jc w:val="center"/>
              <w:rPr>
                <w:szCs w:val="21"/>
              </w:rPr>
            </w:pPr>
            <w:r>
              <w:rPr>
                <w:szCs w:val="21"/>
              </w:rPr>
              <w:t>基础减振、消声器、建筑物隔声</w:t>
            </w:r>
          </w:p>
        </w:tc>
        <w:tc>
          <w:tcPr>
            <w:tcW w:w="2691" w:type="dxa"/>
            <w:vAlign w:val="center"/>
          </w:tcPr>
          <w:p w14:paraId="5934B354">
            <w:pPr>
              <w:jc w:val="center"/>
              <w:rPr>
                <w:szCs w:val="21"/>
              </w:rPr>
            </w:pPr>
            <w:r>
              <w:rPr>
                <w:szCs w:val="21"/>
              </w:rPr>
              <w:t>基础减振、消声器、建筑物隔声</w:t>
            </w:r>
          </w:p>
        </w:tc>
        <w:tc>
          <w:tcPr>
            <w:tcW w:w="1356" w:type="dxa"/>
            <w:vAlign w:val="center"/>
          </w:tcPr>
          <w:p w14:paraId="55D08990">
            <w:pPr>
              <w:jc w:val="center"/>
              <w:rPr>
                <w:szCs w:val="21"/>
              </w:rPr>
            </w:pPr>
            <w:r>
              <w:rPr>
                <w:szCs w:val="21"/>
              </w:rPr>
              <w:t>与环评一致</w:t>
            </w:r>
          </w:p>
        </w:tc>
      </w:tr>
      <w:tr w14:paraId="750392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Merge w:val="restart"/>
            <w:vAlign w:val="center"/>
          </w:tcPr>
          <w:p w14:paraId="3BF72189">
            <w:pPr>
              <w:jc w:val="center"/>
              <w:rPr>
                <w:szCs w:val="21"/>
              </w:rPr>
            </w:pPr>
            <w:r>
              <w:rPr>
                <w:rFonts w:hint="eastAsia"/>
                <w:szCs w:val="21"/>
              </w:rPr>
              <w:t>固体废物</w:t>
            </w:r>
          </w:p>
        </w:tc>
        <w:tc>
          <w:tcPr>
            <w:tcW w:w="1555" w:type="dxa"/>
            <w:vAlign w:val="center"/>
          </w:tcPr>
          <w:p w14:paraId="12CE5A14">
            <w:pPr>
              <w:jc w:val="center"/>
              <w:rPr>
                <w:szCs w:val="21"/>
              </w:rPr>
            </w:pPr>
            <w:r>
              <w:rPr>
                <w:rFonts w:hint="eastAsia"/>
                <w:szCs w:val="21"/>
              </w:rPr>
              <w:t>一般工业固体废物</w:t>
            </w:r>
          </w:p>
        </w:tc>
        <w:tc>
          <w:tcPr>
            <w:tcW w:w="2690" w:type="dxa"/>
            <w:vAlign w:val="center"/>
          </w:tcPr>
          <w:p w14:paraId="11627035">
            <w:pPr>
              <w:jc w:val="center"/>
              <w:rPr>
                <w:szCs w:val="21"/>
              </w:rPr>
            </w:pPr>
            <w:r>
              <w:rPr>
                <w:rFonts w:hint="eastAsia"/>
                <w:szCs w:val="21"/>
              </w:rPr>
              <w:t>分类收集后暂存于一般固废暂存间，定期</w:t>
            </w:r>
            <w:r>
              <w:rPr>
                <w:color w:val="auto"/>
                <w:sz w:val="21"/>
                <w:szCs w:val="21"/>
              </w:rPr>
              <w:t>外售或交废品回收站综合利用</w:t>
            </w:r>
            <w:r>
              <w:rPr>
                <w:rFonts w:hint="eastAsia"/>
                <w:szCs w:val="21"/>
              </w:rPr>
              <w:t>。</w:t>
            </w:r>
          </w:p>
        </w:tc>
        <w:tc>
          <w:tcPr>
            <w:tcW w:w="2691" w:type="dxa"/>
            <w:vAlign w:val="center"/>
          </w:tcPr>
          <w:p w14:paraId="08776AEA">
            <w:pPr>
              <w:jc w:val="center"/>
              <w:rPr>
                <w:szCs w:val="21"/>
              </w:rPr>
            </w:pPr>
            <w:r>
              <w:rPr>
                <w:rFonts w:hint="eastAsia"/>
                <w:szCs w:val="21"/>
              </w:rPr>
              <w:t>分类收集后暂存于一般固废暂存间，定期</w:t>
            </w:r>
            <w:r>
              <w:rPr>
                <w:color w:val="auto"/>
                <w:sz w:val="21"/>
                <w:szCs w:val="21"/>
              </w:rPr>
              <w:t>外售或交废品回收站综合利用</w:t>
            </w:r>
            <w:r>
              <w:rPr>
                <w:rFonts w:hint="eastAsia"/>
                <w:szCs w:val="21"/>
              </w:rPr>
              <w:t>。</w:t>
            </w:r>
          </w:p>
        </w:tc>
        <w:tc>
          <w:tcPr>
            <w:tcW w:w="1356" w:type="dxa"/>
            <w:vAlign w:val="center"/>
          </w:tcPr>
          <w:p w14:paraId="684D3553">
            <w:pPr>
              <w:jc w:val="center"/>
              <w:rPr>
                <w:szCs w:val="21"/>
              </w:rPr>
            </w:pPr>
            <w:r>
              <w:rPr>
                <w:szCs w:val="21"/>
              </w:rPr>
              <w:t>与环评一致</w:t>
            </w:r>
          </w:p>
        </w:tc>
      </w:tr>
      <w:tr w14:paraId="294EA0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Merge w:val="continue"/>
            <w:vAlign w:val="center"/>
          </w:tcPr>
          <w:p w14:paraId="5BE167A3">
            <w:pPr>
              <w:jc w:val="center"/>
              <w:rPr>
                <w:szCs w:val="21"/>
              </w:rPr>
            </w:pPr>
          </w:p>
        </w:tc>
        <w:tc>
          <w:tcPr>
            <w:tcW w:w="1555" w:type="dxa"/>
            <w:vAlign w:val="center"/>
          </w:tcPr>
          <w:p w14:paraId="7151B9D8">
            <w:pPr>
              <w:jc w:val="center"/>
              <w:rPr>
                <w:szCs w:val="21"/>
              </w:rPr>
            </w:pPr>
            <w:r>
              <w:rPr>
                <w:rFonts w:hint="eastAsia"/>
                <w:szCs w:val="21"/>
              </w:rPr>
              <w:t>危险废物</w:t>
            </w:r>
          </w:p>
        </w:tc>
        <w:tc>
          <w:tcPr>
            <w:tcW w:w="2690" w:type="dxa"/>
            <w:vAlign w:val="center"/>
          </w:tcPr>
          <w:p w14:paraId="6753874E">
            <w:pPr>
              <w:jc w:val="center"/>
              <w:rPr>
                <w:szCs w:val="21"/>
              </w:rPr>
            </w:pPr>
            <w:r>
              <w:rPr>
                <w:rFonts w:hint="eastAsia"/>
                <w:szCs w:val="21"/>
              </w:rPr>
              <w:t>危险废物暂存于危废暂存间，定期交由具有资质的单位处理。严格落实“六防”措施（防风、防晒、防雨、防漏、防渗、防腐），并按要求对地面和墙脚进行防渗处理。各类危废分类收集，分类暂存，间隔分开且每个容器下方应设置储漏盘用于收集泄漏液体。设置标识标牌，建立危险废物管理台账和管理制度，严格执行危废转移联单，并安排专人负责管理，定期巡查。</w:t>
            </w:r>
          </w:p>
        </w:tc>
        <w:tc>
          <w:tcPr>
            <w:tcW w:w="2691" w:type="dxa"/>
            <w:vAlign w:val="center"/>
          </w:tcPr>
          <w:p w14:paraId="0A7AB4A6">
            <w:pPr>
              <w:wordWrap w:val="0"/>
              <w:topLinePunct/>
              <w:autoSpaceDE w:val="0"/>
              <w:jc w:val="center"/>
              <w:rPr>
                <w:spacing w:val="-4"/>
                <w:szCs w:val="21"/>
              </w:rPr>
            </w:pPr>
            <w:r>
              <w:rPr>
                <w:rFonts w:hint="eastAsia"/>
                <w:spacing w:val="-4"/>
                <w:szCs w:val="21"/>
              </w:rPr>
              <w:t>危险废物暂存于危废暂存间，定期交由</w:t>
            </w:r>
            <w:r>
              <w:rPr>
                <w:rFonts w:hint="eastAsia"/>
                <w:spacing w:val="-4"/>
                <w:szCs w:val="21"/>
                <w:lang w:eastAsia="zh-CN"/>
              </w:rPr>
              <w:t>重庆创绿环境保护有限公司</w:t>
            </w:r>
            <w:r>
              <w:rPr>
                <w:rFonts w:hint="eastAsia"/>
                <w:spacing w:val="-4"/>
                <w:szCs w:val="21"/>
              </w:rPr>
              <w:t>处理。严格落实“六防”措施（防风、防晒、防雨、防漏、防渗、防腐），并按要求对地面和墙脚进行防渗处理。各类危废分类收集，分类暂存，间隔分开且每个容器下方设置</w:t>
            </w:r>
            <w:r>
              <w:rPr>
                <w:rFonts w:hint="eastAsia"/>
                <w:szCs w:val="21"/>
              </w:rPr>
              <w:t>储漏</w:t>
            </w:r>
            <w:r>
              <w:rPr>
                <w:rFonts w:hint="eastAsia"/>
                <w:spacing w:val="-4"/>
                <w:szCs w:val="21"/>
              </w:rPr>
              <w:t>盘用于收集泄漏液体。设置标识标牌，建立危险废物管理台账和管理制度，严格执行危废转移联单，并安排专人负责管理，定期巡查。</w:t>
            </w:r>
          </w:p>
        </w:tc>
        <w:tc>
          <w:tcPr>
            <w:tcW w:w="1356" w:type="dxa"/>
            <w:vAlign w:val="center"/>
          </w:tcPr>
          <w:p w14:paraId="2070FAB4">
            <w:pPr>
              <w:jc w:val="center"/>
              <w:rPr>
                <w:szCs w:val="21"/>
              </w:rPr>
            </w:pPr>
            <w:r>
              <w:rPr>
                <w:szCs w:val="21"/>
              </w:rPr>
              <w:t>与环评一致</w:t>
            </w:r>
          </w:p>
        </w:tc>
      </w:tr>
      <w:tr w14:paraId="7D8E71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4" w:type="dxa"/>
            <w:vMerge w:val="continue"/>
            <w:vAlign w:val="center"/>
          </w:tcPr>
          <w:p w14:paraId="27AC3E5A">
            <w:pPr>
              <w:jc w:val="center"/>
              <w:rPr>
                <w:szCs w:val="21"/>
              </w:rPr>
            </w:pPr>
          </w:p>
        </w:tc>
        <w:tc>
          <w:tcPr>
            <w:tcW w:w="1555" w:type="dxa"/>
            <w:vAlign w:val="center"/>
          </w:tcPr>
          <w:p w14:paraId="15E0DAAA">
            <w:pPr>
              <w:jc w:val="center"/>
              <w:rPr>
                <w:szCs w:val="21"/>
              </w:rPr>
            </w:pPr>
            <w:r>
              <w:rPr>
                <w:rFonts w:hint="eastAsia"/>
                <w:szCs w:val="21"/>
              </w:rPr>
              <w:t>生活垃圾</w:t>
            </w:r>
          </w:p>
        </w:tc>
        <w:tc>
          <w:tcPr>
            <w:tcW w:w="2690" w:type="dxa"/>
            <w:vAlign w:val="center"/>
          </w:tcPr>
          <w:p w14:paraId="6E3168AC">
            <w:pPr>
              <w:jc w:val="center"/>
              <w:rPr>
                <w:szCs w:val="21"/>
              </w:rPr>
            </w:pPr>
            <w:r>
              <w:rPr>
                <w:rFonts w:hint="eastAsia"/>
                <w:color w:val="auto"/>
                <w:sz w:val="21"/>
                <w:szCs w:val="21"/>
              </w:rPr>
              <w:t>统一收集后交市政环卫部门进行处置</w:t>
            </w:r>
            <w:r>
              <w:rPr>
                <w:rFonts w:hint="eastAsia"/>
                <w:szCs w:val="21"/>
              </w:rPr>
              <w:t>。</w:t>
            </w:r>
          </w:p>
        </w:tc>
        <w:tc>
          <w:tcPr>
            <w:tcW w:w="2691" w:type="dxa"/>
            <w:vAlign w:val="center"/>
          </w:tcPr>
          <w:p w14:paraId="7889822C">
            <w:pPr>
              <w:jc w:val="center"/>
              <w:rPr>
                <w:szCs w:val="21"/>
              </w:rPr>
            </w:pPr>
            <w:r>
              <w:rPr>
                <w:rFonts w:hint="eastAsia"/>
                <w:color w:val="auto"/>
                <w:sz w:val="21"/>
                <w:szCs w:val="21"/>
              </w:rPr>
              <w:t>统一收集后交市政环卫部门进行处置</w:t>
            </w:r>
            <w:r>
              <w:rPr>
                <w:rFonts w:hint="eastAsia"/>
                <w:szCs w:val="21"/>
              </w:rPr>
              <w:t>。</w:t>
            </w:r>
          </w:p>
        </w:tc>
        <w:tc>
          <w:tcPr>
            <w:tcW w:w="1356" w:type="dxa"/>
            <w:vAlign w:val="center"/>
          </w:tcPr>
          <w:p w14:paraId="4E53BD35">
            <w:pPr>
              <w:jc w:val="center"/>
              <w:rPr>
                <w:szCs w:val="21"/>
              </w:rPr>
            </w:pPr>
            <w:r>
              <w:rPr>
                <w:szCs w:val="21"/>
              </w:rPr>
              <w:t>与环评一致</w:t>
            </w:r>
          </w:p>
        </w:tc>
      </w:tr>
    </w:tbl>
    <w:p w14:paraId="273033DA">
      <w:pPr>
        <w:spacing w:line="360" w:lineRule="auto"/>
        <w:ind w:firstLine="480" w:firstLineChars="200"/>
        <w:rPr>
          <w:sz w:val="24"/>
          <w:szCs w:val="24"/>
        </w:rPr>
      </w:pPr>
      <w:r>
        <w:rPr>
          <w:rFonts w:hint="eastAsia"/>
          <w:sz w:val="24"/>
          <w:szCs w:val="24"/>
        </w:rPr>
        <w:t>本项目实际建设情况与环评文件对照，</w:t>
      </w:r>
      <w:r>
        <w:rPr>
          <w:rFonts w:hint="eastAsia"/>
          <w:sz w:val="24"/>
          <w:szCs w:val="24"/>
          <w:lang w:val="en-US" w:eastAsia="zh-CN"/>
        </w:rPr>
        <w:t>油墨喷涂及其后烘烤工序有机废气、光刻胶涂抹及其后烘干工序有机废气、装配工序胶水挥发有机废气由环评中分设三套二级活性炭吸附装置分别处理后经排气筒排放变更为三股废气统一由一套二级活性炭吸附装置处理后经排气筒</w:t>
      </w:r>
      <w:r>
        <w:rPr>
          <w:rFonts w:hint="eastAsia"/>
          <w:sz w:val="24"/>
          <w:szCs w:val="24"/>
          <w:highlight w:val="none"/>
          <w:lang w:val="en-US" w:eastAsia="zh-CN"/>
        </w:rPr>
        <w:t>（DA008）</w:t>
      </w:r>
      <w:r>
        <w:rPr>
          <w:rFonts w:hint="eastAsia"/>
          <w:sz w:val="24"/>
          <w:szCs w:val="24"/>
          <w:lang w:val="en-US" w:eastAsia="zh-CN"/>
        </w:rPr>
        <w:t>排放</w:t>
      </w:r>
      <w:r>
        <w:rPr>
          <w:rFonts w:hint="eastAsia"/>
          <w:sz w:val="24"/>
          <w:szCs w:val="24"/>
        </w:rPr>
        <w:t>，其余建设内容与环评内容一致，未发生变动。本项目配套的环保设施与主体工程基本做到同时设计、同时施工、同时投入使用，满足环保设施“三同时”要求。</w:t>
      </w:r>
    </w:p>
    <w:p w14:paraId="57CD9029">
      <w:pPr>
        <w:spacing w:line="360" w:lineRule="auto"/>
        <w:ind w:firstLine="480" w:firstLineChars="200"/>
        <w:rPr>
          <w:sz w:val="24"/>
          <w:szCs w:val="24"/>
        </w:rPr>
        <w:sectPr>
          <w:pgSz w:w="11906" w:h="16838"/>
          <w:pgMar w:top="1440" w:right="1440" w:bottom="1440" w:left="1440" w:header="851" w:footer="992" w:gutter="0"/>
          <w:cols w:space="720" w:num="1"/>
          <w:docGrid w:type="linesAndChars" w:linePitch="312" w:charSpace="0"/>
        </w:sectPr>
      </w:pPr>
    </w:p>
    <w:p w14:paraId="042066B7">
      <w:pPr>
        <w:pStyle w:val="2"/>
      </w:pPr>
      <w:bookmarkStart w:id="166" w:name="_Toc14912"/>
      <w:bookmarkStart w:id="167" w:name="_Toc513474976"/>
      <w:bookmarkStart w:id="168" w:name="_Toc520988564"/>
      <w:r>
        <w:t>5</w:t>
      </w:r>
      <w:r>
        <w:rPr>
          <w:rFonts w:hint="eastAsia"/>
        </w:rPr>
        <w:t>环境影响</w:t>
      </w:r>
      <w:r>
        <w:t>报告表主要结论与建议及审批部门审批决定</w:t>
      </w:r>
      <w:bookmarkEnd w:id="166"/>
      <w:bookmarkEnd w:id="167"/>
      <w:bookmarkEnd w:id="168"/>
    </w:p>
    <w:p w14:paraId="6A112A95">
      <w:pPr>
        <w:pStyle w:val="3"/>
      </w:pPr>
      <w:bookmarkStart w:id="169" w:name="_Toc513474977"/>
      <w:bookmarkStart w:id="170" w:name="_Toc10673"/>
      <w:bookmarkStart w:id="171" w:name="_Toc520988565"/>
      <w:r>
        <w:t>5.1</w:t>
      </w:r>
      <w:r>
        <w:rPr>
          <w:rFonts w:hint="eastAsia"/>
        </w:rPr>
        <w:t>环境影响</w:t>
      </w:r>
      <w:r>
        <w:t>报告表的主要结论与建议（摘录）</w:t>
      </w:r>
      <w:bookmarkEnd w:id="169"/>
      <w:bookmarkEnd w:id="170"/>
      <w:bookmarkEnd w:id="171"/>
    </w:p>
    <w:tbl>
      <w:tblPr>
        <w:tblStyle w:val="35"/>
        <w:tblW w:w="9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764"/>
        <w:gridCol w:w="6935"/>
      </w:tblGrid>
      <w:tr w14:paraId="1CEF7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5" w:type="dxa"/>
            <w:gridSpan w:val="2"/>
            <w:tcBorders>
              <w:top w:val="single" w:color="auto" w:sz="12" w:space="0"/>
              <w:left w:val="single" w:color="auto" w:sz="12" w:space="0"/>
              <w:bottom w:val="single" w:color="auto" w:sz="4" w:space="0"/>
              <w:right w:val="single" w:color="auto" w:sz="4" w:space="0"/>
            </w:tcBorders>
            <w:vAlign w:val="center"/>
          </w:tcPr>
          <w:p w14:paraId="2F9B877F">
            <w:pPr>
              <w:jc w:val="center"/>
              <w:rPr>
                <w:szCs w:val="21"/>
              </w:rPr>
            </w:pPr>
            <w:bookmarkStart w:id="172" w:name="_Toc6308"/>
            <w:r>
              <w:rPr>
                <w:szCs w:val="21"/>
              </w:rPr>
              <w:t>项目</w:t>
            </w:r>
            <w:bookmarkEnd w:id="172"/>
          </w:p>
        </w:tc>
        <w:tc>
          <w:tcPr>
            <w:tcW w:w="6935" w:type="dxa"/>
            <w:tcBorders>
              <w:top w:val="single" w:color="auto" w:sz="12" w:space="0"/>
              <w:left w:val="single" w:color="auto" w:sz="4" w:space="0"/>
              <w:bottom w:val="single" w:color="auto" w:sz="4" w:space="0"/>
              <w:right w:val="single" w:color="auto" w:sz="12" w:space="0"/>
            </w:tcBorders>
            <w:vAlign w:val="center"/>
          </w:tcPr>
          <w:p w14:paraId="7CA9E627">
            <w:pPr>
              <w:jc w:val="center"/>
              <w:rPr>
                <w:rFonts w:hint="eastAsia" w:eastAsia="宋体"/>
                <w:szCs w:val="21"/>
                <w:lang w:eastAsia="zh-CN"/>
              </w:rPr>
            </w:pPr>
            <w:r>
              <w:rPr>
                <w:rFonts w:hint="eastAsia"/>
                <w:szCs w:val="21"/>
                <w:lang w:eastAsia="zh-CN"/>
              </w:rPr>
              <w:t>年产新型平板显示器件关键部件和材料（玻璃盖板）3840万片项目（二期工程）</w:t>
            </w:r>
          </w:p>
        </w:tc>
      </w:tr>
      <w:tr w14:paraId="64C13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5" w:type="dxa"/>
            <w:gridSpan w:val="2"/>
            <w:tcBorders>
              <w:top w:val="single" w:color="auto" w:sz="4" w:space="0"/>
              <w:left w:val="single" w:color="auto" w:sz="12" w:space="0"/>
              <w:bottom w:val="single" w:color="auto" w:sz="4" w:space="0"/>
              <w:right w:val="single" w:color="auto" w:sz="4" w:space="0"/>
            </w:tcBorders>
            <w:vAlign w:val="center"/>
          </w:tcPr>
          <w:p w14:paraId="28B28B30">
            <w:pPr>
              <w:spacing w:line="360" w:lineRule="exact"/>
              <w:jc w:val="center"/>
              <w:rPr>
                <w:szCs w:val="21"/>
              </w:rPr>
            </w:pPr>
            <w:r>
              <w:rPr>
                <w:szCs w:val="21"/>
              </w:rPr>
              <w:t>项目简况</w:t>
            </w:r>
          </w:p>
        </w:tc>
        <w:tc>
          <w:tcPr>
            <w:tcW w:w="6935" w:type="dxa"/>
            <w:tcBorders>
              <w:top w:val="single" w:color="auto" w:sz="4" w:space="0"/>
              <w:left w:val="single" w:color="auto" w:sz="4" w:space="0"/>
              <w:bottom w:val="single" w:color="auto" w:sz="4" w:space="0"/>
              <w:right w:val="single" w:color="auto" w:sz="12" w:space="0"/>
            </w:tcBorders>
            <w:vAlign w:val="center"/>
          </w:tcPr>
          <w:p w14:paraId="00B45780">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szCs w:val="21"/>
              </w:rPr>
            </w:pPr>
            <w:r>
              <w:rPr>
                <w:rFonts w:hint="eastAsia"/>
                <w:szCs w:val="21"/>
              </w:rPr>
              <w:t>重庆京东方晶远科技有限公司</w:t>
            </w:r>
            <w:r>
              <w:rPr>
                <w:rFonts w:hint="eastAsia"/>
                <w:szCs w:val="21"/>
                <w:lang w:val="en-US" w:eastAsia="zh-CN"/>
              </w:rPr>
              <w:t>现已</w:t>
            </w:r>
            <w:r>
              <w:rPr>
                <w:rFonts w:hint="eastAsia"/>
                <w:szCs w:val="21"/>
              </w:rPr>
              <w:t>租用高新区西永街道西景大道1号</w:t>
            </w:r>
            <w:r>
              <w:rPr>
                <w:szCs w:val="21"/>
              </w:rPr>
              <w:t>B01号楼、B02号楼、</w:t>
            </w:r>
            <w:r>
              <w:rPr>
                <w:rFonts w:hint="eastAsia"/>
                <w:szCs w:val="21"/>
                <w:lang w:val="en-US" w:eastAsia="zh-CN"/>
              </w:rPr>
              <w:t>B03号楼、</w:t>
            </w:r>
            <w:r>
              <w:rPr>
                <w:szCs w:val="21"/>
              </w:rPr>
              <w:t>B21号楼</w:t>
            </w:r>
            <w:r>
              <w:rPr>
                <w:rFonts w:hint="eastAsia"/>
                <w:szCs w:val="21"/>
              </w:rPr>
              <w:t>、B04b</w:t>
            </w:r>
            <w:r>
              <w:rPr>
                <w:szCs w:val="21"/>
              </w:rPr>
              <w:t>号楼</w:t>
            </w:r>
            <w:r>
              <w:rPr>
                <w:rFonts w:hint="eastAsia"/>
                <w:szCs w:val="21"/>
              </w:rPr>
              <w:t>闲置厂房，总建筑面积104265</w:t>
            </w:r>
            <w:r>
              <w:rPr>
                <w:rFonts w:hint="eastAsia"/>
                <w:szCs w:val="21"/>
                <w:lang w:eastAsia="zh-CN"/>
              </w:rPr>
              <w:t>㎡</w:t>
            </w:r>
            <w:r>
              <w:rPr>
                <w:rFonts w:hint="eastAsia"/>
                <w:szCs w:val="21"/>
              </w:rPr>
              <w:t>，购置手机玻璃盖板国产设备抛光机、移印机、清洗设备、车载玻璃盖板国产设备等，</w:t>
            </w:r>
            <w:r>
              <w:rPr>
                <w:rFonts w:hint="eastAsia"/>
                <w:szCs w:val="21"/>
                <w:lang w:val="en-US" w:eastAsia="zh-CN"/>
              </w:rPr>
              <w:t>建设</w:t>
            </w:r>
            <w:r>
              <w:rPr>
                <w:rFonts w:hint="eastAsia"/>
                <w:szCs w:val="21"/>
              </w:rPr>
              <w:t>微晶手机玻璃盖板生产线及车载玻璃盖板生产线，</w:t>
            </w:r>
            <w:r>
              <w:rPr>
                <w:rFonts w:hint="eastAsia"/>
                <w:szCs w:val="21"/>
                <w:lang w:val="en-US" w:eastAsia="zh-CN"/>
              </w:rPr>
              <w:t>原备案生产规模为形成年产微晶手机玻璃盖板3600万片、手机玻璃后盖800万片及车载玻璃盖板240万片的生产能力，其中年产微晶手机玻璃盖板3600万片和车载玻璃盖板240万片的生产能力已通过</w:t>
            </w:r>
            <w:r>
              <w:rPr>
                <w:szCs w:val="21"/>
              </w:rPr>
              <w:t>《</w:t>
            </w:r>
            <w:r>
              <w:rPr>
                <w:rFonts w:hint="eastAsia"/>
                <w:szCs w:val="21"/>
              </w:rPr>
              <w:t>年产新型平板显示器件关键部件和材料（玻璃盖板）</w:t>
            </w:r>
            <w:r>
              <w:rPr>
                <w:szCs w:val="21"/>
              </w:rPr>
              <w:t>3840</w:t>
            </w:r>
            <w:r>
              <w:rPr>
                <w:rFonts w:hint="eastAsia"/>
                <w:szCs w:val="21"/>
              </w:rPr>
              <w:t>万片项目环境影响报告表</w:t>
            </w:r>
            <w:r>
              <w:rPr>
                <w:szCs w:val="21"/>
              </w:rPr>
              <w:t>》</w:t>
            </w:r>
            <w:r>
              <w:rPr>
                <w:rFonts w:hint="eastAsia"/>
                <w:szCs w:val="21"/>
                <w:lang w:val="en-US" w:eastAsia="zh-CN"/>
              </w:rPr>
              <w:t>进行评价并取得批复和完成了一阶段的验收，由于企业建设规划，其中800万片手机玻璃后盖半成品玻璃为原有项目3D手机玻璃，其组装生产线因生产规划未纳入该环评进行评价</w:t>
            </w:r>
            <w:r>
              <w:rPr>
                <w:rFonts w:hint="eastAsia"/>
                <w:szCs w:val="21"/>
              </w:rPr>
              <w:t>。</w:t>
            </w:r>
          </w:p>
          <w:p w14:paraId="3174FB5B">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pPr>
            <w:r>
              <w:rPr>
                <w:rFonts w:hint="eastAsia"/>
                <w:szCs w:val="21"/>
                <w:lang w:val="en-US" w:eastAsia="zh-CN"/>
              </w:rPr>
              <w:t>根据市场需求，现</w:t>
            </w:r>
            <w:r>
              <w:rPr>
                <w:rFonts w:hint="eastAsia"/>
                <w:szCs w:val="21"/>
              </w:rPr>
              <w:t>重庆京东方晶远科技有限公司</w:t>
            </w:r>
            <w:r>
              <w:rPr>
                <w:rFonts w:hint="eastAsia"/>
                <w:szCs w:val="21"/>
                <w:lang w:val="en-US" w:eastAsia="zh-CN"/>
              </w:rPr>
              <w:t>在已租用的B01、B03厂房，建设手机后盖玻璃AG蚀刻生产线，并配套建设5条组装线，对原有项目B01厂房中生产的800万件手机玻璃后盖进行延伸加工，实施“</w:t>
            </w:r>
            <w:r>
              <w:rPr>
                <w:rFonts w:hint="eastAsia"/>
                <w:szCs w:val="21"/>
              </w:rPr>
              <w:t>年产新型平板显示器件关键部件和材料（玻璃盖板）3840万片项目</w:t>
            </w:r>
            <w:r>
              <w:rPr>
                <w:rFonts w:hint="eastAsia"/>
                <w:szCs w:val="21"/>
                <w:lang w:eastAsia="zh-CN"/>
              </w:rPr>
              <w:t>（</w:t>
            </w:r>
            <w:r>
              <w:rPr>
                <w:rFonts w:hint="eastAsia"/>
                <w:szCs w:val="21"/>
                <w:lang w:val="en-US" w:eastAsia="zh-CN"/>
              </w:rPr>
              <w:t>二期工程</w:t>
            </w:r>
            <w:r>
              <w:rPr>
                <w:rFonts w:hint="eastAsia"/>
                <w:szCs w:val="21"/>
                <w:lang w:eastAsia="zh-CN"/>
              </w:rPr>
              <w:t>）</w:t>
            </w:r>
            <w:r>
              <w:rPr>
                <w:rFonts w:hint="eastAsia"/>
                <w:szCs w:val="21"/>
                <w:lang w:val="en-US" w:eastAsia="zh-CN"/>
              </w:rPr>
              <w:t>”。</w:t>
            </w:r>
          </w:p>
        </w:tc>
      </w:tr>
      <w:tr w14:paraId="2FD4C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trPr>
        <w:tc>
          <w:tcPr>
            <w:tcW w:w="1341" w:type="dxa"/>
            <w:vMerge w:val="restart"/>
            <w:tcBorders>
              <w:top w:val="nil"/>
              <w:left w:val="single" w:color="auto" w:sz="12" w:space="0"/>
              <w:bottom w:val="single" w:color="auto" w:sz="4" w:space="0"/>
              <w:right w:val="single" w:color="auto" w:sz="4" w:space="0"/>
            </w:tcBorders>
            <w:vAlign w:val="center"/>
          </w:tcPr>
          <w:p w14:paraId="6392782A">
            <w:pPr>
              <w:spacing w:line="360" w:lineRule="exact"/>
              <w:jc w:val="center"/>
              <w:rPr>
                <w:szCs w:val="21"/>
              </w:rPr>
            </w:pPr>
            <w:r>
              <w:rPr>
                <w:szCs w:val="21"/>
              </w:rPr>
              <w:t>环境影响分析及污染防治措施</w:t>
            </w:r>
          </w:p>
        </w:tc>
        <w:tc>
          <w:tcPr>
            <w:tcW w:w="764" w:type="dxa"/>
            <w:tcBorders>
              <w:top w:val="single" w:color="auto" w:sz="4" w:space="0"/>
              <w:left w:val="single" w:color="auto" w:sz="4" w:space="0"/>
              <w:bottom w:val="single" w:color="auto" w:sz="4" w:space="0"/>
              <w:right w:val="single" w:color="auto" w:sz="4" w:space="0"/>
            </w:tcBorders>
            <w:vAlign w:val="center"/>
          </w:tcPr>
          <w:p w14:paraId="0518D5FA">
            <w:pPr>
              <w:spacing w:line="360" w:lineRule="exact"/>
              <w:jc w:val="center"/>
              <w:rPr>
                <w:szCs w:val="21"/>
              </w:rPr>
            </w:pPr>
            <w:r>
              <w:rPr>
                <w:szCs w:val="21"/>
              </w:rPr>
              <w:t>废水</w:t>
            </w:r>
          </w:p>
        </w:tc>
        <w:tc>
          <w:tcPr>
            <w:tcW w:w="6935" w:type="dxa"/>
            <w:tcBorders>
              <w:top w:val="single" w:color="auto" w:sz="4" w:space="0"/>
              <w:left w:val="single" w:color="auto" w:sz="4" w:space="0"/>
              <w:bottom w:val="single" w:color="auto" w:sz="4" w:space="0"/>
              <w:right w:val="single" w:color="auto" w:sz="12" w:space="0"/>
            </w:tcBorders>
            <w:vAlign w:val="center"/>
          </w:tcPr>
          <w:p w14:paraId="24D58ED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szCs w:val="21"/>
              </w:rPr>
            </w:pPr>
            <w:r>
              <w:rPr>
                <w:rFonts w:hint="eastAsia"/>
                <w:szCs w:val="21"/>
                <w:lang w:val="en-US" w:eastAsia="zh-CN" w:bidi="ar"/>
              </w:rPr>
              <w:t>项目生活污水依托富士康园区分散式生化池处理达《污水综合排放标准》（GB8978-1996）三级排放标准后排入西永污水处理厂，纯水制备浓水直接经园区污水管网排入西永污水处理厂，生产废水排入厂区自建污水处理站中处理达《污水综合排放标准》（GB8978-1996）三级排放标准后排入西永污水处理厂。COD、氨氮、总磷、总氮经西永污水处理厂处理达《梁滩河流域城镇污水处理厂主要水污染物排放标准》（DB50/963-2020）表1重点控制区域标准限值，其它污染因子达《城镇污水处理厂污染物排放标准》（GB18918-2002）一级A标准后排入梁滩河</w:t>
            </w:r>
            <w:r>
              <w:rPr>
                <w:rFonts w:hint="eastAsia"/>
                <w:szCs w:val="21"/>
                <w:lang w:bidi="ar"/>
              </w:rPr>
              <w:t>。</w:t>
            </w:r>
          </w:p>
        </w:tc>
      </w:tr>
      <w:tr w14:paraId="0DC8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trPr>
        <w:tc>
          <w:tcPr>
            <w:tcW w:w="1341" w:type="dxa"/>
            <w:vMerge w:val="continue"/>
            <w:tcBorders>
              <w:top w:val="nil"/>
              <w:left w:val="single" w:color="auto" w:sz="12" w:space="0"/>
              <w:bottom w:val="single" w:color="auto" w:sz="4" w:space="0"/>
              <w:right w:val="single" w:color="auto" w:sz="4" w:space="0"/>
            </w:tcBorders>
            <w:vAlign w:val="center"/>
          </w:tcPr>
          <w:p w14:paraId="11F77869">
            <w:pPr>
              <w:widowControl/>
              <w:jc w:val="left"/>
              <w:rPr>
                <w:szCs w:val="21"/>
              </w:rPr>
            </w:pPr>
          </w:p>
        </w:tc>
        <w:tc>
          <w:tcPr>
            <w:tcW w:w="764" w:type="dxa"/>
            <w:tcBorders>
              <w:top w:val="single" w:color="auto" w:sz="4" w:space="0"/>
              <w:left w:val="single" w:color="auto" w:sz="4" w:space="0"/>
              <w:bottom w:val="single" w:color="auto" w:sz="4" w:space="0"/>
              <w:right w:val="single" w:color="auto" w:sz="4" w:space="0"/>
            </w:tcBorders>
            <w:vAlign w:val="center"/>
          </w:tcPr>
          <w:p w14:paraId="5DD30D9D">
            <w:pPr>
              <w:spacing w:line="360" w:lineRule="exact"/>
              <w:jc w:val="center"/>
              <w:rPr>
                <w:szCs w:val="21"/>
              </w:rPr>
            </w:pPr>
            <w:r>
              <w:rPr>
                <w:szCs w:val="21"/>
              </w:rPr>
              <w:t>废气</w:t>
            </w:r>
          </w:p>
        </w:tc>
        <w:tc>
          <w:tcPr>
            <w:tcW w:w="6935" w:type="dxa"/>
            <w:tcBorders>
              <w:top w:val="single" w:color="auto" w:sz="4" w:space="0"/>
              <w:left w:val="single" w:color="auto" w:sz="4" w:space="0"/>
              <w:bottom w:val="single" w:color="auto" w:sz="4" w:space="0"/>
              <w:right w:val="single" w:color="auto" w:sz="12" w:space="0"/>
            </w:tcBorders>
            <w:vAlign w:val="center"/>
          </w:tcPr>
          <w:p w14:paraId="04BE2617">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szCs w:val="21"/>
                <w:lang w:val="en-US" w:bidi="ar"/>
              </w:rPr>
            </w:pPr>
            <w:r>
              <w:rPr>
                <w:rFonts w:hint="eastAsia"/>
                <w:szCs w:val="21"/>
                <w:lang w:val="en-US" w:eastAsia="zh-CN" w:bidi="ar"/>
              </w:rPr>
              <w:t>项目产生的光刻胶涂抹及其后烘干工序有机废气、油墨喷涂及其后烘烤工序有机废气、装配工序胶水挥发有机废气中主要污染物均为非甲烷总烃，经两级活性炭吸附处理装置处理后有组织排放</w:t>
            </w:r>
            <w:r>
              <w:rPr>
                <w:rFonts w:hint="eastAsia"/>
                <w:szCs w:val="21"/>
                <w:lang w:bidi="ar"/>
              </w:rPr>
              <w:t>；</w:t>
            </w:r>
            <w:r>
              <w:rPr>
                <w:rFonts w:hint="eastAsia"/>
                <w:szCs w:val="21"/>
                <w:lang w:val="en-US" w:eastAsia="zh-CN" w:bidi="ar"/>
              </w:rPr>
              <w:t>AG蚀刻线蒙砂废气和化抛废气中主要污染物为</w:t>
            </w:r>
            <w:r>
              <w:rPr>
                <w:rFonts w:hint="eastAsia" w:ascii="Times New Roman" w:hAnsi="Times New Roman" w:eastAsia="宋体" w:cs="Times New Roman"/>
                <w:color w:val="auto"/>
                <w:sz w:val="21"/>
                <w:szCs w:val="21"/>
                <w:lang w:val="en-US" w:eastAsia="zh-CN"/>
              </w:rPr>
              <w:t>氟化物、HC</w:t>
            </w:r>
            <w:r>
              <w:rPr>
                <w:rFonts w:hint="eastAsia" w:cs="Times New Roman"/>
                <w:color w:val="auto"/>
                <w:sz w:val="21"/>
                <w:szCs w:val="21"/>
                <w:lang w:val="en-US" w:eastAsia="zh-CN"/>
              </w:rPr>
              <w:t>l</w:t>
            </w:r>
            <w:r>
              <w:rPr>
                <w:rFonts w:hint="eastAsia" w:ascii="Times New Roman" w:hAnsi="Times New Roman" w:eastAsia="宋体" w:cs="Times New Roman"/>
                <w:color w:val="auto"/>
                <w:sz w:val="21"/>
                <w:szCs w:val="21"/>
                <w:lang w:val="en-US" w:eastAsia="zh-CN"/>
              </w:rPr>
              <w:t>、硫酸雾</w:t>
            </w:r>
            <w:r>
              <w:rPr>
                <w:rFonts w:hint="eastAsia" w:cs="Times New Roman"/>
                <w:color w:val="auto"/>
                <w:sz w:val="21"/>
                <w:szCs w:val="21"/>
                <w:lang w:val="en-US" w:eastAsia="zh-CN"/>
              </w:rPr>
              <w:t>，经</w:t>
            </w:r>
            <w:r>
              <w:rPr>
                <w:rFonts w:hint="eastAsia" w:ascii="Times New Roman" w:hAnsi="Times New Roman" w:eastAsia="宋体" w:cs="Times New Roman"/>
                <w:color w:val="auto"/>
                <w:sz w:val="21"/>
                <w:szCs w:val="21"/>
                <w:lang w:val="en-US" w:eastAsia="zh-CN"/>
              </w:rPr>
              <w:t>碱液喷淋塔</w:t>
            </w:r>
            <w:r>
              <w:rPr>
                <w:rFonts w:hint="eastAsia" w:cs="Times New Roman"/>
                <w:color w:val="auto"/>
                <w:sz w:val="21"/>
                <w:szCs w:val="21"/>
                <w:lang w:val="en-US" w:eastAsia="zh-CN"/>
              </w:rPr>
              <w:t>处理装置处理后有组织排放。</w:t>
            </w:r>
          </w:p>
        </w:tc>
      </w:tr>
      <w:tr w14:paraId="6BB70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341" w:type="dxa"/>
            <w:vMerge w:val="continue"/>
            <w:tcBorders>
              <w:top w:val="nil"/>
              <w:left w:val="single" w:color="auto" w:sz="12" w:space="0"/>
              <w:bottom w:val="single" w:color="auto" w:sz="4" w:space="0"/>
              <w:right w:val="single" w:color="auto" w:sz="4" w:space="0"/>
            </w:tcBorders>
            <w:vAlign w:val="center"/>
          </w:tcPr>
          <w:p w14:paraId="4D26A9ED">
            <w:pPr>
              <w:widowControl/>
              <w:jc w:val="left"/>
              <w:rPr>
                <w:szCs w:val="21"/>
              </w:rPr>
            </w:pPr>
          </w:p>
        </w:tc>
        <w:tc>
          <w:tcPr>
            <w:tcW w:w="764" w:type="dxa"/>
            <w:tcBorders>
              <w:top w:val="single" w:color="auto" w:sz="4" w:space="0"/>
              <w:left w:val="single" w:color="auto" w:sz="4" w:space="0"/>
              <w:bottom w:val="single" w:color="auto" w:sz="4" w:space="0"/>
              <w:right w:val="single" w:color="auto" w:sz="4" w:space="0"/>
            </w:tcBorders>
            <w:vAlign w:val="center"/>
          </w:tcPr>
          <w:p w14:paraId="5F51CE06">
            <w:pPr>
              <w:spacing w:line="360" w:lineRule="exact"/>
              <w:jc w:val="center"/>
              <w:rPr>
                <w:szCs w:val="21"/>
              </w:rPr>
            </w:pPr>
            <w:r>
              <w:rPr>
                <w:szCs w:val="21"/>
              </w:rPr>
              <w:t>噪声</w:t>
            </w:r>
          </w:p>
        </w:tc>
        <w:tc>
          <w:tcPr>
            <w:tcW w:w="6935" w:type="dxa"/>
            <w:tcBorders>
              <w:top w:val="single" w:color="auto" w:sz="4" w:space="0"/>
              <w:left w:val="single" w:color="auto" w:sz="4" w:space="0"/>
              <w:bottom w:val="single" w:color="auto" w:sz="4" w:space="0"/>
              <w:right w:val="single" w:color="auto" w:sz="12" w:space="0"/>
            </w:tcBorders>
            <w:vAlign w:val="center"/>
          </w:tcPr>
          <w:p w14:paraId="6059AFB8">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szCs w:val="21"/>
              </w:rPr>
            </w:pPr>
            <w:r>
              <w:rPr>
                <w:color w:val="auto"/>
                <w:sz w:val="21"/>
                <w:szCs w:val="21"/>
              </w:rPr>
              <w:t>基础减振、消声器、建筑物隔声</w:t>
            </w:r>
            <w:r>
              <w:rPr>
                <w:rFonts w:hint="eastAsia"/>
                <w:szCs w:val="21"/>
              </w:rPr>
              <w:t>等措施降噪。</w:t>
            </w:r>
          </w:p>
        </w:tc>
      </w:tr>
      <w:tr w14:paraId="17E12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41" w:type="dxa"/>
            <w:vMerge w:val="continue"/>
            <w:tcBorders>
              <w:top w:val="nil"/>
              <w:left w:val="single" w:color="auto" w:sz="12" w:space="0"/>
              <w:bottom w:val="single" w:color="auto" w:sz="4" w:space="0"/>
              <w:right w:val="single" w:color="auto" w:sz="4" w:space="0"/>
            </w:tcBorders>
            <w:vAlign w:val="center"/>
          </w:tcPr>
          <w:p w14:paraId="66FFE84C">
            <w:pPr>
              <w:widowControl/>
              <w:jc w:val="left"/>
              <w:rPr>
                <w:szCs w:val="21"/>
              </w:rPr>
            </w:pPr>
          </w:p>
        </w:tc>
        <w:tc>
          <w:tcPr>
            <w:tcW w:w="764" w:type="dxa"/>
            <w:tcBorders>
              <w:top w:val="single" w:color="auto" w:sz="4" w:space="0"/>
              <w:left w:val="single" w:color="auto" w:sz="4" w:space="0"/>
              <w:bottom w:val="single" w:color="auto" w:sz="4" w:space="0"/>
              <w:right w:val="single" w:color="auto" w:sz="4" w:space="0"/>
            </w:tcBorders>
            <w:vAlign w:val="center"/>
          </w:tcPr>
          <w:p w14:paraId="027F8740">
            <w:pPr>
              <w:spacing w:line="360" w:lineRule="exact"/>
              <w:jc w:val="center"/>
              <w:rPr>
                <w:szCs w:val="21"/>
              </w:rPr>
            </w:pPr>
            <w:r>
              <w:rPr>
                <w:szCs w:val="21"/>
              </w:rPr>
              <w:t>固废</w:t>
            </w:r>
          </w:p>
        </w:tc>
        <w:tc>
          <w:tcPr>
            <w:tcW w:w="6935" w:type="dxa"/>
            <w:tcBorders>
              <w:top w:val="single" w:color="auto" w:sz="4" w:space="0"/>
              <w:left w:val="single" w:color="auto" w:sz="4" w:space="0"/>
              <w:bottom w:val="single" w:color="auto" w:sz="4" w:space="0"/>
              <w:right w:val="single" w:color="auto" w:sz="12" w:space="0"/>
            </w:tcBorders>
            <w:vAlign w:val="center"/>
          </w:tcPr>
          <w:p w14:paraId="71745B58">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eastAsia="宋体"/>
                <w:szCs w:val="21"/>
                <w:lang w:eastAsia="zh-CN"/>
              </w:rPr>
            </w:pPr>
            <w:r>
              <w:rPr>
                <w:rFonts w:hint="eastAsia"/>
                <w:szCs w:val="24"/>
                <w:lang w:bidi="ar"/>
              </w:rPr>
              <w:t>厂区内</w:t>
            </w:r>
            <w:r>
              <w:rPr>
                <w:rFonts w:hint="eastAsia"/>
                <w:szCs w:val="24"/>
                <w:lang w:eastAsia="zh-CN" w:bidi="ar"/>
              </w:rPr>
              <w:t>危险固废暂存间面积为</w:t>
            </w:r>
            <w:r>
              <w:rPr>
                <w:rFonts w:hint="eastAsia"/>
                <w:szCs w:val="24"/>
                <w:lang w:val="en-US" w:eastAsia="zh-CN" w:bidi="ar"/>
              </w:rPr>
              <w:t>100m</w:t>
            </w:r>
            <w:r>
              <w:rPr>
                <w:rFonts w:hint="eastAsia"/>
                <w:szCs w:val="24"/>
                <w:vertAlign w:val="superscript"/>
                <w:lang w:val="en-US" w:eastAsia="zh-CN" w:bidi="ar"/>
              </w:rPr>
              <w:t>2</w:t>
            </w:r>
            <w:r>
              <w:rPr>
                <w:rFonts w:hint="eastAsia"/>
                <w:szCs w:val="24"/>
                <w:lang w:bidi="ar"/>
              </w:rPr>
              <w:t>，危险废物暂存间已按照《危险废物贮存污染控制标准》（GB 18597-2023）的要求进行防风、防晒、防雨、防漏、防渗、防腐等处理，危险废物分类存放，危险废物经分类暂存后定期交有危险废物处理资质单位处置</w:t>
            </w:r>
            <w:r>
              <w:rPr>
                <w:rFonts w:hint="eastAsia"/>
                <w:szCs w:val="24"/>
                <w:lang w:eastAsia="zh-CN" w:bidi="ar"/>
              </w:rPr>
              <w:t>；</w:t>
            </w:r>
            <w:r>
              <w:rPr>
                <w:rFonts w:hint="eastAsia"/>
                <w:szCs w:val="24"/>
                <w:lang w:bidi="ar"/>
              </w:rPr>
              <w:t>一般工业固废暂存</w:t>
            </w:r>
            <w:r>
              <w:rPr>
                <w:rFonts w:hint="eastAsia"/>
                <w:szCs w:val="24"/>
                <w:lang w:val="en-US" w:eastAsia="zh-CN" w:bidi="ar"/>
              </w:rPr>
              <w:t>间</w:t>
            </w:r>
            <w:r>
              <w:rPr>
                <w:rFonts w:hint="eastAsia"/>
                <w:szCs w:val="24"/>
                <w:lang w:bidi="ar"/>
              </w:rPr>
              <w:t>面积为</w:t>
            </w:r>
            <w:r>
              <w:rPr>
                <w:szCs w:val="24"/>
                <w:lang w:bidi="ar"/>
              </w:rPr>
              <w:t>100m</w:t>
            </w:r>
            <w:r>
              <w:rPr>
                <w:szCs w:val="24"/>
                <w:vertAlign w:val="superscript"/>
                <w:lang w:bidi="ar"/>
              </w:rPr>
              <w:t>2</w:t>
            </w:r>
            <w:r>
              <w:rPr>
                <w:rFonts w:hint="eastAsia"/>
                <w:szCs w:val="24"/>
                <w:lang w:bidi="ar"/>
              </w:rPr>
              <w:t>，</w:t>
            </w:r>
            <w:r>
              <w:rPr>
                <w:rFonts w:hint="eastAsia"/>
                <w:szCs w:val="24"/>
                <w:lang w:val="en-US" w:eastAsia="zh-CN" w:bidi="ar"/>
              </w:rPr>
              <w:t>收集后</w:t>
            </w:r>
            <w:r>
              <w:rPr>
                <w:color w:val="auto"/>
                <w:sz w:val="21"/>
                <w:szCs w:val="21"/>
              </w:rPr>
              <w:t>外售或交废品回收站综合利用</w:t>
            </w:r>
            <w:r>
              <w:rPr>
                <w:rFonts w:hint="eastAsia"/>
                <w:color w:val="auto"/>
                <w:sz w:val="21"/>
                <w:szCs w:val="21"/>
                <w:lang w:eastAsia="zh-CN"/>
              </w:rPr>
              <w:t>；</w:t>
            </w:r>
            <w:r>
              <w:rPr>
                <w:rFonts w:hint="eastAsia"/>
                <w:color w:val="auto"/>
                <w:sz w:val="21"/>
                <w:szCs w:val="21"/>
                <w:lang w:val="en-US" w:eastAsia="zh-CN"/>
              </w:rPr>
              <w:t>生活垃圾</w:t>
            </w:r>
            <w:r>
              <w:rPr>
                <w:rFonts w:hint="eastAsia"/>
                <w:color w:val="auto"/>
                <w:sz w:val="21"/>
                <w:szCs w:val="21"/>
              </w:rPr>
              <w:t>统一收集后交市政环卫部门进行处置</w:t>
            </w:r>
            <w:r>
              <w:rPr>
                <w:rFonts w:hint="eastAsia"/>
                <w:color w:val="auto"/>
                <w:sz w:val="21"/>
                <w:szCs w:val="21"/>
                <w:lang w:eastAsia="zh-CN"/>
              </w:rPr>
              <w:t>。</w:t>
            </w:r>
          </w:p>
        </w:tc>
      </w:tr>
      <w:tr w14:paraId="429C3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5" w:type="dxa"/>
            <w:gridSpan w:val="2"/>
            <w:tcBorders>
              <w:top w:val="single" w:color="auto" w:sz="4" w:space="0"/>
              <w:left w:val="single" w:color="auto" w:sz="12" w:space="0"/>
              <w:bottom w:val="single" w:color="auto" w:sz="12" w:space="0"/>
              <w:right w:val="single" w:color="auto" w:sz="4" w:space="0"/>
            </w:tcBorders>
            <w:vAlign w:val="center"/>
          </w:tcPr>
          <w:p w14:paraId="33DD4AB7">
            <w:pPr>
              <w:spacing w:line="360" w:lineRule="exact"/>
              <w:jc w:val="center"/>
              <w:rPr>
                <w:szCs w:val="21"/>
              </w:rPr>
            </w:pPr>
            <w:r>
              <w:rPr>
                <w:szCs w:val="21"/>
              </w:rPr>
              <w:t>综合结论</w:t>
            </w:r>
          </w:p>
        </w:tc>
        <w:tc>
          <w:tcPr>
            <w:tcW w:w="6935" w:type="dxa"/>
            <w:tcBorders>
              <w:top w:val="single" w:color="auto" w:sz="4" w:space="0"/>
              <w:left w:val="single" w:color="auto" w:sz="4" w:space="0"/>
              <w:bottom w:val="single" w:color="auto" w:sz="12" w:space="0"/>
              <w:right w:val="single" w:color="auto" w:sz="12" w:space="0"/>
            </w:tcBorders>
            <w:vAlign w:val="center"/>
          </w:tcPr>
          <w:p w14:paraId="4B882FBD">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szCs w:val="21"/>
              </w:rPr>
            </w:pPr>
            <w:r>
              <w:rPr>
                <w:rFonts w:hint="eastAsia"/>
                <w:szCs w:val="21"/>
              </w:rPr>
              <w:t>本项目符合国家产业政策、用地规划，符合相关环保政策、环保规划以及“三线一单”要求，符合《西部科学城重庆高新技术产业开发区（直管园）规划环境影响报告书》及</w:t>
            </w:r>
            <w:r>
              <w:rPr>
                <w:rFonts w:hint="eastAsia"/>
                <w:szCs w:val="21"/>
                <w:lang w:val="en-US" w:eastAsia="zh-CN"/>
              </w:rPr>
              <w:t>其</w:t>
            </w:r>
            <w:r>
              <w:rPr>
                <w:rFonts w:hint="eastAsia"/>
                <w:szCs w:val="21"/>
              </w:rPr>
              <w:t>审查意见的要求。在采取相应有效的污染治理措施后，能实现污染物达标排放，对周边环境影响在可接受范围内。</w:t>
            </w:r>
          </w:p>
        </w:tc>
      </w:tr>
    </w:tbl>
    <w:p w14:paraId="096F1947">
      <w:pPr>
        <w:pStyle w:val="3"/>
        <w:keepNext/>
        <w:keepLines/>
        <w:pageBreakBefore w:val="0"/>
        <w:widowControl w:val="0"/>
        <w:kinsoku/>
        <w:wordWrap/>
        <w:overflowPunct/>
        <w:topLinePunct w:val="0"/>
        <w:autoSpaceDE/>
        <w:autoSpaceDN/>
        <w:bidi w:val="0"/>
        <w:adjustRightInd/>
        <w:snapToGrid/>
        <w:spacing w:line="360" w:lineRule="auto"/>
        <w:textAlignment w:val="auto"/>
      </w:pPr>
      <w:bookmarkStart w:id="173" w:name="_Toc520988566"/>
      <w:bookmarkStart w:id="174" w:name="_Toc513474980"/>
      <w:bookmarkStart w:id="175" w:name="_Toc5218"/>
      <w:r>
        <w:t>5.2审批部门审批决定</w:t>
      </w:r>
      <w:bookmarkEnd w:id="173"/>
      <w:bookmarkEnd w:id="174"/>
      <w:bookmarkEnd w:id="175"/>
      <w:r>
        <w:tab/>
      </w:r>
    </w:p>
    <w:p w14:paraId="0A0713E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ascii="宋体" w:hAnsi="宋体"/>
          <w:sz w:val="24"/>
          <w:szCs w:val="24"/>
        </w:rPr>
      </w:pPr>
      <w:r>
        <w:rPr>
          <w:rFonts w:hint="eastAsia" w:ascii="宋体" w:hAnsi="宋体"/>
          <w:sz w:val="24"/>
          <w:szCs w:val="24"/>
          <w:lang w:eastAsia="zh-CN"/>
        </w:rPr>
        <w:t>重庆京东方晶远科技有限公司</w:t>
      </w:r>
      <w:r>
        <w:rPr>
          <w:rFonts w:ascii="宋体" w:hAnsi="宋体"/>
          <w:sz w:val="24"/>
          <w:szCs w:val="24"/>
        </w:rPr>
        <w:t>：</w:t>
      </w:r>
    </w:p>
    <w:p w14:paraId="49110E6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sz w:val="24"/>
          <w:szCs w:val="24"/>
        </w:rPr>
      </w:pPr>
      <w:r>
        <w:rPr>
          <w:sz w:val="24"/>
          <w:szCs w:val="24"/>
        </w:rPr>
        <w:t>你单位报送的</w:t>
      </w:r>
      <w:r>
        <w:rPr>
          <w:rFonts w:hint="eastAsia"/>
          <w:sz w:val="24"/>
          <w:szCs w:val="24"/>
          <w:lang w:eastAsia="zh-CN"/>
        </w:rPr>
        <w:t>年产新型平板显示器件关键部件和材料（玻璃盖板）3840万片项目（二期工程）</w:t>
      </w:r>
      <w:r>
        <w:rPr>
          <w:sz w:val="24"/>
          <w:szCs w:val="24"/>
        </w:rPr>
        <w:t>（项目代码：</w:t>
      </w:r>
      <w:r>
        <w:rPr>
          <w:rFonts w:hint="eastAsia"/>
          <w:sz w:val="24"/>
          <w:szCs w:val="24"/>
          <w:lang w:val="en-US" w:eastAsia="zh-CN"/>
        </w:rPr>
        <w:t>2402-500356-04-01-561637</w:t>
      </w:r>
      <w:r>
        <w:rPr>
          <w:sz w:val="24"/>
          <w:szCs w:val="24"/>
        </w:rPr>
        <w:t>）</w:t>
      </w:r>
      <w:r>
        <w:rPr>
          <w:rFonts w:hint="eastAsia"/>
          <w:sz w:val="24"/>
          <w:szCs w:val="24"/>
        </w:rPr>
        <w:t>环境影响报告表环评文件及相关报批申请材料收悉，经审查，环评文件符合我市建设项目环境影响评价文件告知承诺审批的相关要求。根据重庆惠能标普科技有限公司（统一社会信用代码：91500000MA5U6UTK68）编制的《年产新型平板显示器件关键部件和材料（玻璃盖板）3840 万件项目（二期工程）环境影响报告表》对该项目开展环境影响评价的结论，在全面落实报告表提出的各项防治生态影响和环境污染措施、防范环境风险措施和你单位承诺的前提下，工程建设对环境的不利影响能够得到缓解和控制。我局原则同意该项目环境影响报告表结论以及拟采取的环境保护措施。</w:t>
      </w:r>
    </w:p>
    <w:p w14:paraId="5DCD000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sz w:val="24"/>
          <w:szCs w:val="24"/>
        </w:rPr>
      </w:pPr>
      <w:r>
        <w:rPr>
          <w:rFonts w:hint="eastAsia"/>
          <w:sz w:val="24"/>
          <w:szCs w:val="24"/>
        </w:rPr>
        <w:t>你单位应当严格落实该项目环境影响报告表提出的防治生态影响和环境污染措施、防范环境风险措施，严格执行配套建设的环保设施与主体工程同时设计、同时施工、同时投产的“三同时”制度。</w:t>
      </w:r>
    </w:p>
    <w:p w14:paraId="04E2655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sz w:val="24"/>
          <w:szCs w:val="24"/>
        </w:rPr>
      </w:pPr>
      <w:r>
        <w:rPr>
          <w:rFonts w:hint="eastAsia"/>
          <w:sz w:val="24"/>
          <w:szCs w:val="24"/>
        </w:rPr>
        <w:t>项目建成发生实际排污行为之前，排污单位应申请排污许可（登记备案），不得无证排污或者不按证排污。</w:t>
      </w:r>
    </w:p>
    <w:p w14:paraId="76F8FE4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sz w:val="24"/>
          <w:szCs w:val="24"/>
        </w:rPr>
      </w:pPr>
      <w:r>
        <w:rPr>
          <w:rFonts w:hint="eastAsia"/>
          <w:sz w:val="24"/>
          <w:szCs w:val="24"/>
        </w:rPr>
        <w:t>项目竣工后，你单位应按照相关规定开展竣工环境保护自主验收，经验收合格后，项目方可正式投入生产或使用。</w:t>
      </w:r>
    </w:p>
    <w:p w14:paraId="6DB1689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sz w:val="24"/>
          <w:szCs w:val="24"/>
        </w:rPr>
      </w:pPr>
      <w:r>
        <w:rPr>
          <w:rFonts w:hint="eastAsia"/>
          <w:sz w:val="24"/>
          <w:szCs w:val="24"/>
        </w:rPr>
        <w:t>项目的性质、规模、地点、采用的生产工艺或者防治污染措施发生重大变动的，你单位应当重新报批该项目的环境影响评价文件。自批准之日起超过五年方决定开工建设的，项目环境影响评价文件应报我局重新审核。</w:t>
      </w:r>
    </w:p>
    <w:p w14:paraId="0117825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sz w:val="24"/>
          <w:szCs w:val="24"/>
        </w:rPr>
      </w:pPr>
      <w:r>
        <w:rPr>
          <w:rFonts w:hint="eastAsia"/>
          <w:sz w:val="24"/>
          <w:szCs w:val="24"/>
        </w:rPr>
        <w:t>本项目由重庆高新区生态环境局负责环境保护日常监督管理工作，由重庆高新区综合执法局负责违法行为的查处。</w:t>
      </w:r>
    </w:p>
    <w:p w14:paraId="0629814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sz w:val="24"/>
        </w:rPr>
      </w:pPr>
      <w:r>
        <w:rPr>
          <w:rFonts w:hint="eastAsia"/>
          <w:sz w:val="24"/>
          <w:szCs w:val="24"/>
        </w:rPr>
        <w:t>我局于2025 年3 月12 日起对环境影响评价文件信息进行公开，公示期为 10 个工作日，公示期满后本批准书生效，项目方可开工建设。生态环境主管部门如发现存在不符合告知承诺制情形、环评文件存在重大质量问题的或其他不能审批的情形，依法撤销审批决定，造成的一切法律后果和经济损失均由你单位承担。</w:t>
      </w:r>
    </w:p>
    <w:p w14:paraId="7EC8516F">
      <w:pPr>
        <w:spacing w:line="360" w:lineRule="auto"/>
        <w:rPr>
          <w:sz w:val="24"/>
          <w:szCs w:val="24"/>
        </w:rPr>
        <w:sectPr>
          <w:pgSz w:w="11906" w:h="16838"/>
          <w:pgMar w:top="1440" w:right="1440" w:bottom="1440" w:left="1440" w:header="851" w:footer="992" w:gutter="0"/>
          <w:cols w:space="720" w:num="1"/>
          <w:docGrid w:type="linesAndChars" w:linePitch="312" w:charSpace="0"/>
        </w:sectPr>
      </w:pPr>
    </w:p>
    <w:p w14:paraId="65E8F9B9">
      <w:pPr>
        <w:pStyle w:val="2"/>
      </w:pPr>
      <w:bookmarkStart w:id="176" w:name="_Toc520988567"/>
      <w:bookmarkStart w:id="177" w:name="_Toc9329"/>
      <w:bookmarkStart w:id="178" w:name="_Toc513474981"/>
      <w:r>
        <w:t>6验收执行标准</w:t>
      </w:r>
      <w:bookmarkEnd w:id="176"/>
      <w:bookmarkEnd w:id="177"/>
      <w:bookmarkEnd w:id="178"/>
    </w:p>
    <w:p w14:paraId="35C110E3">
      <w:pPr>
        <w:spacing w:line="490" w:lineRule="exact"/>
        <w:ind w:firstLine="480" w:firstLineChars="200"/>
        <w:rPr>
          <w:kern w:val="0"/>
          <w:sz w:val="24"/>
        </w:rPr>
      </w:pPr>
      <w:r>
        <w:rPr>
          <w:kern w:val="0"/>
          <w:sz w:val="24"/>
        </w:rPr>
        <w:t>根据《建设项目竣工环境保护验收技术指南 污染影响类》中对污染物排放标准的要求：</w:t>
      </w:r>
      <w:r>
        <w:rPr>
          <w:rFonts w:ascii="宋体" w:hAnsi="宋体"/>
          <w:kern w:val="0"/>
          <w:sz w:val="24"/>
        </w:rPr>
        <w:t>“</w:t>
      </w:r>
      <w:r>
        <w:rPr>
          <w:rFonts w:hint="eastAsia"/>
          <w:kern w:val="0"/>
          <w:sz w:val="24"/>
        </w:rPr>
        <w:t>建设项目竣工环境保护验收污染物排放标准原则上执行环境影响报告书（表）及其审批部门审批决定所规定的标准。在环境影响报告书（表）审批之后发布或修订的标准对建设项目执行该标准有明确时限要求的，按新发布或修订的标准执行</w:t>
      </w:r>
      <w:r>
        <w:rPr>
          <w:kern w:val="0"/>
          <w:sz w:val="24"/>
        </w:rPr>
        <w:t>。</w:t>
      </w:r>
      <w:r>
        <w:rPr>
          <w:rFonts w:ascii="宋体" w:hAnsi="宋体"/>
          <w:kern w:val="0"/>
          <w:sz w:val="24"/>
        </w:rPr>
        <w:t>”</w:t>
      </w:r>
    </w:p>
    <w:p w14:paraId="4AB1B6C5">
      <w:pPr>
        <w:spacing w:line="490" w:lineRule="exact"/>
        <w:ind w:firstLine="480" w:firstLineChars="200"/>
        <w:rPr>
          <w:kern w:val="0"/>
          <w:sz w:val="24"/>
        </w:rPr>
      </w:pPr>
      <w:r>
        <w:rPr>
          <w:kern w:val="0"/>
          <w:sz w:val="24"/>
        </w:rPr>
        <w:t>本次环境保护竣工验收调查标准原则上采用《</w:t>
      </w:r>
      <w:r>
        <w:rPr>
          <w:rFonts w:hint="eastAsia"/>
          <w:kern w:val="0"/>
          <w:sz w:val="24"/>
          <w:lang w:eastAsia="zh-CN"/>
        </w:rPr>
        <w:t>年产新型平板显示器件关键部件和材料（玻璃盖板）3840万片项目（二期工程）</w:t>
      </w:r>
      <w:r>
        <w:rPr>
          <w:kern w:val="0"/>
          <w:sz w:val="24"/>
        </w:rPr>
        <w:t>环境影响报告表》中提出的经环境保护行政主管部门确认的环境保护标准进行验收，对已修订新颁布的污染物排放标准则采用替代后的新标准进行校核。</w:t>
      </w:r>
    </w:p>
    <w:p w14:paraId="1EBD8965">
      <w:pPr>
        <w:pStyle w:val="3"/>
      </w:pPr>
      <w:bookmarkStart w:id="179" w:name="_Toc21072"/>
      <w:r>
        <w:t>6.1污染物排放标准</w:t>
      </w:r>
      <w:bookmarkEnd w:id="179"/>
    </w:p>
    <w:p w14:paraId="684CBBC2">
      <w:pPr>
        <w:pStyle w:val="4"/>
        <w:spacing w:before="0" w:after="0" w:line="490" w:lineRule="exact"/>
        <w:rPr>
          <w:sz w:val="24"/>
          <w:szCs w:val="24"/>
        </w:rPr>
      </w:pPr>
      <w:bookmarkStart w:id="180" w:name="_Toc513474984"/>
      <w:bookmarkStart w:id="181" w:name="_Hlk512192240"/>
      <w:r>
        <w:rPr>
          <w:sz w:val="24"/>
          <w:szCs w:val="24"/>
        </w:rPr>
        <w:t>6.1.1废水</w:t>
      </w:r>
      <w:bookmarkEnd w:id="180"/>
    </w:p>
    <w:p w14:paraId="1BDC80CA">
      <w:pPr>
        <w:spacing w:line="490" w:lineRule="exact"/>
        <w:ind w:firstLine="480" w:firstLineChars="200"/>
        <w:rPr>
          <w:rFonts w:hint="eastAsia" w:cs="宋体"/>
          <w:sz w:val="24"/>
          <w:szCs w:val="24"/>
          <w:lang w:val="en-US" w:eastAsia="zh-CN" w:bidi="ar"/>
        </w:rPr>
      </w:pPr>
      <w:bookmarkStart w:id="182" w:name="_Toc513474985"/>
      <w:r>
        <w:rPr>
          <w:rFonts w:hint="eastAsia" w:cs="宋体"/>
          <w:sz w:val="24"/>
          <w:szCs w:val="24"/>
          <w:lang w:val="en-US" w:eastAsia="zh-CN" w:bidi="ar"/>
        </w:rPr>
        <w:t>项目生活污水依托富士康园区分散式生化池处理达《污水综合排放标准》（GB 8978-1996）三级排放标准后排入西永污水处理厂；纯水制备浓水直接经园区污水管网排入西永污水处理厂；生产废水排入厂区自建污水处理站中处理达《污水综合排放标准》（GB8978-1996）三级排放标准后排入西永污水处理厂。COD、氨氮、总磷、总氮经西永污水处理厂处理达《梁滩河流域城镇污水处理厂主要水污染物排放标准》（DB50/963-2020）表1重点控制区域标准限值，其它污染因子达《城镇污水处理厂污染物排放标准》（GB 18918-2002）一级A标准后排入梁滩河。废水排放标准限值如下表。</w:t>
      </w:r>
    </w:p>
    <w:p w14:paraId="7EF09128">
      <w:pPr>
        <w:pStyle w:val="126"/>
        <w:spacing w:before="0" w:beforeLines="0"/>
        <w:rPr>
          <w:b/>
          <w:bCs/>
          <w:color w:val="auto"/>
          <w:sz w:val="21"/>
          <w:szCs w:val="21"/>
        </w:rPr>
      </w:pPr>
      <w:r>
        <w:rPr>
          <w:rFonts w:hint="eastAsia" w:cs="Times New Roman"/>
          <w:b/>
          <w:bCs/>
          <w:kern w:val="0"/>
          <w:sz w:val="24"/>
          <w:szCs w:val="21"/>
          <w:lang w:val="en-US" w:eastAsia="zh-CN" w:bidi="ar-SA"/>
        </w:rPr>
        <w:t xml:space="preserve">                        </w:t>
      </w:r>
      <w:r>
        <w:rPr>
          <w:rFonts w:hint="eastAsia" w:ascii="Times New Roman" w:hAnsi="Times New Roman" w:eastAsia="宋体" w:cs="Times New Roman"/>
          <w:b/>
          <w:bCs/>
          <w:kern w:val="0"/>
          <w:sz w:val="24"/>
          <w:szCs w:val="21"/>
          <w:lang w:val="en-US" w:eastAsia="zh-CN" w:bidi="ar-SA"/>
        </w:rPr>
        <w:t>表6-1  项目污水排放标准</w:t>
      </w:r>
      <w:r>
        <w:rPr>
          <w:color w:val="auto"/>
          <w:sz w:val="21"/>
          <w:szCs w:val="21"/>
        </w:rPr>
        <w:t xml:space="preserve">  </w:t>
      </w:r>
      <w:r>
        <w:rPr>
          <w:rFonts w:hint="eastAsia"/>
          <w:color w:val="auto"/>
          <w:sz w:val="21"/>
          <w:szCs w:val="21"/>
          <w:lang w:val="en-US" w:eastAsia="zh-CN"/>
        </w:rPr>
        <w:t xml:space="preserve">               </w:t>
      </w:r>
      <w:r>
        <w:rPr>
          <w:rFonts w:hint="eastAsia"/>
          <w:b/>
          <w:bCs/>
          <w:color w:val="auto"/>
          <w:sz w:val="21"/>
          <w:szCs w:val="21"/>
          <w:lang w:val="en-US" w:eastAsia="zh-CN"/>
        </w:rPr>
        <w:t xml:space="preserve">   </w:t>
      </w:r>
      <w:r>
        <w:rPr>
          <w:b/>
          <w:bCs/>
          <w:color w:val="auto"/>
          <w:sz w:val="21"/>
          <w:szCs w:val="21"/>
        </w:rPr>
        <w:t>单位：mg/L</w:t>
      </w:r>
    </w:p>
    <w:tbl>
      <w:tblPr>
        <w:tblStyle w:val="36"/>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4"/>
        <w:gridCol w:w="728"/>
        <w:gridCol w:w="728"/>
        <w:gridCol w:w="728"/>
        <w:gridCol w:w="728"/>
        <w:gridCol w:w="728"/>
        <w:gridCol w:w="728"/>
        <w:gridCol w:w="728"/>
        <w:gridCol w:w="728"/>
        <w:gridCol w:w="728"/>
        <w:gridCol w:w="731"/>
      </w:tblGrid>
      <w:tr w14:paraId="0D1F47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blHeader/>
        </w:trPr>
        <w:tc>
          <w:tcPr>
            <w:tcW w:w="1057" w:type="pct"/>
            <w:noWrap w:val="0"/>
            <w:vAlign w:val="center"/>
          </w:tcPr>
          <w:p w14:paraId="2BA00092">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标准</w:t>
            </w:r>
          </w:p>
        </w:tc>
        <w:tc>
          <w:tcPr>
            <w:tcW w:w="394" w:type="pct"/>
            <w:noWrap w:val="0"/>
            <w:vAlign w:val="center"/>
          </w:tcPr>
          <w:p w14:paraId="570617CE">
            <w:pPr>
              <w:pStyle w:val="127"/>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rPr>
              <w:t>pH</w:t>
            </w:r>
            <w:r>
              <w:rPr>
                <w:rFonts w:hint="eastAsia" w:cs="Times New Roman"/>
                <w:color w:val="auto"/>
                <w:sz w:val="20"/>
                <w:szCs w:val="20"/>
                <w:lang w:val="en-US" w:eastAsia="zh-CN"/>
              </w:rPr>
              <w:t>值</w:t>
            </w:r>
          </w:p>
        </w:tc>
        <w:tc>
          <w:tcPr>
            <w:tcW w:w="394" w:type="pct"/>
            <w:noWrap w:val="0"/>
            <w:vAlign w:val="center"/>
          </w:tcPr>
          <w:p w14:paraId="5075CA9B">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COD</w:t>
            </w:r>
          </w:p>
        </w:tc>
        <w:tc>
          <w:tcPr>
            <w:tcW w:w="394" w:type="pct"/>
            <w:noWrap w:val="0"/>
            <w:vAlign w:val="center"/>
          </w:tcPr>
          <w:p w14:paraId="1DB6FEE9">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BOD</w:t>
            </w:r>
            <w:r>
              <w:rPr>
                <w:rFonts w:hint="eastAsia" w:ascii="Times New Roman" w:hAnsi="Times New Roman" w:eastAsia="宋体" w:cs="Times New Roman"/>
                <w:color w:val="auto"/>
                <w:sz w:val="20"/>
                <w:szCs w:val="20"/>
                <w:vertAlign w:val="subscript"/>
              </w:rPr>
              <w:t>5</w:t>
            </w:r>
          </w:p>
        </w:tc>
        <w:tc>
          <w:tcPr>
            <w:tcW w:w="394" w:type="pct"/>
            <w:noWrap w:val="0"/>
            <w:vAlign w:val="center"/>
          </w:tcPr>
          <w:p w14:paraId="37D3C492">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SS</w:t>
            </w:r>
          </w:p>
        </w:tc>
        <w:tc>
          <w:tcPr>
            <w:tcW w:w="394" w:type="pct"/>
            <w:noWrap w:val="0"/>
            <w:vAlign w:val="center"/>
          </w:tcPr>
          <w:p w14:paraId="0B9FE0D9">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氨氮</w:t>
            </w:r>
          </w:p>
        </w:tc>
        <w:tc>
          <w:tcPr>
            <w:tcW w:w="394" w:type="pct"/>
            <w:noWrap w:val="0"/>
            <w:vAlign w:val="center"/>
          </w:tcPr>
          <w:p w14:paraId="3A5F95B8">
            <w:pPr>
              <w:pStyle w:val="127"/>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氟化物</w:t>
            </w:r>
          </w:p>
        </w:tc>
        <w:tc>
          <w:tcPr>
            <w:tcW w:w="394" w:type="pct"/>
            <w:noWrap w:val="0"/>
            <w:vAlign w:val="center"/>
          </w:tcPr>
          <w:p w14:paraId="22B83414">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石油类</w:t>
            </w:r>
          </w:p>
        </w:tc>
        <w:tc>
          <w:tcPr>
            <w:tcW w:w="394" w:type="pct"/>
            <w:noWrap w:val="0"/>
            <w:vAlign w:val="center"/>
          </w:tcPr>
          <w:p w14:paraId="3F826F50">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TN</w:t>
            </w:r>
          </w:p>
        </w:tc>
        <w:tc>
          <w:tcPr>
            <w:tcW w:w="394" w:type="pct"/>
            <w:noWrap w:val="0"/>
            <w:vAlign w:val="center"/>
          </w:tcPr>
          <w:p w14:paraId="4226D286">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TP</w:t>
            </w:r>
          </w:p>
        </w:tc>
        <w:tc>
          <w:tcPr>
            <w:tcW w:w="395" w:type="pct"/>
            <w:noWrap w:val="0"/>
            <w:vAlign w:val="center"/>
          </w:tcPr>
          <w:p w14:paraId="16EAE717">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LAS</w:t>
            </w:r>
          </w:p>
        </w:tc>
      </w:tr>
      <w:tr w14:paraId="069A7A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057" w:type="pct"/>
            <w:noWrap w:val="0"/>
            <w:vAlign w:val="center"/>
          </w:tcPr>
          <w:p w14:paraId="36F894EF">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《污水综合排放标准》（GB89</w:t>
            </w:r>
            <w:bookmarkStart w:id="247" w:name="_GoBack"/>
            <w:bookmarkEnd w:id="247"/>
            <w:r>
              <w:rPr>
                <w:rFonts w:hint="eastAsia" w:ascii="Times New Roman" w:hAnsi="Times New Roman" w:eastAsia="宋体" w:cs="Times New Roman"/>
                <w:color w:val="auto"/>
                <w:sz w:val="20"/>
                <w:szCs w:val="20"/>
              </w:rPr>
              <w:t>78-1996）三级标准</w:t>
            </w:r>
          </w:p>
        </w:tc>
        <w:tc>
          <w:tcPr>
            <w:tcW w:w="394" w:type="pct"/>
            <w:noWrap w:val="0"/>
            <w:vAlign w:val="center"/>
          </w:tcPr>
          <w:p w14:paraId="2D681DA0">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6~9</w:t>
            </w:r>
          </w:p>
        </w:tc>
        <w:tc>
          <w:tcPr>
            <w:tcW w:w="394" w:type="pct"/>
            <w:noWrap w:val="0"/>
            <w:vAlign w:val="center"/>
          </w:tcPr>
          <w:p w14:paraId="1E8D9F1E">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500</w:t>
            </w:r>
          </w:p>
        </w:tc>
        <w:tc>
          <w:tcPr>
            <w:tcW w:w="394" w:type="pct"/>
            <w:noWrap w:val="0"/>
            <w:vAlign w:val="center"/>
          </w:tcPr>
          <w:p w14:paraId="6F9316AC">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300</w:t>
            </w:r>
          </w:p>
        </w:tc>
        <w:tc>
          <w:tcPr>
            <w:tcW w:w="394" w:type="pct"/>
            <w:noWrap w:val="0"/>
            <w:vAlign w:val="center"/>
          </w:tcPr>
          <w:p w14:paraId="3FA64400">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400</w:t>
            </w:r>
          </w:p>
        </w:tc>
        <w:tc>
          <w:tcPr>
            <w:tcW w:w="394" w:type="pct"/>
            <w:noWrap w:val="0"/>
            <w:vAlign w:val="center"/>
          </w:tcPr>
          <w:p w14:paraId="79CAAB23">
            <w:pPr>
              <w:pStyle w:val="127"/>
              <w:rPr>
                <w:rFonts w:ascii="Times New Roman" w:hAnsi="Times New Roman" w:eastAsia="宋体" w:cs="Times New Roman"/>
                <w:color w:val="auto"/>
                <w:sz w:val="20"/>
                <w:szCs w:val="20"/>
              </w:rPr>
            </w:pPr>
            <w:r>
              <w:rPr>
                <w:color w:val="auto"/>
                <w:sz w:val="21"/>
                <w:szCs w:val="21"/>
              </w:rPr>
              <w:t>45*</w:t>
            </w:r>
          </w:p>
        </w:tc>
        <w:tc>
          <w:tcPr>
            <w:tcW w:w="394" w:type="pct"/>
            <w:noWrap w:val="0"/>
            <w:vAlign w:val="center"/>
          </w:tcPr>
          <w:p w14:paraId="764DBF49">
            <w:pPr>
              <w:pStyle w:val="127"/>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20</w:t>
            </w:r>
          </w:p>
        </w:tc>
        <w:tc>
          <w:tcPr>
            <w:tcW w:w="394" w:type="pct"/>
            <w:noWrap w:val="0"/>
            <w:vAlign w:val="center"/>
          </w:tcPr>
          <w:p w14:paraId="6945A06A">
            <w:pPr>
              <w:pStyle w:val="127"/>
              <w:rPr>
                <w:rFonts w:ascii="Times New Roman" w:hAnsi="Times New Roman" w:eastAsia="宋体" w:cs="Times New Roman"/>
                <w:color w:val="auto"/>
                <w:sz w:val="20"/>
                <w:szCs w:val="20"/>
              </w:rPr>
            </w:pPr>
            <w:r>
              <w:rPr>
                <w:rFonts w:ascii="Times New Roman" w:hAnsi="Times New Roman" w:eastAsia="宋体" w:cs="Times New Roman"/>
                <w:color w:val="auto"/>
                <w:sz w:val="20"/>
                <w:szCs w:val="20"/>
              </w:rPr>
              <w:t>20</w:t>
            </w:r>
          </w:p>
        </w:tc>
        <w:tc>
          <w:tcPr>
            <w:tcW w:w="394" w:type="pct"/>
            <w:noWrap w:val="0"/>
            <w:vAlign w:val="center"/>
          </w:tcPr>
          <w:p w14:paraId="03CF160B">
            <w:pPr>
              <w:pStyle w:val="127"/>
              <w:rPr>
                <w:rFonts w:ascii="Times New Roman" w:hAnsi="Times New Roman" w:eastAsia="宋体" w:cs="Times New Roman"/>
                <w:bCs/>
                <w:color w:val="auto"/>
                <w:kern w:val="22"/>
                <w:sz w:val="21"/>
                <w:szCs w:val="21"/>
                <w:lang w:val="en-US" w:eastAsia="zh-CN" w:bidi="ar-SA"/>
              </w:rPr>
            </w:pPr>
            <w:r>
              <w:rPr>
                <w:rFonts w:hint="eastAsia"/>
                <w:color w:val="auto"/>
                <w:sz w:val="21"/>
                <w:szCs w:val="21"/>
                <w:lang w:val="en-US" w:eastAsia="zh-CN"/>
              </w:rPr>
              <w:t>70</w:t>
            </w:r>
            <w:r>
              <w:rPr>
                <w:rFonts w:hint="eastAsia"/>
                <w:color w:val="auto"/>
                <w:sz w:val="21"/>
                <w:szCs w:val="21"/>
              </w:rPr>
              <w:t>*</w:t>
            </w:r>
          </w:p>
        </w:tc>
        <w:tc>
          <w:tcPr>
            <w:tcW w:w="394" w:type="pct"/>
            <w:noWrap w:val="0"/>
            <w:vAlign w:val="center"/>
          </w:tcPr>
          <w:p w14:paraId="37D53F70">
            <w:pPr>
              <w:pStyle w:val="127"/>
              <w:rPr>
                <w:rFonts w:ascii="Times New Roman" w:hAnsi="Times New Roman" w:eastAsia="宋体" w:cs="Times New Roman"/>
                <w:bCs/>
                <w:color w:val="auto"/>
                <w:kern w:val="22"/>
                <w:sz w:val="21"/>
                <w:szCs w:val="21"/>
                <w:lang w:val="en-US" w:eastAsia="zh-CN" w:bidi="ar-SA"/>
              </w:rPr>
            </w:pPr>
            <w:r>
              <w:rPr>
                <w:rFonts w:hint="eastAsia"/>
                <w:color w:val="auto"/>
                <w:sz w:val="21"/>
                <w:szCs w:val="21"/>
                <w:lang w:val="en-US" w:eastAsia="zh-CN"/>
              </w:rPr>
              <w:t>8</w:t>
            </w:r>
            <w:r>
              <w:rPr>
                <w:rFonts w:hint="eastAsia"/>
                <w:color w:val="auto"/>
                <w:sz w:val="21"/>
                <w:szCs w:val="21"/>
              </w:rPr>
              <w:t>*</w:t>
            </w:r>
          </w:p>
        </w:tc>
        <w:tc>
          <w:tcPr>
            <w:tcW w:w="395" w:type="pct"/>
            <w:noWrap w:val="0"/>
            <w:vAlign w:val="center"/>
          </w:tcPr>
          <w:p w14:paraId="7BF09320">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lang w:val="en-US" w:eastAsia="zh-CN"/>
              </w:rPr>
              <w:t>2</w:t>
            </w:r>
            <w:r>
              <w:rPr>
                <w:rFonts w:hint="eastAsia" w:ascii="Times New Roman" w:hAnsi="Times New Roman" w:eastAsia="宋体" w:cs="Times New Roman"/>
                <w:color w:val="auto"/>
                <w:sz w:val="20"/>
                <w:szCs w:val="20"/>
              </w:rPr>
              <w:t>0</w:t>
            </w:r>
          </w:p>
        </w:tc>
      </w:tr>
      <w:tr w14:paraId="5EF655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057" w:type="pct"/>
            <w:noWrap w:val="0"/>
            <w:vAlign w:val="center"/>
          </w:tcPr>
          <w:p w14:paraId="4271F40F">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《城镇污水处理厂污染物排放标准》（GB18918-2002）一级A标准</w:t>
            </w:r>
          </w:p>
        </w:tc>
        <w:tc>
          <w:tcPr>
            <w:tcW w:w="394" w:type="pct"/>
            <w:noWrap w:val="0"/>
            <w:vAlign w:val="center"/>
          </w:tcPr>
          <w:p w14:paraId="3EEBA893">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6~9</w:t>
            </w:r>
          </w:p>
        </w:tc>
        <w:tc>
          <w:tcPr>
            <w:tcW w:w="394" w:type="pct"/>
            <w:noWrap w:val="0"/>
            <w:vAlign w:val="center"/>
          </w:tcPr>
          <w:p w14:paraId="57C14666">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w:t>
            </w:r>
          </w:p>
        </w:tc>
        <w:tc>
          <w:tcPr>
            <w:tcW w:w="394" w:type="pct"/>
            <w:noWrap w:val="0"/>
            <w:vAlign w:val="center"/>
          </w:tcPr>
          <w:p w14:paraId="2FA83F0B">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10</w:t>
            </w:r>
          </w:p>
        </w:tc>
        <w:tc>
          <w:tcPr>
            <w:tcW w:w="394" w:type="pct"/>
            <w:noWrap w:val="0"/>
            <w:vAlign w:val="center"/>
          </w:tcPr>
          <w:p w14:paraId="5EF3827E">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10</w:t>
            </w:r>
          </w:p>
        </w:tc>
        <w:tc>
          <w:tcPr>
            <w:tcW w:w="394" w:type="pct"/>
            <w:noWrap w:val="0"/>
            <w:vAlign w:val="center"/>
          </w:tcPr>
          <w:p w14:paraId="7E68F4D6">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w:t>
            </w:r>
          </w:p>
        </w:tc>
        <w:tc>
          <w:tcPr>
            <w:tcW w:w="394" w:type="pct"/>
            <w:noWrap w:val="0"/>
            <w:vAlign w:val="center"/>
          </w:tcPr>
          <w:p w14:paraId="40EDF871">
            <w:pPr>
              <w:pStyle w:val="127"/>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rPr>
              <w:t>/</w:t>
            </w:r>
          </w:p>
        </w:tc>
        <w:tc>
          <w:tcPr>
            <w:tcW w:w="394" w:type="pct"/>
            <w:noWrap w:val="0"/>
            <w:vAlign w:val="center"/>
          </w:tcPr>
          <w:p w14:paraId="2998F92B">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1</w:t>
            </w:r>
          </w:p>
        </w:tc>
        <w:tc>
          <w:tcPr>
            <w:tcW w:w="394" w:type="pct"/>
            <w:noWrap w:val="0"/>
            <w:vAlign w:val="center"/>
          </w:tcPr>
          <w:p w14:paraId="164CBB14">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w:t>
            </w:r>
          </w:p>
        </w:tc>
        <w:tc>
          <w:tcPr>
            <w:tcW w:w="394" w:type="pct"/>
            <w:noWrap w:val="0"/>
            <w:vAlign w:val="center"/>
          </w:tcPr>
          <w:p w14:paraId="3EC3E95F">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w:t>
            </w:r>
          </w:p>
        </w:tc>
        <w:tc>
          <w:tcPr>
            <w:tcW w:w="395" w:type="pct"/>
            <w:noWrap w:val="0"/>
            <w:vAlign w:val="center"/>
          </w:tcPr>
          <w:p w14:paraId="6E635379">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0.5</w:t>
            </w:r>
          </w:p>
        </w:tc>
      </w:tr>
      <w:tr w14:paraId="46FBB6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057" w:type="pct"/>
            <w:noWrap w:val="0"/>
            <w:vAlign w:val="center"/>
          </w:tcPr>
          <w:p w14:paraId="0C1582F5">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《梁滩河流域城镇污水处理厂主要水污染物排放标准》（DB/963-2020）</w:t>
            </w:r>
          </w:p>
        </w:tc>
        <w:tc>
          <w:tcPr>
            <w:tcW w:w="394" w:type="pct"/>
            <w:noWrap w:val="0"/>
            <w:vAlign w:val="center"/>
          </w:tcPr>
          <w:p w14:paraId="7856AC56">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w:t>
            </w:r>
          </w:p>
        </w:tc>
        <w:tc>
          <w:tcPr>
            <w:tcW w:w="394" w:type="pct"/>
            <w:noWrap w:val="0"/>
            <w:vAlign w:val="center"/>
          </w:tcPr>
          <w:p w14:paraId="761C1641">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30</w:t>
            </w:r>
          </w:p>
        </w:tc>
        <w:tc>
          <w:tcPr>
            <w:tcW w:w="394" w:type="pct"/>
            <w:noWrap w:val="0"/>
            <w:vAlign w:val="center"/>
          </w:tcPr>
          <w:p w14:paraId="7F6A7614">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w:t>
            </w:r>
          </w:p>
        </w:tc>
        <w:tc>
          <w:tcPr>
            <w:tcW w:w="394" w:type="pct"/>
            <w:noWrap w:val="0"/>
            <w:vAlign w:val="center"/>
          </w:tcPr>
          <w:p w14:paraId="4962CFEC">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w:t>
            </w:r>
          </w:p>
        </w:tc>
        <w:tc>
          <w:tcPr>
            <w:tcW w:w="394" w:type="pct"/>
            <w:noWrap w:val="0"/>
            <w:vAlign w:val="center"/>
          </w:tcPr>
          <w:p w14:paraId="4C3DEF96">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1.5（3）</w:t>
            </w:r>
          </w:p>
        </w:tc>
        <w:tc>
          <w:tcPr>
            <w:tcW w:w="394" w:type="pct"/>
            <w:noWrap w:val="0"/>
            <w:vAlign w:val="center"/>
          </w:tcPr>
          <w:p w14:paraId="693A163A">
            <w:pPr>
              <w:pStyle w:val="127"/>
              <w:rPr>
                <w:rFonts w:hint="eastAsia"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w:t>
            </w:r>
          </w:p>
        </w:tc>
        <w:tc>
          <w:tcPr>
            <w:tcW w:w="394" w:type="pct"/>
            <w:noWrap w:val="0"/>
            <w:vAlign w:val="center"/>
          </w:tcPr>
          <w:p w14:paraId="023EB896">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w:t>
            </w:r>
          </w:p>
        </w:tc>
        <w:tc>
          <w:tcPr>
            <w:tcW w:w="394" w:type="pct"/>
            <w:noWrap w:val="0"/>
            <w:vAlign w:val="center"/>
          </w:tcPr>
          <w:p w14:paraId="66F58A90">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15</w:t>
            </w:r>
          </w:p>
        </w:tc>
        <w:tc>
          <w:tcPr>
            <w:tcW w:w="394" w:type="pct"/>
            <w:noWrap w:val="0"/>
            <w:vAlign w:val="center"/>
          </w:tcPr>
          <w:p w14:paraId="04923DEE">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0.3</w:t>
            </w:r>
          </w:p>
        </w:tc>
        <w:tc>
          <w:tcPr>
            <w:tcW w:w="395" w:type="pct"/>
            <w:noWrap w:val="0"/>
            <w:vAlign w:val="center"/>
          </w:tcPr>
          <w:p w14:paraId="3F2B29C2">
            <w:pPr>
              <w:pStyle w:val="127"/>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w:t>
            </w:r>
          </w:p>
        </w:tc>
      </w:tr>
      <w:tr w14:paraId="59105F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5000" w:type="pct"/>
            <w:gridSpan w:val="11"/>
            <w:noWrap w:val="0"/>
            <w:vAlign w:val="center"/>
          </w:tcPr>
          <w:p w14:paraId="78B0D274">
            <w:pPr>
              <w:pStyle w:val="127"/>
              <w:jc w:val="left"/>
              <w:rPr>
                <w:color w:val="auto"/>
                <w:sz w:val="21"/>
                <w:szCs w:val="21"/>
              </w:rPr>
            </w:pPr>
            <w:r>
              <w:rPr>
                <w:color w:val="auto"/>
                <w:sz w:val="21"/>
                <w:szCs w:val="21"/>
              </w:rPr>
              <w:t>注：</w:t>
            </w:r>
            <w:r>
              <w:rPr>
                <w:rFonts w:hint="eastAsia"/>
                <w:color w:val="auto"/>
                <w:sz w:val="21"/>
                <w:szCs w:val="21"/>
                <w:lang w:eastAsia="zh-CN"/>
              </w:rPr>
              <w:t>（</w:t>
            </w:r>
            <w:r>
              <w:rPr>
                <w:rFonts w:hint="eastAsia"/>
                <w:color w:val="auto"/>
                <w:sz w:val="21"/>
                <w:szCs w:val="21"/>
                <w:lang w:val="en-US" w:eastAsia="zh-CN"/>
              </w:rPr>
              <w:t>1</w:t>
            </w:r>
            <w:r>
              <w:rPr>
                <w:rFonts w:hint="eastAsia"/>
                <w:color w:val="auto"/>
                <w:sz w:val="21"/>
                <w:szCs w:val="21"/>
                <w:lang w:eastAsia="zh-CN"/>
              </w:rPr>
              <w:t>）</w:t>
            </w:r>
            <w:r>
              <w:rPr>
                <w:color w:val="auto"/>
                <w:sz w:val="21"/>
                <w:szCs w:val="21"/>
              </w:rPr>
              <w:t>*参照《污水排入城镇下水道水质标准》</w:t>
            </w:r>
            <w:r>
              <w:rPr>
                <w:rFonts w:hint="eastAsia"/>
                <w:color w:val="auto"/>
                <w:sz w:val="21"/>
                <w:szCs w:val="21"/>
                <w:lang w:eastAsia="zh-CN"/>
              </w:rPr>
              <w:t>（</w:t>
            </w:r>
            <w:r>
              <w:rPr>
                <w:color w:val="auto"/>
                <w:sz w:val="21"/>
                <w:szCs w:val="21"/>
              </w:rPr>
              <w:t>GB/T31962-2015</w:t>
            </w:r>
            <w:r>
              <w:rPr>
                <w:rFonts w:hint="eastAsia"/>
                <w:color w:val="auto"/>
                <w:sz w:val="21"/>
                <w:szCs w:val="21"/>
                <w:lang w:eastAsia="zh-CN"/>
              </w:rPr>
              <w:t>）</w:t>
            </w:r>
            <w:r>
              <w:rPr>
                <w:rFonts w:hint="eastAsia"/>
                <w:color w:val="auto"/>
                <w:sz w:val="21"/>
                <w:szCs w:val="21"/>
                <w:lang w:val="en-US" w:eastAsia="zh-CN"/>
              </w:rPr>
              <w:t xml:space="preserve">表1 </w:t>
            </w:r>
            <w:r>
              <w:rPr>
                <w:color w:val="auto"/>
                <w:sz w:val="21"/>
                <w:szCs w:val="21"/>
              </w:rPr>
              <w:t>B级标准</w:t>
            </w:r>
          </w:p>
          <w:p w14:paraId="1F73BE5C">
            <w:pPr>
              <w:pStyle w:val="127"/>
              <w:jc w:val="left"/>
              <w:rPr>
                <w:rFonts w:hint="eastAsia"/>
                <w:color w:val="auto"/>
                <w:sz w:val="21"/>
                <w:szCs w:val="21"/>
              </w:rPr>
            </w:pPr>
            <w:r>
              <w:rPr>
                <w:rFonts w:hint="eastAsia"/>
                <w:color w:val="auto"/>
                <w:sz w:val="21"/>
                <w:szCs w:val="21"/>
                <w:lang w:eastAsia="zh-CN"/>
              </w:rPr>
              <w:t>（</w:t>
            </w:r>
            <w:r>
              <w:rPr>
                <w:rFonts w:hint="eastAsia"/>
                <w:color w:val="auto"/>
                <w:sz w:val="21"/>
                <w:szCs w:val="21"/>
                <w:lang w:val="en-US" w:eastAsia="zh-CN"/>
              </w:rPr>
              <w:t>2</w:t>
            </w:r>
            <w:r>
              <w:rPr>
                <w:rFonts w:hint="eastAsia"/>
                <w:color w:val="auto"/>
                <w:sz w:val="21"/>
                <w:szCs w:val="21"/>
                <w:lang w:eastAsia="zh-CN"/>
              </w:rPr>
              <w:t>）括号外数值为水温＞12℃时的控制指标，括号内数值为水温≤12℃时的控制指标</w:t>
            </w:r>
          </w:p>
        </w:tc>
      </w:tr>
    </w:tbl>
    <w:p w14:paraId="7A82B0A0">
      <w:pPr>
        <w:pStyle w:val="4"/>
        <w:spacing w:before="156" w:beforeLines="50" w:after="156" w:afterLines="50" w:line="360" w:lineRule="auto"/>
        <w:rPr>
          <w:sz w:val="24"/>
          <w:szCs w:val="24"/>
        </w:rPr>
      </w:pPr>
      <w:r>
        <w:rPr>
          <w:sz w:val="24"/>
          <w:szCs w:val="24"/>
        </w:rPr>
        <w:t>6.1.2废气</w:t>
      </w:r>
    </w:p>
    <w:p w14:paraId="099A0BFC">
      <w:pPr>
        <w:spacing w:line="360" w:lineRule="auto"/>
        <w:ind w:firstLine="480"/>
        <w:rPr>
          <w:rFonts w:hint="eastAsia"/>
          <w:color w:val="auto"/>
          <w:sz w:val="24"/>
          <w:szCs w:val="24"/>
        </w:rPr>
      </w:pPr>
      <w:r>
        <w:rPr>
          <w:rFonts w:hint="eastAsia"/>
          <w:color w:val="auto"/>
          <w:sz w:val="24"/>
          <w:szCs w:val="24"/>
          <w:lang w:val="en-US" w:eastAsia="zh-CN"/>
        </w:rPr>
        <w:t>项目AG蚀刻线蒙砂废气和化抛废气执行</w:t>
      </w:r>
      <w:r>
        <w:rPr>
          <w:color w:val="auto"/>
          <w:sz w:val="24"/>
          <w:szCs w:val="24"/>
        </w:rPr>
        <w:t>重庆市地方标准《大气污染物综合排放标准》（DB50/418-2016）排放</w:t>
      </w:r>
      <w:r>
        <w:rPr>
          <w:rFonts w:hint="eastAsia"/>
          <w:color w:val="auto"/>
          <w:sz w:val="24"/>
          <w:szCs w:val="24"/>
        </w:rPr>
        <w:t>限值要求；</w:t>
      </w:r>
      <w:r>
        <w:rPr>
          <w:rFonts w:hint="eastAsia"/>
          <w:color w:val="auto"/>
          <w:sz w:val="24"/>
          <w:szCs w:val="24"/>
          <w:lang w:val="en-US" w:eastAsia="zh-CN"/>
        </w:rPr>
        <w:t>光刻胶涂抹及其后烘干工序有机废气、油墨喷涂及其后烘烤工序有机废气、装配工序胶水挥发有机废气</w:t>
      </w:r>
      <w:r>
        <w:rPr>
          <w:rFonts w:hint="eastAsia"/>
          <w:color w:val="auto"/>
          <w:sz w:val="24"/>
          <w:szCs w:val="24"/>
        </w:rPr>
        <w:t>执行《包装印刷业大气污染物排放标准》（DB50/758-2017）排放限值要求。</w:t>
      </w:r>
    </w:p>
    <w:p w14:paraId="5AD9E0A7">
      <w:pPr>
        <w:spacing w:line="360" w:lineRule="auto"/>
        <w:ind w:firstLine="480"/>
        <w:rPr>
          <w:color w:val="auto"/>
          <w:sz w:val="24"/>
          <w:szCs w:val="24"/>
        </w:rPr>
      </w:pPr>
      <w:r>
        <w:rPr>
          <w:rFonts w:hint="eastAsia"/>
          <w:color w:val="auto"/>
          <w:sz w:val="24"/>
          <w:szCs w:val="24"/>
        </w:rPr>
        <w:t>厂区内</w:t>
      </w:r>
      <w:r>
        <w:rPr>
          <w:color w:val="auto"/>
          <w:sz w:val="24"/>
          <w:szCs w:val="24"/>
        </w:rPr>
        <w:t>挥发性有机物</w:t>
      </w:r>
      <w:r>
        <w:rPr>
          <w:rFonts w:hint="eastAsia"/>
          <w:color w:val="auto"/>
          <w:sz w:val="24"/>
          <w:szCs w:val="24"/>
        </w:rPr>
        <w:t>无组织排放从严</w:t>
      </w:r>
      <w:r>
        <w:rPr>
          <w:color w:val="auto"/>
          <w:sz w:val="24"/>
          <w:szCs w:val="24"/>
        </w:rPr>
        <w:t>执行《挥发性有机物无组织排放控制标准》（GB37822-2019）</w:t>
      </w:r>
      <w:r>
        <w:rPr>
          <w:rFonts w:hint="eastAsia"/>
          <w:color w:val="auto"/>
          <w:sz w:val="24"/>
          <w:szCs w:val="24"/>
          <w:lang w:val="en-US" w:eastAsia="zh-CN"/>
        </w:rPr>
        <w:t>表A.1</w:t>
      </w:r>
      <w:r>
        <w:rPr>
          <w:rFonts w:hint="eastAsia"/>
          <w:color w:val="auto"/>
          <w:sz w:val="24"/>
          <w:szCs w:val="24"/>
        </w:rPr>
        <w:t>特别排放限值</w:t>
      </w:r>
      <w:r>
        <w:rPr>
          <w:color w:val="auto"/>
          <w:sz w:val="24"/>
          <w:szCs w:val="24"/>
        </w:rPr>
        <w:t>。</w:t>
      </w:r>
    </w:p>
    <w:p w14:paraId="25280AB2">
      <w:pPr>
        <w:ind w:firstLine="0" w:firstLineChars="0"/>
        <w:jc w:val="center"/>
        <w:rPr>
          <w:rFonts w:hint="eastAsia" w:ascii="Times New Roman" w:hAnsi="Times New Roman" w:eastAsia="宋体" w:cs="Times New Roman"/>
          <w:b/>
          <w:bCs/>
          <w:kern w:val="0"/>
          <w:sz w:val="24"/>
          <w:szCs w:val="21"/>
          <w:lang w:val="en-US" w:eastAsia="zh-CN" w:bidi="ar-SA"/>
        </w:rPr>
      </w:pPr>
      <w:r>
        <w:rPr>
          <w:rFonts w:hint="eastAsia" w:ascii="Times New Roman" w:hAnsi="Times New Roman" w:eastAsia="宋体" w:cs="Times New Roman"/>
          <w:b/>
          <w:bCs/>
          <w:kern w:val="0"/>
          <w:sz w:val="24"/>
          <w:szCs w:val="21"/>
          <w:lang w:val="en-US" w:eastAsia="zh-CN" w:bidi="ar-SA"/>
        </w:rPr>
        <w:t>表6-2  项目废气排放标准一览表</w:t>
      </w:r>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48"/>
        <w:gridCol w:w="865"/>
        <w:gridCol w:w="925"/>
        <w:gridCol w:w="1100"/>
        <w:gridCol w:w="1112"/>
        <w:gridCol w:w="1148"/>
        <w:gridCol w:w="2008"/>
      </w:tblGrid>
      <w:tr w14:paraId="04A647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48" w:type="dxa"/>
            <w:noWrap/>
            <w:vAlign w:val="center"/>
          </w:tcPr>
          <w:p w14:paraId="42623BD8">
            <w:pPr>
              <w:pStyle w:val="127"/>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废气源</w:t>
            </w:r>
          </w:p>
        </w:tc>
        <w:tc>
          <w:tcPr>
            <w:tcW w:w="865" w:type="dxa"/>
            <w:noWrap/>
            <w:vAlign w:val="center"/>
          </w:tcPr>
          <w:p w14:paraId="23A006B3">
            <w:pPr>
              <w:pStyle w:val="127"/>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污染物项目</w:t>
            </w:r>
          </w:p>
        </w:tc>
        <w:tc>
          <w:tcPr>
            <w:tcW w:w="925" w:type="dxa"/>
            <w:noWrap/>
            <w:vAlign w:val="center"/>
          </w:tcPr>
          <w:p w14:paraId="2F76C472">
            <w:pPr>
              <w:pStyle w:val="127"/>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排气筒高度（m）</w:t>
            </w:r>
          </w:p>
        </w:tc>
        <w:tc>
          <w:tcPr>
            <w:tcW w:w="1100" w:type="dxa"/>
            <w:noWrap/>
            <w:vAlign w:val="center"/>
          </w:tcPr>
          <w:p w14:paraId="63ADECC8">
            <w:pPr>
              <w:pStyle w:val="127"/>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最高允许排放浓度（mg/</w:t>
            </w:r>
            <w:r>
              <w:rPr>
                <w:rFonts w:hint="eastAsia" w:ascii="Times New Roman" w:hAnsi="Times New Roman" w:eastAsia="宋体" w:cs="Times New Roman"/>
                <w:color w:val="auto"/>
                <w:sz w:val="21"/>
                <w:szCs w:val="21"/>
                <w:lang w:eastAsia="zh-CN"/>
              </w:rPr>
              <w:t>m</w:t>
            </w:r>
            <w:r>
              <w:rPr>
                <w:rFonts w:hint="eastAsia"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rPr>
              <w:t>）</w:t>
            </w:r>
          </w:p>
        </w:tc>
        <w:tc>
          <w:tcPr>
            <w:tcW w:w="1112" w:type="dxa"/>
            <w:noWrap/>
            <w:vAlign w:val="center"/>
          </w:tcPr>
          <w:p w14:paraId="457B1112">
            <w:pPr>
              <w:pStyle w:val="127"/>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最高允许排放速率（kg/h）</w:t>
            </w:r>
          </w:p>
        </w:tc>
        <w:tc>
          <w:tcPr>
            <w:tcW w:w="1148" w:type="dxa"/>
            <w:noWrap/>
            <w:vAlign w:val="center"/>
          </w:tcPr>
          <w:p w14:paraId="4DD3CE92">
            <w:pPr>
              <w:pStyle w:val="127"/>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无组织排放监控点浓度限值（mg/</w:t>
            </w:r>
            <w:r>
              <w:rPr>
                <w:rFonts w:hint="eastAsia" w:ascii="Times New Roman" w:hAnsi="Times New Roman" w:eastAsia="宋体" w:cs="Times New Roman"/>
                <w:color w:val="auto"/>
                <w:sz w:val="21"/>
                <w:szCs w:val="21"/>
                <w:lang w:eastAsia="zh-CN"/>
              </w:rPr>
              <w:t>m</w:t>
            </w:r>
            <w:r>
              <w:rPr>
                <w:rFonts w:hint="eastAsia"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rPr>
              <w:t>）</w:t>
            </w:r>
          </w:p>
        </w:tc>
        <w:tc>
          <w:tcPr>
            <w:tcW w:w="2008" w:type="dxa"/>
            <w:noWrap/>
            <w:vAlign w:val="center"/>
          </w:tcPr>
          <w:p w14:paraId="6E4C9FDC">
            <w:pPr>
              <w:pStyle w:val="127"/>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执行标准</w:t>
            </w:r>
          </w:p>
        </w:tc>
      </w:tr>
      <w:tr w14:paraId="481CEE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48" w:type="dxa"/>
            <w:vMerge w:val="restart"/>
            <w:noWrap/>
            <w:vAlign w:val="center"/>
          </w:tcPr>
          <w:p w14:paraId="5C09C059">
            <w:pPr>
              <w:pStyle w:val="127"/>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AG蚀刻线蒙砂废气和化抛废气</w:t>
            </w:r>
          </w:p>
        </w:tc>
        <w:tc>
          <w:tcPr>
            <w:tcW w:w="865" w:type="dxa"/>
            <w:noWrap/>
            <w:vAlign w:val="center"/>
          </w:tcPr>
          <w:p w14:paraId="71B72CBD">
            <w:pPr>
              <w:pStyle w:val="127"/>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氯化氢</w:t>
            </w:r>
          </w:p>
        </w:tc>
        <w:tc>
          <w:tcPr>
            <w:tcW w:w="925" w:type="dxa"/>
            <w:noWrap/>
            <w:vAlign w:val="center"/>
          </w:tcPr>
          <w:p w14:paraId="2A0B80B3">
            <w:pPr>
              <w:pStyle w:val="127"/>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1100" w:type="dxa"/>
            <w:noWrap/>
            <w:vAlign w:val="center"/>
          </w:tcPr>
          <w:p w14:paraId="076D2F97">
            <w:pPr>
              <w:pStyle w:val="127"/>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c>
          <w:tcPr>
            <w:tcW w:w="1112" w:type="dxa"/>
            <w:noWrap/>
            <w:vAlign w:val="center"/>
          </w:tcPr>
          <w:p w14:paraId="7FAECB9C">
            <w:pPr>
              <w:pStyle w:val="127"/>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0.43</w:t>
            </w:r>
          </w:p>
        </w:tc>
        <w:tc>
          <w:tcPr>
            <w:tcW w:w="1148" w:type="dxa"/>
            <w:noWrap/>
            <w:vAlign w:val="center"/>
          </w:tcPr>
          <w:p w14:paraId="7DB695AE">
            <w:pPr>
              <w:pStyle w:val="127"/>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w:t>
            </w:r>
          </w:p>
        </w:tc>
        <w:tc>
          <w:tcPr>
            <w:tcW w:w="2008" w:type="dxa"/>
            <w:vMerge w:val="restart"/>
            <w:noWrap/>
            <w:vAlign w:val="center"/>
          </w:tcPr>
          <w:p w14:paraId="06C73F24">
            <w:pPr>
              <w:pStyle w:val="127"/>
              <w:keepNext w:val="0"/>
              <w:keepLines w:val="0"/>
              <w:pageBreakBefore w:val="0"/>
              <w:widowControl/>
              <w:kinsoku/>
              <w:wordWrap w:val="0"/>
              <w:overflowPunct/>
              <w:topLinePunct/>
              <w:autoSpaceDE/>
              <w:autoSpaceDN/>
              <w:bidi w:val="0"/>
              <w:adjustRightInd/>
              <w:snapToGrid/>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《大气污染物综合排放标准》（DB50/418-2016）表1中的“主城区”排放标准</w:t>
            </w:r>
          </w:p>
        </w:tc>
      </w:tr>
      <w:tr w14:paraId="5B748C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48" w:type="dxa"/>
            <w:vMerge w:val="continue"/>
            <w:noWrap/>
            <w:vAlign w:val="center"/>
          </w:tcPr>
          <w:p w14:paraId="2194849E">
            <w:pPr>
              <w:pStyle w:val="127"/>
              <w:rPr>
                <w:rFonts w:hint="eastAsia" w:ascii="Times New Roman" w:hAnsi="Times New Roman" w:eastAsia="宋体" w:cs="Times New Roman"/>
                <w:color w:val="auto"/>
                <w:sz w:val="21"/>
                <w:szCs w:val="21"/>
                <w:lang w:val="en-US" w:eastAsia="zh-CN"/>
              </w:rPr>
            </w:pPr>
          </w:p>
        </w:tc>
        <w:tc>
          <w:tcPr>
            <w:tcW w:w="865" w:type="dxa"/>
            <w:noWrap/>
            <w:vAlign w:val="center"/>
          </w:tcPr>
          <w:p w14:paraId="65912704">
            <w:pPr>
              <w:pStyle w:val="127"/>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硫酸雾</w:t>
            </w:r>
          </w:p>
        </w:tc>
        <w:tc>
          <w:tcPr>
            <w:tcW w:w="925" w:type="dxa"/>
            <w:noWrap/>
            <w:vAlign w:val="center"/>
          </w:tcPr>
          <w:p w14:paraId="7236DEEC">
            <w:pPr>
              <w:pStyle w:val="127"/>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1100" w:type="dxa"/>
            <w:noWrap/>
            <w:vAlign w:val="center"/>
          </w:tcPr>
          <w:p w14:paraId="4AE7F348">
            <w:pPr>
              <w:pStyle w:val="127"/>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w:t>
            </w:r>
          </w:p>
        </w:tc>
        <w:tc>
          <w:tcPr>
            <w:tcW w:w="1112" w:type="dxa"/>
            <w:noWrap/>
            <w:vAlign w:val="center"/>
          </w:tcPr>
          <w:p w14:paraId="31D5EFC6">
            <w:pPr>
              <w:pStyle w:val="127"/>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w:t>
            </w:r>
          </w:p>
        </w:tc>
        <w:tc>
          <w:tcPr>
            <w:tcW w:w="1148" w:type="dxa"/>
            <w:noWrap/>
            <w:vAlign w:val="center"/>
          </w:tcPr>
          <w:p w14:paraId="7F8CC10E">
            <w:pPr>
              <w:pStyle w:val="127"/>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2008" w:type="dxa"/>
            <w:vMerge w:val="continue"/>
            <w:noWrap/>
            <w:vAlign w:val="center"/>
          </w:tcPr>
          <w:p w14:paraId="7E322CE4">
            <w:pPr>
              <w:pStyle w:val="127"/>
              <w:keepNext w:val="0"/>
              <w:keepLines w:val="0"/>
              <w:pageBreakBefore w:val="0"/>
              <w:widowControl/>
              <w:kinsoku/>
              <w:wordWrap w:val="0"/>
              <w:overflowPunct/>
              <w:topLinePunct/>
              <w:autoSpaceDE/>
              <w:autoSpaceDN/>
              <w:bidi w:val="0"/>
              <w:adjustRightInd/>
              <w:snapToGrid/>
              <w:textAlignment w:val="auto"/>
              <w:rPr>
                <w:rFonts w:hint="eastAsia" w:ascii="Times New Roman" w:hAnsi="Times New Roman" w:eastAsia="宋体" w:cs="Times New Roman"/>
                <w:color w:val="auto"/>
                <w:sz w:val="21"/>
                <w:szCs w:val="21"/>
              </w:rPr>
            </w:pPr>
          </w:p>
        </w:tc>
      </w:tr>
      <w:tr w14:paraId="701708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48" w:type="dxa"/>
            <w:vMerge w:val="continue"/>
            <w:noWrap/>
            <w:vAlign w:val="center"/>
          </w:tcPr>
          <w:p w14:paraId="76E21334">
            <w:pPr>
              <w:pStyle w:val="127"/>
              <w:rPr>
                <w:rFonts w:hint="eastAsia" w:ascii="Times New Roman" w:hAnsi="Times New Roman" w:eastAsia="宋体" w:cs="Times New Roman"/>
                <w:color w:val="auto"/>
                <w:sz w:val="21"/>
                <w:szCs w:val="21"/>
                <w:lang w:val="en-US" w:eastAsia="zh-CN"/>
              </w:rPr>
            </w:pPr>
          </w:p>
        </w:tc>
        <w:tc>
          <w:tcPr>
            <w:tcW w:w="865" w:type="dxa"/>
            <w:noWrap/>
            <w:vAlign w:val="center"/>
          </w:tcPr>
          <w:p w14:paraId="502C54AA">
            <w:pPr>
              <w:pStyle w:val="127"/>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氟化物</w:t>
            </w:r>
          </w:p>
        </w:tc>
        <w:tc>
          <w:tcPr>
            <w:tcW w:w="925" w:type="dxa"/>
            <w:noWrap/>
            <w:vAlign w:val="center"/>
          </w:tcPr>
          <w:p w14:paraId="257A0C29">
            <w:pPr>
              <w:pStyle w:val="127"/>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1100" w:type="dxa"/>
            <w:noWrap/>
            <w:vAlign w:val="center"/>
          </w:tcPr>
          <w:p w14:paraId="223A56D1">
            <w:pPr>
              <w:pStyle w:val="127"/>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1112" w:type="dxa"/>
            <w:noWrap/>
            <w:vAlign w:val="center"/>
          </w:tcPr>
          <w:p w14:paraId="36A3357C">
            <w:pPr>
              <w:pStyle w:val="127"/>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0.17</w:t>
            </w:r>
          </w:p>
        </w:tc>
        <w:tc>
          <w:tcPr>
            <w:tcW w:w="1148" w:type="dxa"/>
            <w:noWrap/>
            <w:vAlign w:val="center"/>
          </w:tcPr>
          <w:p w14:paraId="1DE8877F">
            <w:pPr>
              <w:pStyle w:val="127"/>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2008" w:type="dxa"/>
            <w:vMerge w:val="continue"/>
            <w:noWrap/>
            <w:vAlign w:val="center"/>
          </w:tcPr>
          <w:p w14:paraId="1FC50964">
            <w:pPr>
              <w:pStyle w:val="127"/>
              <w:keepNext w:val="0"/>
              <w:keepLines w:val="0"/>
              <w:pageBreakBefore w:val="0"/>
              <w:widowControl/>
              <w:kinsoku/>
              <w:wordWrap w:val="0"/>
              <w:overflowPunct/>
              <w:topLinePunct/>
              <w:autoSpaceDE/>
              <w:autoSpaceDN/>
              <w:bidi w:val="0"/>
              <w:adjustRightInd/>
              <w:snapToGrid/>
              <w:textAlignment w:val="auto"/>
              <w:rPr>
                <w:rFonts w:hint="eastAsia" w:ascii="Times New Roman" w:hAnsi="Times New Roman" w:eastAsia="宋体" w:cs="Times New Roman"/>
                <w:color w:val="auto"/>
                <w:sz w:val="21"/>
                <w:szCs w:val="21"/>
              </w:rPr>
            </w:pPr>
          </w:p>
        </w:tc>
      </w:tr>
      <w:tr w14:paraId="366B24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48" w:type="dxa"/>
            <w:noWrap/>
            <w:vAlign w:val="center"/>
          </w:tcPr>
          <w:p w14:paraId="1B2C1B1D">
            <w:pPr>
              <w:pStyle w:val="127"/>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光刻胶涂抹及其后烘干工序有机废气、装配工序胶水挥发有机废气</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油墨喷涂及其后烘烤工序有机废气</w:t>
            </w:r>
          </w:p>
        </w:tc>
        <w:tc>
          <w:tcPr>
            <w:tcW w:w="865" w:type="dxa"/>
            <w:noWrap/>
            <w:vAlign w:val="center"/>
          </w:tcPr>
          <w:p w14:paraId="2CD73D24">
            <w:pPr>
              <w:pStyle w:val="127"/>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非甲烷总烃</w:t>
            </w:r>
          </w:p>
        </w:tc>
        <w:tc>
          <w:tcPr>
            <w:tcW w:w="925" w:type="dxa"/>
            <w:shd w:val="clear" w:color="auto" w:fill="auto"/>
            <w:noWrap/>
            <w:vAlign w:val="center"/>
          </w:tcPr>
          <w:p w14:paraId="30860832">
            <w:pPr>
              <w:pStyle w:val="127"/>
              <w:rPr>
                <w:rFonts w:hint="eastAsia" w:ascii="Times New Roman" w:hAnsi="Times New Roman" w:eastAsia="宋体" w:cs="Times New Roman"/>
                <w:bCs/>
                <w:color w:val="auto"/>
                <w:kern w:val="22"/>
                <w:sz w:val="21"/>
                <w:szCs w:val="21"/>
                <w:lang w:val="en-US" w:eastAsia="zh-CN" w:bidi="ar-SA"/>
              </w:rPr>
            </w:pPr>
            <w:r>
              <w:rPr>
                <w:rFonts w:hint="eastAsia"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val="en-US" w:eastAsia="zh-CN"/>
              </w:rPr>
              <w:t>0</w:t>
            </w:r>
          </w:p>
        </w:tc>
        <w:tc>
          <w:tcPr>
            <w:tcW w:w="1100" w:type="dxa"/>
            <w:shd w:val="clear" w:color="auto" w:fill="auto"/>
            <w:noWrap/>
            <w:vAlign w:val="center"/>
          </w:tcPr>
          <w:p w14:paraId="5D6D209F">
            <w:pPr>
              <w:pStyle w:val="127"/>
              <w:rPr>
                <w:rFonts w:hint="eastAsia" w:ascii="Times New Roman" w:hAnsi="Times New Roman" w:eastAsia="宋体" w:cs="Times New Roman"/>
                <w:bCs/>
                <w:color w:val="auto"/>
                <w:kern w:val="22"/>
                <w:sz w:val="21"/>
                <w:szCs w:val="21"/>
                <w:lang w:val="en-US" w:eastAsia="zh-CN" w:bidi="ar-SA"/>
              </w:rPr>
            </w:pPr>
            <w:r>
              <w:rPr>
                <w:rFonts w:hint="eastAsia" w:ascii="Times New Roman" w:hAnsi="Times New Roman" w:eastAsia="宋体" w:cs="Times New Roman"/>
                <w:color w:val="auto"/>
                <w:sz w:val="21"/>
                <w:szCs w:val="21"/>
                <w:lang w:val="en-US" w:eastAsia="zh-CN"/>
              </w:rPr>
              <w:t>60</w:t>
            </w:r>
          </w:p>
        </w:tc>
        <w:tc>
          <w:tcPr>
            <w:tcW w:w="1112" w:type="dxa"/>
            <w:shd w:val="clear" w:color="auto" w:fill="auto"/>
            <w:noWrap/>
            <w:vAlign w:val="center"/>
          </w:tcPr>
          <w:p w14:paraId="39A7DBE1">
            <w:pPr>
              <w:pStyle w:val="127"/>
              <w:rPr>
                <w:rFonts w:hint="eastAsia" w:ascii="Times New Roman" w:hAnsi="Times New Roman" w:eastAsia="宋体" w:cs="Times New Roman"/>
                <w:bCs/>
                <w:color w:val="auto"/>
                <w:kern w:val="22"/>
                <w:sz w:val="21"/>
                <w:szCs w:val="21"/>
                <w:lang w:val="en-US" w:eastAsia="zh-CN" w:bidi="ar-SA"/>
              </w:rPr>
            </w:pPr>
            <w:r>
              <w:rPr>
                <w:rFonts w:hint="eastAsia" w:ascii="Times New Roman" w:hAnsi="Times New Roman" w:eastAsia="宋体" w:cs="Times New Roman"/>
                <w:color w:val="auto"/>
                <w:sz w:val="21"/>
                <w:szCs w:val="21"/>
                <w:lang w:val="en-US" w:eastAsia="zh-CN"/>
              </w:rPr>
              <w:t>4.3</w:t>
            </w:r>
          </w:p>
        </w:tc>
        <w:tc>
          <w:tcPr>
            <w:tcW w:w="1148" w:type="dxa"/>
            <w:shd w:val="clear" w:color="auto" w:fill="auto"/>
            <w:noWrap/>
            <w:vAlign w:val="center"/>
          </w:tcPr>
          <w:p w14:paraId="7E4FFD12">
            <w:pPr>
              <w:pStyle w:val="127"/>
              <w:rPr>
                <w:rFonts w:hint="default" w:ascii="Times New Roman" w:hAnsi="Times New Roman" w:eastAsia="宋体" w:cs="Times New Roman"/>
                <w:bCs/>
                <w:color w:val="auto"/>
                <w:kern w:val="22"/>
                <w:sz w:val="21"/>
                <w:szCs w:val="21"/>
                <w:lang w:val="en-US" w:eastAsia="zh-CN" w:bidi="ar-SA"/>
              </w:rPr>
            </w:pPr>
            <w:r>
              <w:rPr>
                <w:rFonts w:hint="eastAsia" w:ascii="Times New Roman" w:hAnsi="Times New Roman" w:eastAsia="宋体" w:cs="Times New Roman"/>
                <w:color w:val="auto"/>
                <w:sz w:val="21"/>
                <w:szCs w:val="21"/>
              </w:rPr>
              <w:t>4</w:t>
            </w:r>
            <w:r>
              <w:rPr>
                <w:rFonts w:hint="eastAsia" w:cs="Times New Roman"/>
                <w:color w:val="auto"/>
                <w:sz w:val="21"/>
                <w:szCs w:val="21"/>
                <w:lang w:val="en-US" w:eastAsia="zh-CN"/>
              </w:rPr>
              <w:t>.0</w:t>
            </w:r>
          </w:p>
        </w:tc>
        <w:tc>
          <w:tcPr>
            <w:tcW w:w="2008" w:type="dxa"/>
            <w:shd w:val="clear" w:color="auto" w:fill="auto"/>
            <w:noWrap/>
            <w:vAlign w:val="center"/>
          </w:tcPr>
          <w:p w14:paraId="01CEE1B9">
            <w:pPr>
              <w:pStyle w:val="127"/>
              <w:keepNext w:val="0"/>
              <w:keepLines w:val="0"/>
              <w:pageBreakBefore w:val="0"/>
              <w:widowControl/>
              <w:kinsoku/>
              <w:wordWrap w:val="0"/>
              <w:overflowPunct/>
              <w:topLinePunct/>
              <w:autoSpaceDE/>
              <w:autoSpaceDN/>
              <w:bidi w:val="0"/>
              <w:adjustRightInd/>
              <w:snapToGrid/>
              <w:textAlignment w:val="auto"/>
              <w:rPr>
                <w:rFonts w:hint="eastAsia" w:ascii="Times New Roman" w:hAnsi="Times New Roman" w:eastAsia="宋体" w:cs="Times New Roman"/>
                <w:bCs/>
                <w:color w:val="auto"/>
                <w:kern w:val="22"/>
                <w:sz w:val="21"/>
                <w:szCs w:val="21"/>
                <w:lang w:val="en-US" w:eastAsia="zh-CN" w:bidi="ar-SA"/>
              </w:rPr>
            </w:pPr>
            <w:r>
              <w:rPr>
                <w:rFonts w:hint="eastAsia" w:ascii="Times New Roman" w:hAnsi="Times New Roman" w:eastAsia="宋体" w:cs="Times New Roman"/>
                <w:color w:val="auto"/>
                <w:sz w:val="21"/>
                <w:szCs w:val="21"/>
              </w:rPr>
              <w:t>《包装印刷业大气污染物排放标准》（DB50/758-2017）</w:t>
            </w:r>
          </w:p>
        </w:tc>
      </w:tr>
    </w:tbl>
    <w:p w14:paraId="185079D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kern w:val="0"/>
          <w:sz w:val="24"/>
          <w:szCs w:val="21"/>
          <w:lang w:val="en-US" w:eastAsia="zh-CN" w:bidi="ar-SA"/>
        </w:rPr>
      </w:pPr>
      <w:r>
        <w:rPr>
          <w:rFonts w:hint="eastAsia" w:ascii="Times New Roman" w:hAnsi="Times New Roman" w:eastAsia="宋体" w:cs="Times New Roman"/>
          <w:b/>
          <w:bCs/>
          <w:kern w:val="0"/>
          <w:sz w:val="24"/>
          <w:szCs w:val="21"/>
          <w:lang w:val="en-US" w:eastAsia="zh-CN" w:bidi="ar-SA"/>
        </w:rPr>
        <w:t>表6-3  厂区内挥发性有机物无组织排放限值</w:t>
      </w:r>
    </w:p>
    <w:tbl>
      <w:tblPr>
        <w:tblStyle w:val="35"/>
        <w:tblW w:w="4909" w:type="pct"/>
        <w:tblInd w:w="9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108" w:type="dxa"/>
          <w:bottom w:w="0" w:type="dxa"/>
          <w:right w:w="108" w:type="dxa"/>
        </w:tblCellMar>
      </w:tblPr>
      <w:tblGrid>
        <w:gridCol w:w="1301"/>
        <w:gridCol w:w="1363"/>
        <w:gridCol w:w="2636"/>
        <w:gridCol w:w="1763"/>
        <w:gridCol w:w="2012"/>
      </w:tblGrid>
      <w:tr w14:paraId="2DA2F972">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345" w:hRule="atLeast"/>
        </w:trPr>
        <w:tc>
          <w:tcPr>
            <w:tcW w:w="716" w:type="pct"/>
            <w:tcBorders>
              <w:bottom w:val="single" w:color="auto" w:sz="4" w:space="0"/>
              <w:right w:val="single" w:color="auto" w:sz="4" w:space="0"/>
            </w:tcBorders>
            <w:noWrap w:val="0"/>
            <w:vAlign w:val="center"/>
          </w:tcPr>
          <w:p w14:paraId="0E6138B4">
            <w:pPr>
              <w:pStyle w:val="127"/>
              <w:rPr>
                <w:rFonts w:hint="eastAsia"/>
                <w:color w:val="auto"/>
                <w:sz w:val="21"/>
                <w:szCs w:val="21"/>
              </w:rPr>
            </w:pPr>
            <w:r>
              <w:rPr>
                <w:rFonts w:hint="eastAsia"/>
                <w:color w:val="auto"/>
                <w:sz w:val="21"/>
                <w:szCs w:val="21"/>
              </w:rPr>
              <w:t>污染物项目</w:t>
            </w:r>
          </w:p>
        </w:tc>
        <w:tc>
          <w:tcPr>
            <w:tcW w:w="750" w:type="pct"/>
            <w:tcBorders>
              <w:left w:val="single" w:color="auto" w:sz="4" w:space="0"/>
              <w:bottom w:val="single" w:color="auto" w:sz="4" w:space="0"/>
              <w:right w:val="single" w:color="auto" w:sz="4" w:space="0"/>
            </w:tcBorders>
            <w:noWrap w:val="0"/>
            <w:vAlign w:val="center"/>
          </w:tcPr>
          <w:p w14:paraId="0BF121F7">
            <w:pPr>
              <w:pStyle w:val="127"/>
              <w:rPr>
                <w:rFonts w:hint="eastAsia"/>
                <w:color w:val="auto"/>
                <w:sz w:val="21"/>
                <w:szCs w:val="21"/>
              </w:rPr>
            </w:pPr>
            <w:r>
              <w:rPr>
                <w:rFonts w:hint="eastAsia"/>
                <w:color w:val="auto"/>
                <w:sz w:val="21"/>
                <w:szCs w:val="21"/>
              </w:rPr>
              <w:t>特别排放限值</w:t>
            </w:r>
            <w:r>
              <w:rPr>
                <w:rFonts w:hint="eastAsia" w:ascii="Times New Roman" w:hAnsi="Times New Roman" w:eastAsia="宋体" w:cs="Times New Roman"/>
                <w:color w:val="auto"/>
                <w:sz w:val="21"/>
                <w:szCs w:val="21"/>
              </w:rPr>
              <w:t>（mg/</w:t>
            </w:r>
            <w:r>
              <w:rPr>
                <w:rFonts w:hint="eastAsia" w:ascii="Times New Roman" w:hAnsi="Times New Roman" w:eastAsia="宋体" w:cs="Times New Roman"/>
                <w:color w:val="auto"/>
                <w:sz w:val="21"/>
                <w:szCs w:val="21"/>
                <w:lang w:eastAsia="zh-CN"/>
              </w:rPr>
              <w:t>m</w:t>
            </w:r>
            <w:r>
              <w:rPr>
                <w:rFonts w:hint="eastAsia"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rPr>
              <w:t>）</w:t>
            </w:r>
          </w:p>
        </w:tc>
        <w:tc>
          <w:tcPr>
            <w:tcW w:w="1452" w:type="pct"/>
            <w:tcBorders>
              <w:left w:val="single" w:color="auto" w:sz="4" w:space="0"/>
              <w:bottom w:val="single" w:color="auto" w:sz="4" w:space="0"/>
              <w:right w:val="single" w:color="auto" w:sz="4" w:space="0"/>
            </w:tcBorders>
            <w:noWrap w:val="0"/>
            <w:vAlign w:val="center"/>
          </w:tcPr>
          <w:p w14:paraId="21D560DF">
            <w:pPr>
              <w:pStyle w:val="127"/>
              <w:rPr>
                <w:rFonts w:hint="eastAsia"/>
                <w:color w:val="auto"/>
                <w:sz w:val="21"/>
                <w:szCs w:val="21"/>
              </w:rPr>
            </w:pPr>
            <w:r>
              <w:rPr>
                <w:rFonts w:hint="eastAsia"/>
                <w:color w:val="auto"/>
                <w:sz w:val="21"/>
                <w:szCs w:val="21"/>
              </w:rPr>
              <w:t>限制含义</w:t>
            </w:r>
          </w:p>
        </w:tc>
        <w:tc>
          <w:tcPr>
            <w:tcW w:w="971" w:type="pct"/>
            <w:tcBorders>
              <w:left w:val="single" w:color="auto" w:sz="4" w:space="0"/>
              <w:bottom w:val="single" w:color="auto" w:sz="4" w:space="0"/>
              <w:right w:val="single" w:color="auto" w:sz="4" w:space="0"/>
            </w:tcBorders>
            <w:noWrap w:val="0"/>
            <w:vAlign w:val="center"/>
          </w:tcPr>
          <w:p w14:paraId="10E1710C">
            <w:pPr>
              <w:pStyle w:val="127"/>
              <w:rPr>
                <w:color w:val="auto"/>
                <w:sz w:val="21"/>
                <w:szCs w:val="21"/>
              </w:rPr>
            </w:pPr>
            <w:r>
              <w:rPr>
                <w:rFonts w:hint="eastAsia"/>
                <w:color w:val="auto"/>
                <w:sz w:val="21"/>
                <w:szCs w:val="21"/>
              </w:rPr>
              <w:t>无组织排放监控位置</w:t>
            </w:r>
          </w:p>
        </w:tc>
        <w:tc>
          <w:tcPr>
            <w:tcW w:w="1108" w:type="pct"/>
            <w:tcBorders>
              <w:left w:val="single" w:color="auto" w:sz="4" w:space="0"/>
              <w:bottom w:val="single" w:color="auto" w:sz="4" w:space="0"/>
            </w:tcBorders>
            <w:noWrap w:val="0"/>
            <w:vAlign w:val="center"/>
          </w:tcPr>
          <w:p w14:paraId="035F857E">
            <w:pPr>
              <w:pStyle w:val="127"/>
              <w:rPr>
                <w:rFonts w:hint="eastAsia"/>
                <w:color w:val="auto"/>
                <w:sz w:val="21"/>
                <w:szCs w:val="21"/>
              </w:rPr>
            </w:pPr>
            <w:r>
              <w:rPr>
                <w:rFonts w:hint="eastAsia"/>
                <w:color w:val="auto"/>
                <w:sz w:val="21"/>
                <w:szCs w:val="21"/>
              </w:rPr>
              <w:t>执行标准</w:t>
            </w:r>
          </w:p>
        </w:tc>
      </w:tr>
      <w:tr w14:paraId="49EFEE1C">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345" w:hRule="atLeast"/>
        </w:trPr>
        <w:tc>
          <w:tcPr>
            <w:tcW w:w="716" w:type="pct"/>
            <w:vMerge w:val="restart"/>
            <w:tcBorders>
              <w:top w:val="single" w:color="auto" w:sz="4" w:space="0"/>
              <w:bottom w:val="single" w:color="auto" w:sz="4" w:space="0"/>
              <w:right w:val="single" w:color="auto" w:sz="4" w:space="0"/>
            </w:tcBorders>
            <w:noWrap w:val="0"/>
            <w:vAlign w:val="center"/>
          </w:tcPr>
          <w:p w14:paraId="5F0D9444">
            <w:pPr>
              <w:pStyle w:val="127"/>
              <w:rPr>
                <w:rFonts w:hint="eastAsia"/>
                <w:color w:val="auto"/>
                <w:sz w:val="21"/>
                <w:szCs w:val="21"/>
              </w:rPr>
            </w:pPr>
            <w:r>
              <w:rPr>
                <w:rFonts w:hint="eastAsia"/>
                <w:color w:val="auto"/>
                <w:sz w:val="21"/>
                <w:szCs w:val="21"/>
              </w:rPr>
              <w:t>非甲烷总烃</w:t>
            </w:r>
          </w:p>
        </w:tc>
        <w:tc>
          <w:tcPr>
            <w:tcW w:w="750" w:type="pct"/>
            <w:tcBorders>
              <w:top w:val="single" w:color="auto" w:sz="4" w:space="0"/>
              <w:left w:val="single" w:color="auto" w:sz="4" w:space="0"/>
              <w:bottom w:val="single" w:color="auto" w:sz="4" w:space="0"/>
              <w:right w:val="single" w:color="auto" w:sz="4" w:space="0"/>
            </w:tcBorders>
            <w:noWrap w:val="0"/>
            <w:vAlign w:val="center"/>
          </w:tcPr>
          <w:p w14:paraId="4B2B28D6">
            <w:pPr>
              <w:pStyle w:val="127"/>
              <w:rPr>
                <w:rFonts w:hint="eastAsia"/>
                <w:color w:val="auto"/>
                <w:sz w:val="21"/>
                <w:szCs w:val="21"/>
              </w:rPr>
            </w:pPr>
            <w:r>
              <w:rPr>
                <w:rFonts w:hint="eastAsia"/>
                <w:color w:val="auto"/>
                <w:sz w:val="21"/>
                <w:szCs w:val="21"/>
              </w:rPr>
              <w:t>6</w:t>
            </w:r>
          </w:p>
        </w:tc>
        <w:tc>
          <w:tcPr>
            <w:tcW w:w="1452" w:type="pct"/>
            <w:tcBorders>
              <w:top w:val="single" w:color="auto" w:sz="4" w:space="0"/>
              <w:left w:val="single" w:color="auto" w:sz="4" w:space="0"/>
              <w:bottom w:val="single" w:color="auto" w:sz="4" w:space="0"/>
              <w:right w:val="single" w:color="auto" w:sz="4" w:space="0"/>
            </w:tcBorders>
            <w:noWrap w:val="0"/>
            <w:vAlign w:val="center"/>
          </w:tcPr>
          <w:p w14:paraId="47A929DE">
            <w:pPr>
              <w:pStyle w:val="127"/>
              <w:rPr>
                <w:rFonts w:hint="eastAsia"/>
                <w:color w:val="auto"/>
                <w:sz w:val="21"/>
                <w:szCs w:val="21"/>
              </w:rPr>
            </w:pPr>
            <w:r>
              <w:rPr>
                <w:rFonts w:hint="eastAsia"/>
                <w:color w:val="auto"/>
                <w:sz w:val="21"/>
                <w:szCs w:val="21"/>
              </w:rPr>
              <w:t>监控点处</w:t>
            </w:r>
            <w:r>
              <w:rPr>
                <w:color w:val="auto"/>
                <w:sz w:val="21"/>
                <w:szCs w:val="21"/>
              </w:rPr>
              <w:t>1h</w:t>
            </w:r>
            <w:r>
              <w:rPr>
                <w:rFonts w:hint="eastAsia"/>
                <w:color w:val="auto"/>
                <w:sz w:val="21"/>
                <w:szCs w:val="21"/>
              </w:rPr>
              <w:t>平均浓度值</w:t>
            </w:r>
          </w:p>
        </w:tc>
        <w:tc>
          <w:tcPr>
            <w:tcW w:w="971" w:type="pct"/>
            <w:vMerge w:val="restart"/>
            <w:tcBorders>
              <w:top w:val="single" w:color="auto" w:sz="4" w:space="0"/>
              <w:left w:val="single" w:color="auto" w:sz="4" w:space="0"/>
              <w:right w:val="single" w:color="auto" w:sz="4" w:space="0"/>
            </w:tcBorders>
            <w:noWrap w:val="0"/>
            <w:vAlign w:val="center"/>
          </w:tcPr>
          <w:p w14:paraId="42B71A99">
            <w:pPr>
              <w:pStyle w:val="127"/>
              <w:rPr>
                <w:color w:val="auto"/>
                <w:sz w:val="21"/>
                <w:szCs w:val="21"/>
              </w:rPr>
            </w:pPr>
            <w:r>
              <w:rPr>
                <w:rFonts w:hint="eastAsia"/>
                <w:color w:val="auto"/>
                <w:sz w:val="21"/>
                <w:szCs w:val="21"/>
              </w:rPr>
              <w:t>在厂房外设置监控点</w:t>
            </w:r>
          </w:p>
        </w:tc>
        <w:tc>
          <w:tcPr>
            <w:tcW w:w="1108" w:type="pct"/>
            <w:vMerge w:val="restart"/>
            <w:tcBorders>
              <w:top w:val="single" w:color="auto" w:sz="4" w:space="0"/>
              <w:left w:val="single" w:color="auto" w:sz="4" w:space="0"/>
              <w:bottom w:val="single" w:color="auto" w:sz="4" w:space="0"/>
            </w:tcBorders>
            <w:noWrap w:val="0"/>
            <w:vAlign w:val="center"/>
          </w:tcPr>
          <w:p w14:paraId="7C569980">
            <w:pPr>
              <w:pStyle w:val="127"/>
              <w:rPr>
                <w:color w:val="auto"/>
                <w:sz w:val="21"/>
                <w:szCs w:val="21"/>
              </w:rPr>
            </w:pPr>
            <w:r>
              <w:rPr>
                <w:rFonts w:hint="eastAsia"/>
                <w:color w:val="auto"/>
                <w:sz w:val="21"/>
                <w:szCs w:val="21"/>
              </w:rPr>
              <w:t>《挥发性有机物无组织排放控制标准》（GB37822-2019）</w:t>
            </w:r>
          </w:p>
        </w:tc>
      </w:tr>
      <w:tr w14:paraId="67B65DE0">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CellMar>
            <w:top w:w="0" w:type="dxa"/>
            <w:left w:w="108" w:type="dxa"/>
            <w:bottom w:w="0" w:type="dxa"/>
            <w:right w:w="108" w:type="dxa"/>
          </w:tblCellMar>
        </w:tblPrEx>
        <w:trPr>
          <w:trHeight w:val="300" w:hRule="atLeast"/>
        </w:trPr>
        <w:tc>
          <w:tcPr>
            <w:tcW w:w="716" w:type="pct"/>
            <w:vMerge w:val="continue"/>
            <w:tcBorders>
              <w:top w:val="single" w:color="auto" w:sz="4" w:space="0"/>
              <w:right w:val="single" w:color="auto" w:sz="4" w:space="0"/>
            </w:tcBorders>
            <w:noWrap w:val="0"/>
            <w:vAlign w:val="center"/>
          </w:tcPr>
          <w:p w14:paraId="51E8EE77">
            <w:pPr>
              <w:pStyle w:val="127"/>
              <w:rPr>
                <w:color w:val="auto"/>
              </w:rPr>
            </w:pPr>
          </w:p>
        </w:tc>
        <w:tc>
          <w:tcPr>
            <w:tcW w:w="750" w:type="pct"/>
            <w:tcBorders>
              <w:top w:val="single" w:color="auto" w:sz="4" w:space="0"/>
              <w:left w:val="nil"/>
              <w:right w:val="single" w:color="auto" w:sz="4" w:space="0"/>
            </w:tcBorders>
            <w:noWrap w:val="0"/>
            <w:vAlign w:val="center"/>
          </w:tcPr>
          <w:p w14:paraId="20F50AA5">
            <w:pPr>
              <w:pStyle w:val="127"/>
              <w:rPr>
                <w:rFonts w:hint="eastAsia"/>
                <w:color w:val="auto"/>
                <w:sz w:val="21"/>
                <w:szCs w:val="21"/>
              </w:rPr>
            </w:pPr>
            <w:r>
              <w:rPr>
                <w:rFonts w:hint="eastAsia"/>
                <w:color w:val="auto"/>
                <w:sz w:val="21"/>
                <w:szCs w:val="21"/>
              </w:rPr>
              <w:t>20</w:t>
            </w:r>
          </w:p>
        </w:tc>
        <w:tc>
          <w:tcPr>
            <w:tcW w:w="1452" w:type="pct"/>
            <w:tcBorders>
              <w:top w:val="single" w:color="auto" w:sz="4" w:space="0"/>
              <w:left w:val="single" w:color="auto" w:sz="4" w:space="0"/>
              <w:right w:val="single" w:color="auto" w:sz="4" w:space="0"/>
            </w:tcBorders>
            <w:noWrap w:val="0"/>
            <w:vAlign w:val="center"/>
          </w:tcPr>
          <w:p w14:paraId="708A4534">
            <w:pPr>
              <w:pStyle w:val="127"/>
              <w:rPr>
                <w:rFonts w:hint="eastAsia"/>
                <w:color w:val="auto"/>
                <w:sz w:val="21"/>
                <w:szCs w:val="21"/>
              </w:rPr>
            </w:pPr>
            <w:r>
              <w:rPr>
                <w:rFonts w:hint="eastAsia"/>
                <w:color w:val="auto"/>
                <w:sz w:val="21"/>
                <w:szCs w:val="21"/>
              </w:rPr>
              <w:t>监控点处任意一次浓度值</w:t>
            </w:r>
          </w:p>
        </w:tc>
        <w:tc>
          <w:tcPr>
            <w:tcW w:w="971" w:type="pct"/>
            <w:vMerge w:val="continue"/>
            <w:tcBorders>
              <w:left w:val="single" w:color="auto" w:sz="4" w:space="0"/>
              <w:right w:val="single" w:color="auto" w:sz="4" w:space="0"/>
            </w:tcBorders>
            <w:noWrap w:val="0"/>
            <w:vAlign w:val="center"/>
          </w:tcPr>
          <w:p w14:paraId="6F016986">
            <w:pPr>
              <w:pStyle w:val="127"/>
              <w:rPr>
                <w:color w:val="auto"/>
                <w:sz w:val="21"/>
                <w:szCs w:val="21"/>
              </w:rPr>
            </w:pPr>
          </w:p>
        </w:tc>
        <w:tc>
          <w:tcPr>
            <w:tcW w:w="1108" w:type="pct"/>
            <w:vMerge w:val="continue"/>
            <w:tcBorders>
              <w:top w:val="single" w:color="auto" w:sz="4" w:space="0"/>
              <w:left w:val="single" w:color="auto" w:sz="4" w:space="0"/>
            </w:tcBorders>
            <w:noWrap w:val="0"/>
            <w:vAlign w:val="center"/>
          </w:tcPr>
          <w:p w14:paraId="2E36B23E">
            <w:pPr>
              <w:pStyle w:val="127"/>
              <w:rPr>
                <w:color w:val="auto"/>
              </w:rPr>
            </w:pPr>
          </w:p>
        </w:tc>
      </w:tr>
    </w:tbl>
    <w:p w14:paraId="037A29FF">
      <w:pPr>
        <w:pStyle w:val="4"/>
        <w:spacing w:before="0" w:after="0" w:line="490" w:lineRule="exact"/>
        <w:rPr>
          <w:sz w:val="24"/>
          <w:szCs w:val="24"/>
        </w:rPr>
      </w:pPr>
      <w:r>
        <w:rPr>
          <w:sz w:val="24"/>
          <w:szCs w:val="24"/>
        </w:rPr>
        <w:t>6.1.3噪声</w:t>
      </w:r>
      <w:bookmarkEnd w:id="182"/>
    </w:p>
    <w:p w14:paraId="00A9CF7E">
      <w:pPr>
        <w:spacing w:line="490" w:lineRule="exact"/>
        <w:ind w:firstLine="480" w:firstLineChars="200"/>
        <w:jc w:val="left"/>
        <w:rPr>
          <w:sz w:val="24"/>
        </w:rPr>
      </w:pPr>
      <w:bookmarkStart w:id="183" w:name="_Toc513474986"/>
      <w:r>
        <w:rPr>
          <w:sz w:val="24"/>
        </w:rPr>
        <w:t>本项目噪声排放标准执行《工业企业厂界环境噪声排放标准》（GB12348- 2008）中的3类标准，具体排放限值详见下表。</w:t>
      </w:r>
    </w:p>
    <w:p w14:paraId="0D89BC90">
      <w:pPr>
        <w:widowControl/>
        <w:adjustRightInd w:val="0"/>
        <w:snapToGrid w:val="0"/>
        <w:spacing w:before="156" w:beforeLines="50"/>
        <w:jc w:val="center"/>
        <w:rPr>
          <w:b/>
          <w:bCs/>
          <w:kern w:val="0"/>
          <w:sz w:val="24"/>
          <w:szCs w:val="21"/>
        </w:rPr>
      </w:pPr>
      <w:r>
        <w:rPr>
          <w:b/>
          <w:bCs/>
          <w:kern w:val="0"/>
          <w:sz w:val="24"/>
          <w:szCs w:val="21"/>
        </w:rPr>
        <w:t>表6-</w:t>
      </w:r>
      <w:r>
        <w:rPr>
          <w:rFonts w:hint="eastAsia"/>
          <w:b/>
          <w:bCs/>
          <w:kern w:val="0"/>
          <w:sz w:val="24"/>
          <w:szCs w:val="21"/>
          <w:lang w:val="en-US" w:eastAsia="zh-CN"/>
        </w:rPr>
        <w:t>4</w:t>
      </w:r>
      <w:r>
        <w:rPr>
          <w:b/>
          <w:bCs/>
          <w:kern w:val="0"/>
          <w:sz w:val="24"/>
          <w:szCs w:val="21"/>
        </w:rPr>
        <w:t xml:space="preserve">  工业企业厂界环境噪声排放标准    单位：dB（A）</w:t>
      </w:r>
    </w:p>
    <w:tbl>
      <w:tblPr>
        <w:tblStyle w:val="3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570"/>
        <w:gridCol w:w="1750"/>
        <w:gridCol w:w="1948"/>
        <w:gridCol w:w="1970"/>
      </w:tblGrid>
      <w:tr w14:paraId="5A9C1B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932" w:type="pct"/>
            <w:vMerge w:val="restart"/>
            <w:vAlign w:val="center"/>
          </w:tcPr>
          <w:p w14:paraId="7813A518">
            <w:pPr>
              <w:jc w:val="center"/>
              <w:rPr>
                <w:szCs w:val="21"/>
              </w:rPr>
            </w:pPr>
            <w:r>
              <w:rPr>
                <w:szCs w:val="21"/>
              </w:rPr>
              <w:t>标准</w:t>
            </w:r>
          </w:p>
        </w:tc>
        <w:tc>
          <w:tcPr>
            <w:tcW w:w="947" w:type="pct"/>
            <w:vMerge w:val="restart"/>
            <w:vAlign w:val="center"/>
          </w:tcPr>
          <w:p w14:paraId="24B18BAF">
            <w:pPr>
              <w:jc w:val="center"/>
              <w:rPr>
                <w:szCs w:val="21"/>
              </w:rPr>
            </w:pPr>
            <w:r>
              <w:rPr>
                <w:szCs w:val="21"/>
              </w:rPr>
              <w:t>适用区类</w:t>
            </w:r>
          </w:p>
        </w:tc>
        <w:tc>
          <w:tcPr>
            <w:tcW w:w="2120" w:type="pct"/>
            <w:gridSpan w:val="2"/>
            <w:vAlign w:val="center"/>
          </w:tcPr>
          <w:p w14:paraId="4A48817B">
            <w:pPr>
              <w:jc w:val="center"/>
              <w:rPr>
                <w:szCs w:val="21"/>
              </w:rPr>
            </w:pPr>
            <w:r>
              <w:rPr>
                <w:szCs w:val="21"/>
              </w:rPr>
              <w:t>标准值</w:t>
            </w:r>
          </w:p>
        </w:tc>
      </w:tr>
      <w:tr w14:paraId="449FD1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932" w:type="pct"/>
            <w:vMerge w:val="continue"/>
            <w:vAlign w:val="center"/>
          </w:tcPr>
          <w:p w14:paraId="31D448D0">
            <w:pPr>
              <w:jc w:val="center"/>
              <w:rPr>
                <w:szCs w:val="21"/>
              </w:rPr>
            </w:pPr>
          </w:p>
        </w:tc>
        <w:tc>
          <w:tcPr>
            <w:tcW w:w="947" w:type="pct"/>
            <w:vMerge w:val="continue"/>
            <w:vAlign w:val="center"/>
          </w:tcPr>
          <w:p w14:paraId="37FA19D9">
            <w:pPr>
              <w:jc w:val="center"/>
              <w:rPr>
                <w:szCs w:val="21"/>
              </w:rPr>
            </w:pPr>
          </w:p>
        </w:tc>
        <w:tc>
          <w:tcPr>
            <w:tcW w:w="1054" w:type="pct"/>
            <w:vAlign w:val="center"/>
          </w:tcPr>
          <w:p w14:paraId="10BE5BD9">
            <w:pPr>
              <w:jc w:val="center"/>
              <w:rPr>
                <w:szCs w:val="21"/>
              </w:rPr>
            </w:pPr>
            <w:r>
              <w:rPr>
                <w:szCs w:val="21"/>
              </w:rPr>
              <w:t>昼间</w:t>
            </w:r>
          </w:p>
        </w:tc>
        <w:tc>
          <w:tcPr>
            <w:tcW w:w="1065" w:type="pct"/>
            <w:vAlign w:val="center"/>
          </w:tcPr>
          <w:p w14:paraId="71D64847">
            <w:pPr>
              <w:jc w:val="center"/>
              <w:rPr>
                <w:szCs w:val="21"/>
              </w:rPr>
            </w:pPr>
            <w:r>
              <w:rPr>
                <w:szCs w:val="21"/>
              </w:rPr>
              <w:t>夜间</w:t>
            </w:r>
          </w:p>
        </w:tc>
      </w:tr>
      <w:tr w14:paraId="2A69C8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932" w:type="pct"/>
            <w:vAlign w:val="center"/>
          </w:tcPr>
          <w:p w14:paraId="423C3D8E">
            <w:pPr>
              <w:jc w:val="center"/>
              <w:rPr>
                <w:szCs w:val="21"/>
              </w:rPr>
            </w:pPr>
            <w:r>
              <w:rPr>
                <w:szCs w:val="21"/>
              </w:rPr>
              <w:t>GB 12348-2008</w:t>
            </w:r>
          </w:p>
        </w:tc>
        <w:tc>
          <w:tcPr>
            <w:tcW w:w="947" w:type="pct"/>
            <w:vAlign w:val="center"/>
          </w:tcPr>
          <w:p w14:paraId="1C124AA7">
            <w:pPr>
              <w:jc w:val="center"/>
              <w:rPr>
                <w:szCs w:val="21"/>
              </w:rPr>
            </w:pPr>
            <w:r>
              <w:rPr>
                <w:szCs w:val="21"/>
              </w:rPr>
              <w:t>3类</w:t>
            </w:r>
          </w:p>
        </w:tc>
        <w:tc>
          <w:tcPr>
            <w:tcW w:w="1054" w:type="pct"/>
            <w:vAlign w:val="center"/>
          </w:tcPr>
          <w:p w14:paraId="04C6A8E3">
            <w:pPr>
              <w:jc w:val="center"/>
              <w:rPr>
                <w:szCs w:val="21"/>
              </w:rPr>
            </w:pPr>
            <w:r>
              <w:rPr>
                <w:szCs w:val="21"/>
              </w:rPr>
              <w:t>65</w:t>
            </w:r>
          </w:p>
        </w:tc>
        <w:tc>
          <w:tcPr>
            <w:tcW w:w="1065" w:type="pct"/>
            <w:vAlign w:val="center"/>
          </w:tcPr>
          <w:p w14:paraId="5449B320">
            <w:pPr>
              <w:jc w:val="center"/>
              <w:rPr>
                <w:szCs w:val="21"/>
              </w:rPr>
            </w:pPr>
            <w:r>
              <w:rPr>
                <w:szCs w:val="21"/>
              </w:rPr>
              <w:t>55</w:t>
            </w:r>
          </w:p>
        </w:tc>
      </w:tr>
    </w:tbl>
    <w:p w14:paraId="373772CB">
      <w:pPr>
        <w:pStyle w:val="4"/>
        <w:spacing w:before="0" w:after="0" w:line="490" w:lineRule="exact"/>
        <w:rPr>
          <w:sz w:val="24"/>
          <w:szCs w:val="24"/>
        </w:rPr>
      </w:pPr>
      <w:r>
        <w:rPr>
          <w:sz w:val="24"/>
          <w:szCs w:val="24"/>
        </w:rPr>
        <w:t>6.1.4固废</w:t>
      </w:r>
      <w:bookmarkEnd w:id="183"/>
    </w:p>
    <w:bookmarkEnd w:id="181"/>
    <w:p w14:paraId="2E5B6A74">
      <w:pPr>
        <w:spacing w:line="490" w:lineRule="exact"/>
        <w:ind w:firstLine="480" w:firstLineChars="200"/>
        <w:rPr>
          <w:sz w:val="24"/>
          <w:szCs w:val="24"/>
        </w:rPr>
      </w:pPr>
      <w:r>
        <w:rPr>
          <w:sz w:val="24"/>
          <w:szCs w:val="24"/>
        </w:rPr>
        <w:t>一般固废：</w:t>
      </w:r>
      <w:r>
        <w:rPr>
          <w:rFonts w:hint="eastAsia"/>
          <w:sz w:val="24"/>
          <w:szCs w:val="24"/>
          <w:lang w:eastAsia="zh-CN"/>
        </w:rPr>
        <w:t>项目</w:t>
      </w:r>
      <w:r>
        <w:rPr>
          <w:sz w:val="24"/>
          <w:szCs w:val="24"/>
        </w:rPr>
        <w:t>采用库房、包装工具（罐、桶、包装袋等）贮存一般工业固体废物，根据《一般工业固体废物贮存和填埋污染控制标准》</w:t>
      </w:r>
      <w:r>
        <w:rPr>
          <w:rFonts w:hint="eastAsia"/>
          <w:sz w:val="24"/>
          <w:szCs w:val="24"/>
          <w:lang w:eastAsia="zh-CN"/>
        </w:rPr>
        <w:t>（</w:t>
      </w:r>
      <w:r>
        <w:rPr>
          <w:sz w:val="24"/>
          <w:szCs w:val="24"/>
        </w:rPr>
        <w:t>GB18599-2020</w:t>
      </w:r>
      <w:r>
        <w:rPr>
          <w:rFonts w:hint="eastAsia"/>
          <w:sz w:val="24"/>
          <w:szCs w:val="24"/>
          <w:lang w:eastAsia="zh-CN"/>
        </w:rPr>
        <w:t>）</w:t>
      </w:r>
      <w:r>
        <w:rPr>
          <w:sz w:val="24"/>
          <w:szCs w:val="24"/>
        </w:rPr>
        <w:t>：采用库房、包装工具（罐、桶、包装袋等）贮存一般工业固体废物过程的污染控制，不适用本标准，其贮存过程应满足相应防渗漏、防雨淋、防扬尘等环境保护要求；</w:t>
      </w:r>
    </w:p>
    <w:p w14:paraId="07EEAD67">
      <w:pPr>
        <w:spacing w:line="490" w:lineRule="exact"/>
        <w:ind w:firstLine="480" w:firstLineChars="200"/>
        <w:rPr>
          <w:sz w:val="24"/>
          <w:szCs w:val="24"/>
        </w:rPr>
      </w:pPr>
      <w:r>
        <w:rPr>
          <w:sz w:val="24"/>
          <w:szCs w:val="24"/>
        </w:rPr>
        <w:t>危险废物：危险废物管理执行《危险废物贮存污染控制标准》（GB18597-2023）</w:t>
      </w:r>
      <w:r>
        <w:rPr>
          <w:rFonts w:hint="eastAsia"/>
          <w:sz w:val="24"/>
          <w:szCs w:val="24"/>
        </w:rPr>
        <w:t>《国家危险废物名录》（202</w:t>
      </w:r>
      <w:r>
        <w:rPr>
          <w:rFonts w:hint="eastAsia"/>
          <w:sz w:val="24"/>
          <w:szCs w:val="24"/>
          <w:lang w:val="en-US" w:eastAsia="zh-CN"/>
        </w:rPr>
        <w:t>5</w:t>
      </w:r>
      <w:r>
        <w:rPr>
          <w:rFonts w:hint="eastAsia"/>
          <w:sz w:val="24"/>
          <w:szCs w:val="24"/>
        </w:rPr>
        <w:t>年版）和《危险废物鉴别标准通则》（GB5085.7-2019）中相关要求。</w:t>
      </w:r>
    </w:p>
    <w:p w14:paraId="1A25F7F6">
      <w:pPr>
        <w:pStyle w:val="3"/>
      </w:pPr>
      <w:bookmarkStart w:id="184" w:name="_Toc827"/>
      <w:r>
        <w:rPr>
          <w:rFonts w:hint="eastAsia"/>
        </w:rPr>
        <w:t>6</w:t>
      </w:r>
      <w:r>
        <w:t>.2</w:t>
      </w:r>
      <w:r>
        <w:rPr>
          <w:rFonts w:hint="eastAsia"/>
        </w:rPr>
        <w:t>总量控制</w:t>
      </w:r>
      <w:bookmarkEnd w:id="184"/>
    </w:p>
    <w:p w14:paraId="26AE28B2">
      <w:pPr>
        <w:pStyle w:val="134"/>
        <w:spacing w:line="360" w:lineRule="auto"/>
        <w:ind w:firstLine="480"/>
        <w:rPr>
          <w:rFonts w:ascii="Times New Roman" w:hAnsi="Times New Roman"/>
          <w:color w:val="auto"/>
          <w:sz w:val="24"/>
        </w:rPr>
      </w:pPr>
      <w:bookmarkStart w:id="185" w:name="_Toc520988570"/>
      <w:bookmarkStart w:id="186" w:name="_Toc513474988"/>
      <w:r>
        <w:rPr>
          <w:rFonts w:hint="eastAsia" w:ascii="Times New Roman" w:hAnsi="Times New Roman"/>
          <w:color w:val="auto"/>
          <w:sz w:val="24"/>
          <w:lang w:eastAsia="zh-CN"/>
        </w:rPr>
        <w:t>项目</w:t>
      </w:r>
      <w:r>
        <w:rPr>
          <w:rFonts w:ascii="Times New Roman" w:hAnsi="Times New Roman"/>
          <w:color w:val="auto"/>
          <w:sz w:val="24"/>
        </w:rPr>
        <w:t>总量控制指标因子如下：</w:t>
      </w:r>
    </w:p>
    <w:p w14:paraId="740B997D">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cs="Times New Roman"/>
          <w:color w:val="auto"/>
          <w:sz w:val="24"/>
          <w:szCs w:val="24"/>
          <w:lang w:val="en-US" w:eastAsia="zh-CN"/>
        </w:rPr>
        <w:t>（1）</w:t>
      </w:r>
      <w:r>
        <w:rPr>
          <w:rFonts w:hint="eastAsia" w:ascii="Times New Roman" w:hAnsi="Times New Roman" w:eastAsia="宋体" w:cs="Times New Roman"/>
          <w:color w:val="auto"/>
          <w:sz w:val="24"/>
          <w:szCs w:val="24"/>
        </w:rPr>
        <w:t>废水</w:t>
      </w:r>
      <w:r>
        <w:rPr>
          <w:rFonts w:ascii="Times New Roman" w:hAnsi="Times New Roman" w:eastAsia="宋体" w:cs="Times New Roman"/>
          <w:color w:val="auto"/>
          <w:sz w:val="24"/>
          <w:szCs w:val="24"/>
        </w:rPr>
        <w:t>：</w:t>
      </w:r>
    </w:p>
    <w:p w14:paraId="029709FC">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排入环境：COD：</w:t>
      </w:r>
      <w:r>
        <w:rPr>
          <w:rFonts w:hint="eastAsia" w:cs="Times New Roman"/>
          <w:color w:val="auto"/>
          <w:sz w:val="24"/>
          <w:szCs w:val="24"/>
          <w:lang w:val="en-US" w:eastAsia="zh-CN"/>
        </w:rPr>
        <w:t>0.026</w:t>
      </w:r>
      <w:r>
        <w:rPr>
          <w:rFonts w:hint="eastAsia" w:ascii="Times New Roman" w:hAnsi="Times New Roman" w:eastAsia="宋体" w:cs="Times New Roman"/>
          <w:color w:val="auto"/>
          <w:sz w:val="24"/>
          <w:szCs w:val="24"/>
          <w:lang w:val="en-US" w:eastAsia="zh-CN"/>
        </w:rPr>
        <w:t>t/a、氨氮：</w:t>
      </w:r>
      <w:r>
        <w:rPr>
          <w:rFonts w:hint="eastAsia" w:cs="Times New Roman"/>
          <w:color w:val="auto"/>
          <w:sz w:val="24"/>
          <w:szCs w:val="24"/>
          <w:lang w:val="en-US" w:eastAsia="zh-CN"/>
        </w:rPr>
        <w:t>0.0013</w:t>
      </w:r>
      <w:r>
        <w:rPr>
          <w:rFonts w:hint="eastAsia" w:ascii="Times New Roman" w:hAnsi="Times New Roman" w:eastAsia="宋体" w:cs="Times New Roman"/>
          <w:color w:val="auto"/>
          <w:sz w:val="24"/>
          <w:szCs w:val="24"/>
          <w:lang w:val="en-US" w:eastAsia="zh-CN"/>
        </w:rPr>
        <w:t>t/a、氟化物：0.004t/a；</w:t>
      </w:r>
    </w:p>
    <w:p w14:paraId="6DC44D86">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cs="Times New Roman"/>
          <w:color w:val="auto"/>
          <w:sz w:val="24"/>
          <w:szCs w:val="24"/>
          <w:lang w:val="en-US" w:eastAsia="zh-CN"/>
        </w:rPr>
        <w:t>（2）</w:t>
      </w:r>
      <w:r>
        <w:rPr>
          <w:rFonts w:ascii="Times New Roman" w:hAnsi="Times New Roman" w:eastAsia="宋体" w:cs="Times New Roman"/>
          <w:color w:val="auto"/>
          <w:sz w:val="24"/>
          <w:szCs w:val="24"/>
        </w:rPr>
        <w:t>废气：</w:t>
      </w:r>
    </w:p>
    <w:p w14:paraId="3DEF2C7E">
      <w:pPr>
        <w:adjustRightInd w:val="0"/>
        <w:snapToGrid w:val="0"/>
        <w:spacing w:line="360" w:lineRule="auto"/>
        <w:ind w:firstLine="480" w:firstLineChars="200"/>
        <w:sectPr>
          <w:pgSz w:w="11906" w:h="16838"/>
          <w:pgMar w:top="1440" w:right="1440" w:bottom="1440" w:left="1440" w:header="851" w:footer="992" w:gutter="0"/>
          <w:cols w:space="720" w:num="1"/>
          <w:docGrid w:type="linesAndChars" w:linePitch="312" w:charSpace="0"/>
        </w:sectPr>
      </w:pPr>
      <w:r>
        <w:rPr>
          <w:rFonts w:hint="eastAsia" w:ascii="Times New Roman" w:hAnsi="Times New Roman" w:eastAsia="宋体" w:cs="Times New Roman"/>
          <w:color w:val="auto"/>
          <w:sz w:val="24"/>
          <w:szCs w:val="24"/>
        </w:rPr>
        <w:t>非甲烷总烃：</w:t>
      </w:r>
      <w:r>
        <w:rPr>
          <w:rFonts w:hint="eastAsia" w:ascii="Times New Roman" w:hAnsi="Times New Roman" w:eastAsia="宋体" w:cs="Times New Roman"/>
          <w:color w:val="auto"/>
          <w:sz w:val="24"/>
          <w:szCs w:val="24"/>
          <w:lang w:val="en-US" w:eastAsia="zh-CN"/>
        </w:rPr>
        <w:t>1.829</w:t>
      </w:r>
      <w:r>
        <w:rPr>
          <w:rFonts w:hint="eastAsia" w:ascii="Times New Roman" w:hAnsi="Times New Roman" w:eastAsia="宋体" w:cs="Times New Roman"/>
          <w:color w:val="auto"/>
          <w:sz w:val="24"/>
          <w:szCs w:val="24"/>
        </w:rPr>
        <w:t>t/a</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硫酸雾：0.018t/a、氯化氢：0.011t/a、氟化物：0.018t/a。</w:t>
      </w:r>
    </w:p>
    <w:p w14:paraId="60533C5E">
      <w:pPr>
        <w:pStyle w:val="2"/>
      </w:pPr>
      <w:bookmarkStart w:id="187" w:name="_Toc725"/>
      <w:r>
        <w:t>7验收监测内容</w:t>
      </w:r>
      <w:bookmarkEnd w:id="185"/>
      <w:bookmarkEnd w:id="186"/>
      <w:bookmarkEnd w:id="187"/>
    </w:p>
    <w:p w14:paraId="743FC952">
      <w:pPr>
        <w:pStyle w:val="3"/>
      </w:pPr>
      <w:bookmarkStart w:id="188" w:name="_Toc520988571"/>
      <w:bookmarkStart w:id="189" w:name="_Toc513474989"/>
      <w:bookmarkStart w:id="190" w:name="_Toc18220"/>
      <w:r>
        <w:t>7.1</w:t>
      </w:r>
      <w:bookmarkEnd w:id="188"/>
      <w:bookmarkEnd w:id="189"/>
      <w:r>
        <w:rPr>
          <w:rFonts w:hint="eastAsia"/>
        </w:rPr>
        <w:t>监测点位的布设、监测因子及频率</w:t>
      </w:r>
      <w:bookmarkEnd w:id="190"/>
    </w:p>
    <w:p w14:paraId="4E1B5390">
      <w:pPr>
        <w:spacing w:line="360" w:lineRule="auto"/>
        <w:ind w:firstLine="480" w:firstLineChars="200"/>
        <w:rPr>
          <w:sz w:val="24"/>
          <w:szCs w:val="24"/>
        </w:rPr>
      </w:pPr>
      <w:r>
        <w:rPr>
          <w:rFonts w:hint="eastAsia"/>
          <w:sz w:val="24"/>
          <w:szCs w:val="24"/>
        </w:rPr>
        <w:t>根据环评报告表及批复、污染物排放情况等确定本项目验收监测的监测因子和频次。监测因子及频次详见表7-1。</w:t>
      </w:r>
    </w:p>
    <w:p w14:paraId="58060BB6">
      <w:pPr>
        <w:widowControl/>
        <w:adjustRightInd w:val="0"/>
        <w:snapToGrid w:val="0"/>
        <w:spacing w:before="156" w:beforeLines="50" w:after="156" w:afterLines="50"/>
        <w:jc w:val="center"/>
        <w:rPr>
          <w:sz w:val="24"/>
          <w:szCs w:val="24"/>
        </w:rPr>
      </w:pPr>
      <w:r>
        <w:rPr>
          <w:rFonts w:hint="eastAsia"/>
          <w:b/>
          <w:bCs/>
          <w:kern w:val="0"/>
          <w:sz w:val="24"/>
          <w:szCs w:val="21"/>
        </w:rPr>
        <w:t>表7</w:t>
      </w:r>
      <w:r>
        <w:rPr>
          <w:b/>
          <w:bCs/>
          <w:kern w:val="0"/>
          <w:sz w:val="24"/>
          <w:szCs w:val="21"/>
        </w:rPr>
        <w:t xml:space="preserve">-1 </w:t>
      </w:r>
      <w:r>
        <w:rPr>
          <w:rFonts w:hint="eastAsia"/>
          <w:b/>
          <w:bCs/>
          <w:kern w:val="0"/>
          <w:sz w:val="24"/>
          <w:szCs w:val="21"/>
        </w:rPr>
        <w:t>项目验收监测点位、因子和频率</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2238"/>
        <w:gridCol w:w="2410"/>
        <w:gridCol w:w="1271"/>
        <w:gridCol w:w="2211"/>
      </w:tblGrid>
      <w:tr w14:paraId="190F23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vAlign w:val="center"/>
          </w:tcPr>
          <w:p w14:paraId="4C1AE9EC">
            <w:pPr>
              <w:jc w:val="center"/>
              <w:rPr>
                <w:szCs w:val="21"/>
              </w:rPr>
            </w:pPr>
            <w:r>
              <w:rPr>
                <w:szCs w:val="21"/>
              </w:rPr>
              <w:t>类别</w:t>
            </w:r>
          </w:p>
        </w:tc>
        <w:tc>
          <w:tcPr>
            <w:tcW w:w="2238" w:type="dxa"/>
            <w:vAlign w:val="center"/>
          </w:tcPr>
          <w:p w14:paraId="3F8CED48">
            <w:pPr>
              <w:jc w:val="center"/>
              <w:rPr>
                <w:szCs w:val="21"/>
              </w:rPr>
            </w:pPr>
            <w:r>
              <w:rPr>
                <w:szCs w:val="21"/>
              </w:rPr>
              <w:t>监测点位</w:t>
            </w:r>
          </w:p>
        </w:tc>
        <w:tc>
          <w:tcPr>
            <w:tcW w:w="2410" w:type="dxa"/>
            <w:vAlign w:val="center"/>
          </w:tcPr>
          <w:p w14:paraId="1C77C83D">
            <w:pPr>
              <w:jc w:val="center"/>
              <w:rPr>
                <w:szCs w:val="21"/>
              </w:rPr>
            </w:pPr>
            <w:r>
              <w:rPr>
                <w:szCs w:val="21"/>
              </w:rPr>
              <w:t>监测项目</w:t>
            </w:r>
          </w:p>
        </w:tc>
        <w:tc>
          <w:tcPr>
            <w:tcW w:w="1271" w:type="dxa"/>
            <w:vAlign w:val="center"/>
          </w:tcPr>
          <w:p w14:paraId="3A4980E9">
            <w:pPr>
              <w:jc w:val="center"/>
              <w:rPr>
                <w:szCs w:val="21"/>
              </w:rPr>
            </w:pPr>
            <w:r>
              <w:rPr>
                <w:szCs w:val="21"/>
              </w:rPr>
              <w:t>监测点位数（个）</w:t>
            </w:r>
          </w:p>
        </w:tc>
        <w:tc>
          <w:tcPr>
            <w:tcW w:w="2211" w:type="dxa"/>
            <w:vAlign w:val="center"/>
          </w:tcPr>
          <w:p w14:paraId="30E33FB0">
            <w:pPr>
              <w:jc w:val="center"/>
              <w:rPr>
                <w:szCs w:val="21"/>
              </w:rPr>
            </w:pPr>
            <w:r>
              <w:rPr>
                <w:szCs w:val="21"/>
              </w:rPr>
              <w:t>监测频次</w:t>
            </w:r>
          </w:p>
        </w:tc>
      </w:tr>
      <w:tr w14:paraId="54CBD4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vAlign w:val="center"/>
          </w:tcPr>
          <w:p w14:paraId="557D8040">
            <w:pPr>
              <w:contextualSpacing/>
              <w:jc w:val="center"/>
              <w:rPr>
                <w:rFonts w:hint="default" w:ascii="Times New Roman" w:hAnsi="Times New Roman" w:eastAsia="宋体" w:cs="Times New Roman"/>
                <w:szCs w:val="21"/>
              </w:rPr>
            </w:pPr>
            <w:r>
              <w:rPr>
                <w:rFonts w:hint="default" w:ascii="Times New Roman" w:hAnsi="Times New Roman" w:eastAsia="宋体" w:cs="Times New Roman"/>
                <w:szCs w:val="21"/>
              </w:rPr>
              <w:t>生活</w:t>
            </w:r>
          </w:p>
          <w:p w14:paraId="13EC0DB9">
            <w:pPr>
              <w:contextualSpacing/>
              <w:jc w:val="center"/>
              <w:rPr>
                <w:szCs w:val="21"/>
              </w:rPr>
            </w:pPr>
            <w:r>
              <w:rPr>
                <w:rFonts w:hint="default" w:ascii="Times New Roman" w:hAnsi="Times New Roman" w:eastAsia="宋体" w:cs="Times New Roman"/>
                <w:szCs w:val="21"/>
              </w:rPr>
              <w:t>废水</w:t>
            </w:r>
          </w:p>
        </w:tc>
        <w:tc>
          <w:tcPr>
            <w:tcW w:w="2238" w:type="dxa"/>
            <w:vAlign w:val="center"/>
          </w:tcPr>
          <w:p w14:paraId="473E650B">
            <w:pPr>
              <w:contextualSpacing/>
              <w:jc w:val="center"/>
              <w:rPr>
                <w:szCs w:val="21"/>
              </w:rPr>
            </w:pPr>
            <w:r>
              <w:rPr>
                <w:rFonts w:hint="default" w:ascii="Times New Roman" w:hAnsi="Times New Roman" w:eastAsia="宋体" w:cs="Times New Roman"/>
                <w:szCs w:val="21"/>
              </w:rPr>
              <w:t>综合污水排放口（DW001）WS1</w:t>
            </w:r>
          </w:p>
        </w:tc>
        <w:tc>
          <w:tcPr>
            <w:tcW w:w="2410" w:type="dxa"/>
            <w:vAlign w:val="center"/>
          </w:tcPr>
          <w:p w14:paraId="3FB74451">
            <w:pPr>
              <w:contextualSpacing/>
              <w:jc w:val="center"/>
              <w:rPr>
                <w:szCs w:val="21"/>
              </w:rPr>
            </w:pPr>
            <w:r>
              <w:rPr>
                <w:rFonts w:hint="default" w:ascii="Times New Roman" w:hAnsi="Times New Roman" w:eastAsia="宋体" w:cs="Times New Roman"/>
                <w:szCs w:val="21"/>
              </w:rPr>
              <w:t>pH值、化学需氧量、氨氮、悬浮物、五日生化需氧量、总磷、总氮、石油类</w:t>
            </w:r>
            <w:r>
              <w:rPr>
                <w:rFonts w:hint="default" w:ascii="Times New Roman" w:hAnsi="Times New Roman" w:eastAsia="宋体" w:cs="Times New Roman"/>
                <w:szCs w:val="21"/>
                <w:lang w:eastAsia="zh-CN"/>
              </w:rPr>
              <w:t>、</w:t>
            </w:r>
            <w:r>
              <w:rPr>
                <w:rFonts w:hint="default" w:ascii="Times New Roman" w:hAnsi="Times New Roman" w:eastAsia="宋体" w:cs="Times New Roman"/>
                <w:szCs w:val="21"/>
                <w:lang w:val="en-US" w:eastAsia="zh-CN"/>
              </w:rPr>
              <w:t>阴离子表面活性剂、氟化物</w:t>
            </w:r>
          </w:p>
        </w:tc>
        <w:tc>
          <w:tcPr>
            <w:tcW w:w="1271" w:type="dxa"/>
            <w:vAlign w:val="center"/>
          </w:tcPr>
          <w:p w14:paraId="74C4B1C9">
            <w:pPr>
              <w:contextualSpacing/>
              <w:jc w:val="center"/>
              <w:rPr>
                <w:rFonts w:hint="eastAsia" w:eastAsia="宋体"/>
                <w:szCs w:val="21"/>
                <w:lang w:val="en-US" w:eastAsia="zh-CN"/>
              </w:rPr>
            </w:pPr>
            <w:r>
              <w:rPr>
                <w:rFonts w:hint="eastAsia"/>
                <w:szCs w:val="21"/>
                <w:lang w:val="en-US" w:eastAsia="zh-CN"/>
              </w:rPr>
              <w:t>1</w:t>
            </w:r>
          </w:p>
        </w:tc>
        <w:tc>
          <w:tcPr>
            <w:tcW w:w="2211" w:type="dxa"/>
            <w:vAlign w:val="center"/>
          </w:tcPr>
          <w:p w14:paraId="63AC5CD7">
            <w:pPr>
              <w:contextualSpacing/>
              <w:jc w:val="center"/>
              <w:rPr>
                <w:szCs w:val="21"/>
              </w:rPr>
            </w:pPr>
            <w:r>
              <w:rPr>
                <w:rFonts w:hint="default" w:ascii="Times New Roman" w:hAnsi="Times New Roman" w:eastAsia="宋体" w:cs="Times New Roman"/>
                <w:szCs w:val="21"/>
              </w:rPr>
              <w:t>采样4次/天，共2天水</w:t>
            </w:r>
          </w:p>
        </w:tc>
      </w:tr>
      <w:tr w14:paraId="5592A8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vMerge w:val="restart"/>
            <w:shd w:val="clear" w:color="auto" w:fill="auto"/>
            <w:vAlign w:val="center"/>
          </w:tcPr>
          <w:p w14:paraId="0994145E">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有组织废气</w:t>
            </w:r>
          </w:p>
          <w:p w14:paraId="2A146E63">
            <w:pPr>
              <w:jc w:val="center"/>
              <w:rPr>
                <w:szCs w:val="21"/>
              </w:rPr>
            </w:pPr>
          </w:p>
        </w:tc>
        <w:tc>
          <w:tcPr>
            <w:tcW w:w="2238" w:type="dxa"/>
            <w:shd w:val="clear" w:color="auto" w:fill="auto"/>
            <w:vAlign w:val="center"/>
          </w:tcPr>
          <w:p w14:paraId="5F67B0AF">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B03</w:t>
            </w:r>
            <w:r>
              <w:rPr>
                <w:rFonts w:hint="default" w:ascii="Times New Roman" w:hAnsi="Times New Roman" w:eastAsia="宋体" w:cs="Times New Roman"/>
                <w:szCs w:val="21"/>
                <w:lang w:val="en-US" w:eastAsia="zh-CN"/>
              </w:rPr>
              <w:t>有机废气排放口</w:t>
            </w:r>
            <w:r>
              <w:rPr>
                <w:rFonts w:hint="eastAsia" w:ascii="Times New Roman" w:hAnsi="Times New Roman" w:eastAsia="宋体" w:cs="Times New Roman"/>
                <w:szCs w:val="21"/>
                <w:lang w:val="en-US" w:eastAsia="zh-CN"/>
              </w:rPr>
              <w:t>（DA008）</w:t>
            </w:r>
            <w:r>
              <w:rPr>
                <w:rFonts w:hint="default" w:ascii="Times New Roman" w:hAnsi="Times New Roman" w:eastAsia="宋体" w:cs="Times New Roman"/>
                <w:szCs w:val="21"/>
              </w:rPr>
              <w:t>FQ1</w:t>
            </w:r>
          </w:p>
        </w:tc>
        <w:tc>
          <w:tcPr>
            <w:tcW w:w="2410" w:type="dxa"/>
            <w:shd w:val="clear" w:color="auto" w:fill="auto"/>
            <w:vAlign w:val="center"/>
          </w:tcPr>
          <w:p w14:paraId="27F22582">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烟气参数、非甲烷总烃</w:t>
            </w:r>
          </w:p>
        </w:tc>
        <w:tc>
          <w:tcPr>
            <w:tcW w:w="1271" w:type="dxa"/>
            <w:vAlign w:val="center"/>
          </w:tcPr>
          <w:p w14:paraId="0F95B057">
            <w:pPr>
              <w:jc w:val="center"/>
              <w:rPr>
                <w:szCs w:val="21"/>
              </w:rPr>
            </w:pPr>
            <w:r>
              <w:rPr>
                <w:szCs w:val="21"/>
              </w:rPr>
              <w:t>1</w:t>
            </w:r>
          </w:p>
        </w:tc>
        <w:tc>
          <w:tcPr>
            <w:tcW w:w="2211" w:type="dxa"/>
            <w:vAlign w:val="center"/>
          </w:tcPr>
          <w:p w14:paraId="7C9AB159">
            <w:pPr>
              <w:jc w:val="center"/>
              <w:rPr>
                <w:szCs w:val="21"/>
              </w:rPr>
            </w:pPr>
            <w:r>
              <w:rPr>
                <w:szCs w:val="21"/>
              </w:rPr>
              <w:t>采样3次/天，共2天</w:t>
            </w:r>
          </w:p>
        </w:tc>
      </w:tr>
      <w:tr w14:paraId="294CA9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vMerge w:val="continue"/>
            <w:vAlign w:val="center"/>
          </w:tcPr>
          <w:p w14:paraId="76678734">
            <w:pPr>
              <w:jc w:val="center"/>
              <w:rPr>
                <w:szCs w:val="21"/>
              </w:rPr>
            </w:pPr>
          </w:p>
        </w:tc>
        <w:tc>
          <w:tcPr>
            <w:tcW w:w="2238" w:type="dxa"/>
            <w:shd w:val="clear" w:color="auto" w:fill="auto"/>
            <w:vAlign w:val="center"/>
          </w:tcPr>
          <w:p w14:paraId="7CBAC06F">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 xml:space="preserve">B01 </w:t>
            </w:r>
            <w:r>
              <w:rPr>
                <w:rFonts w:hint="default" w:ascii="Times New Roman" w:hAnsi="Times New Roman" w:eastAsia="宋体" w:cs="Times New Roman"/>
                <w:szCs w:val="21"/>
                <w:lang w:val="en-US" w:eastAsia="zh-CN"/>
              </w:rPr>
              <w:t>AG蚀刻线蒙砂废气、化抛废气排放口（DA010）FQ2</w:t>
            </w:r>
          </w:p>
        </w:tc>
        <w:tc>
          <w:tcPr>
            <w:tcW w:w="2410" w:type="dxa"/>
            <w:shd w:val="clear" w:color="auto" w:fill="auto"/>
            <w:vAlign w:val="center"/>
          </w:tcPr>
          <w:p w14:paraId="23756DEB">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val="en-US" w:eastAsia="zh-CN"/>
              </w:rPr>
              <w:t>烟气参数、氟化物、氯化氢、硫酸雾</w:t>
            </w:r>
          </w:p>
        </w:tc>
        <w:tc>
          <w:tcPr>
            <w:tcW w:w="1271" w:type="dxa"/>
            <w:vAlign w:val="center"/>
          </w:tcPr>
          <w:p w14:paraId="6B069321">
            <w:pPr>
              <w:jc w:val="center"/>
              <w:rPr>
                <w:szCs w:val="21"/>
              </w:rPr>
            </w:pPr>
            <w:r>
              <w:rPr>
                <w:szCs w:val="21"/>
              </w:rPr>
              <w:t>1</w:t>
            </w:r>
          </w:p>
        </w:tc>
        <w:tc>
          <w:tcPr>
            <w:tcW w:w="2211" w:type="dxa"/>
            <w:vAlign w:val="center"/>
          </w:tcPr>
          <w:p w14:paraId="7647531E">
            <w:pPr>
              <w:jc w:val="center"/>
              <w:rPr>
                <w:szCs w:val="21"/>
              </w:rPr>
            </w:pPr>
            <w:r>
              <w:rPr>
                <w:szCs w:val="21"/>
              </w:rPr>
              <w:t>采样3次/天，共2天</w:t>
            </w:r>
          </w:p>
        </w:tc>
      </w:tr>
      <w:tr w14:paraId="11948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vMerge w:val="restart"/>
            <w:shd w:val="clear" w:color="auto" w:fill="auto"/>
            <w:vAlign w:val="center"/>
          </w:tcPr>
          <w:p w14:paraId="05E9ABAB">
            <w:pPr>
              <w:jc w:val="center"/>
              <w:rPr>
                <w:szCs w:val="21"/>
              </w:rPr>
            </w:pPr>
            <w:r>
              <w:rPr>
                <w:rFonts w:hint="default" w:ascii="Times New Roman" w:hAnsi="Times New Roman" w:eastAsia="宋体" w:cs="Times New Roman"/>
                <w:szCs w:val="21"/>
              </w:rPr>
              <w:t>无组织废气</w:t>
            </w:r>
          </w:p>
        </w:tc>
        <w:tc>
          <w:tcPr>
            <w:tcW w:w="2238" w:type="dxa"/>
            <w:shd w:val="clear" w:color="auto" w:fill="auto"/>
            <w:vAlign w:val="center"/>
          </w:tcPr>
          <w:p w14:paraId="1115AF52">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厂界上下风向A1、A2</w:t>
            </w:r>
          </w:p>
        </w:tc>
        <w:tc>
          <w:tcPr>
            <w:tcW w:w="2410" w:type="dxa"/>
            <w:shd w:val="clear" w:color="auto" w:fill="auto"/>
            <w:vAlign w:val="center"/>
          </w:tcPr>
          <w:p w14:paraId="07F388B3">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非甲烷总烃</w:t>
            </w:r>
            <w:r>
              <w:rPr>
                <w:rFonts w:hint="default" w:ascii="Times New Roman" w:hAnsi="Times New Roman" w:eastAsia="宋体" w:cs="Times New Roman"/>
                <w:szCs w:val="21"/>
                <w:lang w:eastAsia="zh-CN"/>
              </w:rPr>
              <w:t>、</w:t>
            </w:r>
            <w:r>
              <w:rPr>
                <w:rFonts w:hint="default" w:ascii="Times New Roman" w:hAnsi="Times New Roman" w:eastAsia="宋体" w:cs="Times New Roman"/>
                <w:color w:val="auto"/>
                <w:sz w:val="21"/>
                <w:szCs w:val="21"/>
                <w:highlight w:val="none"/>
                <w:lang w:val="en-US" w:eastAsia="zh-CN"/>
              </w:rPr>
              <w:t>氟化物、</w:t>
            </w:r>
            <w:r>
              <w:rPr>
                <w:rFonts w:hint="default" w:ascii="Times New Roman" w:hAnsi="Times New Roman" w:eastAsia="宋体" w:cs="Times New Roman"/>
                <w:color w:val="auto"/>
                <w:sz w:val="21"/>
                <w:szCs w:val="21"/>
                <w:lang w:val="en-US" w:eastAsia="zh-CN"/>
              </w:rPr>
              <w:t>氯化氢、硫酸雾</w:t>
            </w:r>
          </w:p>
        </w:tc>
        <w:tc>
          <w:tcPr>
            <w:tcW w:w="1271" w:type="dxa"/>
            <w:vAlign w:val="center"/>
          </w:tcPr>
          <w:p w14:paraId="24CFFF70">
            <w:pPr>
              <w:jc w:val="center"/>
              <w:rPr>
                <w:rFonts w:hint="eastAsia" w:eastAsia="宋体"/>
                <w:szCs w:val="21"/>
                <w:lang w:eastAsia="zh-CN"/>
              </w:rPr>
            </w:pPr>
            <w:r>
              <w:rPr>
                <w:rFonts w:hint="eastAsia"/>
                <w:szCs w:val="21"/>
                <w:lang w:val="en-US" w:eastAsia="zh-CN"/>
              </w:rPr>
              <w:t>1</w:t>
            </w:r>
          </w:p>
        </w:tc>
        <w:tc>
          <w:tcPr>
            <w:tcW w:w="2211" w:type="dxa"/>
            <w:vAlign w:val="center"/>
          </w:tcPr>
          <w:p w14:paraId="5A873F4E">
            <w:pPr>
              <w:jc w:val="center"/>
              <w:rPr>
                <w:szCs w:val="21"/>
              </w:rPr>
            </w:pPr>
            <w:r>
              <w:rPr>
                <w:szCs w:val="21"/>
              </w:rPr>
              <w:t>采样3次/天，共2天</w:t>
            </w:r>
          </w:p>
        </w:tc>
      </w:tr>
      <w:tr w14:paraId="11EB59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vMerge w:val="continue"/>
            <w:vAlign w:val="center"/>
          </w:tcPr>
          <w:p w14:paraId="0A4379F3">
            <w:pPr>
              <w:jc w:val="center"/>
              <w:rPr>
                <w:szCs w:val="21"/>
              </w:rPr>
            </w:pPr>
          </w:p>
        </w:tc>
        <w:tc>
          <w:tcPr>
            <w:tcW w:w="2238" w:type="dxa"/>
            <w:shd w:val="clear" w:color="auto" w:fill="auto"/>
            <w:vAlign w:val="center"/>
          </w:tcPr>
          <w:p w14:paraId="59AA0E68">
            <w:pPr>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highlight w:val="none"/>
              </w:rPr>
              <w:t>B0</w:t>
            </w:r>
            <w:r>
              <w:rPr>
                <w:rFonts w:hint="default" w:ascii="Times New Roman" w:hAnsi="Times New Roman" w:eastAsia="宋体" w:cs="Times New Roman"/>
                <w:szCs w:val="21"/>
                <w:highlight w:val="none"/>
                <w:lang w:val="en-US" w:eastAsia="zh-CN"/>
              </w:rPr>
              <w:t>3</w:t>
            </w:r>
            <w:r>
              <w:rPr>
                <w:rFonts w:hint="default" w:ascii="Times New Roman" w:hAnsi="Times New Roman" w:eastAsia="宋体" w:cs="Times New Roman"/>
                <w:szCs w:val="21"/>
                <w:highlight w:val="none"/>
              </w:rPr>
              <w:t>厂房外A</w:t>
            </w:r>
            <w:r>
              <w:rPr>
                <w:rFonts w:hint="eastAsia" w:ascii="Times New Roman" w:hAnsi="Times New Roman" w:eastAsia="宋体" w:cs="Times New Roman"/>
                <w:szCs w:val="21"/>
                <w:highlight w:val="none"/>
                <w:lang w:val="en-US" w:eastAsia="zh-CN"/>
              </w:rPr>
              <w:t>3</w:t>
            </w:r>
          </w:p>
        </w:tc>
        <w:tc>
          <w:tcPr>
            <w:tcW w:w="2410" w:type="dxa"/>
            <w:shd w:val="clear" w:color="auto" w:fill="auto"/>
            <w:vAlign w:val="center"/>
          </w:tcPr>
          <w:p w14:paraId="6BF78F49">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非甲烷总烃</w:t>
            </w:r>
          </w:p>
        </w:tc>
        <w:tc>
          <w:tcPr>
            <w:tcW w:w="1271" w:type="dxa"/>
            <w:vAlign w:val="center"/>
          </w:tcPr>
          <w:p w14:paraId="1340C5C1">
            <w:pPr>
              <w:jc w:val="center"/>
              <w:rPr>
                <w:szCs w:val="21"/>
              </w:rPr>
            </w:pPr>
            <w:r>
              <w:rPr>
                <w:rFonts w:hint="eastAsia"/>
                <w:szCs w:val="21"/>
              </w:rPr>
              <w:t>1</w:t>
            </w:r>
          </w:p>
        </w:tc>
        <w:tc>
          <w:tcPr>
            <w:tcW w:w="2211" w:type="dxa"/>
            <w:vAlign w:val="center"/>
          </w:tcPr>
          <w:p w14:paraId="36EF35AF">
            <w:pPr>
              <w:jc w:val="center"/>
              <w:rPr>
                <w:szCs w:val="21"/>
              </w:rPr>
            </w:pPr>
            <w:r>
              <w:rPr>
                <w:rFonts w:hint="default" w:ascii="Times New Roman" w:hAnsi="Times New Roman" w:eastAsia="宋体" w:cs="Times New Roman"/>
                <w:szCs w:val="21"/>
              </w:rPr>
              <w:t>一小时内等时间间隔采样3次</w:t>
            </w:r>
            <w:r>
              <w:rPr>
                <w:rFonts w:hint="default" w:ascii="Times New Roman" w:hAnsi="Times New Roman" w:eastAsia="宋体" w:cs="Times New Roman"/>
                <w:szCs w:val="21"/>
                <w:lang w:val="en-US" w:eastAsia="zh-CN"/>
              </w:rPr>
              <w:t>/天</w:t>
            </w:r>
            <w:r>
              <w:rPr>
                <w:rFonts w:hint="default" w:ascii="Times New Roman" w:hAnsi="Times New Roman" w:eastAsia="宋体" w:cs="Times New Roman"/>
                <w:szCs w:val="21"/>
              </w:rPr>
              <w:t>，共2天</w:t>
            </w:r>
          </w:p>
        </w:tc>
      </w:tr>
      <w:tr w14:paraId="163D71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6" w:type="dxa"/>
            <w:shd w:val="clear" w:color="auto" w:fill="auto"/>
            <w:vAlign w:val="center"/>
          </w:tcPr>
          <w:p w14:paraId="5DA94963">
            <w:pPr>
              <w:jc w:val="center"/>
              <w:rPr>
                <w:rFonts w:ascii="Times New Roman" w:hAnsi="Times New Roman" w:eastAsia="宋体" w:cs="Times New Roman"/>
                <w:szCs w:val="21"/>
              </w:rPr>
            </w:pPr>
            <w:r>
              <w:rPr>
                <w:rFonts w:ascii="Times New Roman" w:hAnsi="Times New Roman" w:eastAsia="宋体" w:cs="Times New Roman"/>
                <w:szCs w:val="21"/>
              </w:rPr>
              <w:t>厂界</w:t>
            </w:r>
          </w:p>
          <w:p w14:paraId="0CDE4F00">
            <w:pPr>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噪声</w:t>
            </w:r>
          </w:p>
        </w:tc>
        <w:tc>
          <w:tcPr>
            <w:tcW w:w="2238" w:type="dxa"/>
            <w:shd w:val="clear" w:color="auto" w:fill="auto"/>
            <w:vAlign w:val="center"/>
          </w:tcPr>
          <w:p w14:paraId="47897456">
            <w:pPr>
              <w:jc w:val="center"/>
              <w:rPr>
                <w:rFonts w:hint="eastAsia" w:ascii="Times New Roman" w:hAnsi="Times New Roman" w:eastAsia="宋体" w:cs="Times New Roman"/>
                <w:kern w:val="2"/>
                <w:sz w:val="21"/>
                <w:szCs w:val="21"/>
                <w:lang w:val="en-US" w:eastAsia="zh-CN" w:bidi="ar-SA"/>
              </w:rPr>
            </w:pPr>
            <w:r>
              <w:rPr>
                <w:rFonts w:ascii="Times New Roman" w:hAnsi="Times New Roman" w:eastAsia="宋体" w:cs="Times New Roman"/>
                <w:szCs w:val="21"/>
                <w:highlight w:val="none"/>
              </w:rPr>
              <w:t>厂界C1</w:t>
            </w:r>
            <w:r>
              <w:rPr>
                <w:rFonts w:hint="eastAsia" w:ascii="Times New Roman" w:hAnsi="Times New Roman" w:eastAsia="宋体" w:cs="Times New Roman"/>
                <w:szCs w:val="21"/>
                <w:highlight w:val="none"/>
              </w:rPr>
              <w:t>~</w:t>
            </w:r>
            <w:r>
              <w:rPr>
                <w:rFonts w:ascii="Times New Roman" w:hAnsi="Times New Roman" w:eastAsia="宋体" w:cs="Times New Roman"/>
                <w:szCs w:val="21"/>
                <w:highlight w:val="none"/>
              </w:rPr>
              <w:t>C</w:t>
            </w:r>
            <w:r>
              <w:rPr>
                <w:rFonts w:hint="eastAsia" w:ascii="Times New Roman" w:hAnsi="Times New Roman" w:eastAsia="宋体" w:cs="Times New Roman"/>
                <w:szCs w:val="21"/>
                <w:highlight w:val="none"/>
                <w:lang w:val="en-US" w:eastAsia="zh-CN"/>
              </w:rPr>
              <w:t>4</w:t>
            </w:r>
          </w:p>
        </w:tc>
        <w:tc>
          <w:tcPr>
            <w:tcW w:w="2410" w:type="dxa"/>
            <w:shd w:val="clear" w:color="auto" w:fill="auto"/>
            <w:vAlign w:val="center"/>
          </w:tcPr>
          <w:p w14:paraId="7F40F010">
            <w:pPr>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厂界噪声</w:t>
            </w:r>
          </w:p>
        </w:tc>
        <w:tc>
          <w:tcPr>
            <w:tcW w:w="1271" w:type="dxa"/>
            <w:shd w:val="clear" w:color="auto" w:fill="auto"/>
            <w:vAlign w:val="center"/>
          </w:tcPr>
          <w:p w14:paraId="79469A6F">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4</w:t>
            </w:r>
          </w:p>
        </w:tc>
        <w:tc>
          <w:tcPr>
            <w:tcW w:w="2211" w:type="dxa"/>
            <w:shd w:val="clear" w:color="auto" w:fill="auto"/>
            <w:vAlign w:val="center"/>
          </w:tcPr>
          <w:p w14:paraId="249F81A6">
            <w:pPr>
              <w:jc w:val="center"/>
              <w:rPr>
                <w:rFonts w:hint="default"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昼</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夜</w:t>
            </w:r>
            <w:r>
              <w:rPr>
                <w:rFonts w:hint="eastAsia" w:ascii="Times New Roman" w:hAnsi="Times New Roman" w:eastAsia="宋体" w:cs="Times New Roman"/>
                <w:szCs w:val="21"/>
              </w:rPr>
              <w:t>间</w:t>
            </w:r>
            <w:r>
              <w:rPr>
                <w:rFonts w:hint="eastAsia" w:ascii="Times New Roman" w:hAnsi="Times New Roman" w:eastAsia="宋体" w:cs="Times New Roman"/>
                <w:szCs w:val="21"/>
                <w:lang w:val="en-US" w:eastAsia="zh-CN"/>
              </w:rPr>
              <w:t>各</w:t>
            </w:r>
            <w:r>
              <w:rPr>
                <w:rFonts w:ascii="Times New Roman" w:hAnsi="Times New Roman" w:eastAsia="宋体" w:cs="Times New Roman"/>
                <w:szCs w:val="21"/>
              </w:rPr>
              <w:t>监测1次，共2天</w:t>
            </w:r>
          </w:p>
        </w:tc>
      </w:tr>
    </w:tbl>
    <w:p w14:paraId="6C738849">
      <w:pPr>
        <w:pStyle w:val="4"/>
        <w:spacing w:before="156" w:beforeLines="50" w:after="156" w:afterLines="50" w:line="360" w:lineRule="auto"/>
        <w:rPr>
          <w:sz w:val="24"/>
          <w:szCs w:val="24"/>
        </w:rPr>
      </w:pPr>
      <w:r>
        <w:rPr>
          <w:rFonts w:hint="eastAsia"/>
          <w:sz w:val="24"/>
          <w:szCs w:val="24"/>
        </w:rPr>
        <w:t>7.1</w:t>
      </w:r>
      <w:r>
        <w:rPr>
          <w:sz w:val="24"/>
          <w:szCs w:val="24"/>
        </w:rPr>
        <w:t>.2</w:t>
      </w:r>
      <w:r>
        <w:rPr>
          <w:rFonts w:hint="eastAsia"/>
          <w:sz w:val="24"/>
          <w:szCs w:val="24"/>
        </w:rPr>
        <w:t xml:space="preserve"> 监测布点示意图</w:t>
      </w:r>
    </w:p>
    <w:p w14:paraId="027F46B7">
      <w:pPr>
        <w:spacing w:line="360" w:lineRule="auto"/>
        <w:ind w:firstLine="480" w:firstLineChars="200"/>
        <w:rPr>
          <w:rFonts w:hint="default" w:eastAsia="宋体"/>
          <w:sz w:val="24"/>
          <w:szCs w:val="24"/>
          <w:highlight w:val="none"/>
          <w:lang w:val="en-US" w:eastAsia="zh-CN"/>
        </w:rPr>
      </w:pPr>
      <w:r>
        <w:rPr>
          <w:rFonts w:hint="eastAsia"/>
          <w:sz w:val="24"/>
          <w:szCs w:val="24"/>
          <w:highlight w:val="none"/>
        </w:rPr>
        <w:t>本项目废水、废气监测点示意图详见</w:t>
      </w:r>
      <w:r>
        <w:rPr>
          <w:rFonts w:hint="eastAsia"/>
          <w:sz w:val="24"/>
          <w:szCs w:val="24"/>
          <w:highlight w:val="none"/>
          <w:lang w:val="en-US" w:eastAsia="zh-CN"/>
        </w:rPr>
        <w:t>图7-1；噪声监测点示意图详见图7-2；无组织氟化物监测示意图来源于分包单位重庆渝久环保产业有限公司“渝久（监）字【2025】第YS14号”号报告，详见图7-3。</w:t>
      </w:r>
    </w:p>
    <w:p w14:paraId="0961900F">
      <w:pPr>
        <w:spacing w:line="360" w:lineRule="auto"/>
        <w:jc w:val="center"/>
        <w:rPr>
          <w:rFonts w:ascii="宋体" w:hAnsi="宋体"/>
        </w:rPr>
      </w:pPr>
      <w:r>
        <w:rPr>
          <w:rFonts w:ascii="宋体" w:hAnsi="宋体"/>
        </w:rPr>
        <w:drawing>
          <wp:inline distT="0" distB="0" distL="0" distR="0">
            <wp:extent cx="4479925" cy="5375910"/>
            <wp:effectExtent l="0" t="0" r="15875" b="15240"/>
            <wp:docPr id="666073797"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73797" name="图片 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479925" cy="5375910"/>
                    </a:xfrm>
                    <a:prstGeom prst="rect">
                      <a:avLst/>
                    </a:prstGeom>
                    <a:noFill/>
                    <a:ln>
                      <a:noFill/>
                    </a:ln>
                  </pic:spPr>
                </pic:pic>
              </a:graphicData>
            </a:graphic>
          </wp:inline>
        </w:drawing>
      </w:r>
    </w:p>
    <w:p w14:paraId="36B664DE">
      <w:pPr>
        <w:spacing w:line="360" w:lineRule="auto"/>
        <w:jc w:val="center"/>
        <w:rPr>
          <w:rFonts w:hint="eastAsia"/>
          <w:sz w:val="21"/>
          <w:szCs w:val="21"/>
          <w:lang w:val="en-US" w:eastAsia="zh-CN"/>
        </w:rPr>
      </w:pPr>
      <w:r>
        <w:rPr>
          <w:rFonts w:hint="eastAsia"/>
          <w:sz w:val="21"/>
          <w:szCs w:val="21"/>
          <w:lang w:val="en-US" w:eastAsia="zh-CN"/>
        </w:rPr>
        <w:t>图例</w:t>
      </w:r>
      <w:r>
        <w:rPr>
          <w:rFonts w:hint="eastAsia"/>
          <w:sz w:val="21"/>
          <w:szCs w:val="21"/>
        </w:rPr>
        <w:t>：○</w:t>
      </w:r>
      <w:r>
        <w:rPr>
          <w:rFonts w:hint="default"/>
          <w:sz w:val="24"/>
          <w:szCs w:val="24"/>
        </w:rPr>
        <w:t>—</w:t>
      </w:r>
      <w:r>
        <w:rPr>
          <w:rFonts w:hint="eastAsia"/>
          <w:sz w:val="21"/>
          <w:szCs w:val="21"/>
        </w:rPr>
        <w:t>无组织废气监测点，◎</w:t>
      </w:r>
      <w:r>
        <w:rPr>
          <w:rFonts w:hint="default"/>
          <w:sz w:val="24"/>
          <w:szCs w:val="24"/>
        </w:rPr>
        <w:t>—</w:t>
      </w:r>
      <w:r>
        <w:rPr>
          <w:rFonts w:hint="eastAsia"/>
          <w:sz w:val="21"/>
          <w:szCs w:val="21"/>
        </w:rPr>
        <w:t>有组织废气监测点，★</w:t>
      </w:r>
      <w:r>
        <w:rPr>
          <w:rFonts w:hint="default"/>
          <w:sz w:val="24"/>
          <w:szCs w:val="24"/>
        </w:rPr>
        <w:t>—</w:t>
      </w:r>
      <w:r>
        <w:rPr>
          <w:rFonts w:hint="eastAsia"/>
          <w:sz w:val="21"/>
          <w:szCs w:val="21"/>
        </w:rPr>
        <w:t>废水监测</w:t>
      </w:r>
      <w:r>
        <w:rPr>
          <w:rFonts w:hint="eastAsia"/>
          <w:sz w:val="21"/>
          <w:szCs w:val="21"/>
          <w:lang w:val="en-US" w:eastAsia="zh-CN"/>
        </w:rPr>
        <w:t>点</w:t>
      </w:r>
    </w:p>
    <w:p w14:paraId="6A48FC07">
      <w:pPr>
        <w:spacing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图7-1</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lang w:val="en-US" w:eastAsia="zh-CN"/>
        </w:rPr>
        <w:t>废气、废水监测布点示意图</w:t>
      </w:r>
      <w:r>
        <w:rPr>
          <w:rFonts w:hint="default" w:ascii="Times New Roman" w:hAnsi="Times New Roman" w:eastAsia="宋体" w:cs="Times New Roman"/>
          <w:b/>
          <w:bCs/>
          <w:sz w:val="24"/>
          <w:szCs w:val="24"/>
        </w:rPr>
        <w:t>点</w:t>
      </w:r>
    </w:p>
    <w:p w14:paraId="50A97C6E">
      <w:pPr>
        <w:spacing w:line="360" w:lineRule="auto"/>
        <w:jc w:val="center"/>
        <w:rPr>
          <w:rFonts w:ascii="宋体" w:hAnsi="宋体"/>
        </w:rPr>
      </w:pPr>
      <w:r>
        <w:rPr>
          <w:sz w:val="32"/>
          <w:szCs w:val="32"/>
        </w:rPr>
        <w:drawing>
          <wp:inline distT="0" distB="0" distL="0" distR="0">
            <wp:extent cx="5563235" cy="2977515"/>
            <wp:effectExtent l="0" t="0" r="18415" b="13335"/>
            <wp:docPr id="8217256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25650" name="图片 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563235" cy="2977515"/>
                    </a:xfrm>
                    <a:prstGeom prst="rect">
                      <a:avLst/>
                    </a:prstGeom>
                  </pic:spPr>
                </pic:pic>
              </a:graphicData>
            </a:graphic>
          </wp:inline>
        </w:drawing>
      </w:r>
    </w:p>
    <w:p w14:paraId="522061C8">
      <w:pPr>
        <w:spacing w:line="360" w:lineRule="auto"/>
        <w:jc w:val="both"/>
        <w:rPr>
          <w:rFonts w:hint="eastAsia" w:eastAsia="宋体"/>
          <w:sz w:val="21"/>
          <w:szCs w:val="21"/>
          <w:lang w:val="en-US" w:eastAsia="zh-CN"/>
        </w:rPr>
      </w:pPr>
      <w:r>
        <w:rPr>
          <w:rFonts w:hint="eastAsia"/>
          <w:sz w:val="21"/>
          <w:szCs w:val="21"/>
          <w:lang w:val="en-US" w:eastAsia="zh-CN"/>
        </w:rPr>
        <w:t>图例</w:t>
      </w:r>
      <w:r>
        <w:rPr>
          <w:rFonts w:hint="eastAsia"/>
          <w:sz w:val="21"/>
          <w:szCs w:val="21"/>
        </w:rPr>
        <w:t>：</w:t>
      </w:r>
      <w:r>
        <w:rPr>
          <w:rFonts w:hint="eastAsia"/>
          <w:sz w:val="21"/>
          <w:szCs w:val="21"/>
          <w:lang w:val="en-US" w:eastAsia="zh-CN"/>
        </w:rPr>
        <w:t>▲</w:t>
      </w:r>
      <w:r>
        <w:rPr>
          <w:rFonts w:hint="default"/>
          <w:sz w:val="24"/>
          <w:szCs w:val="24"/>
        </w:rPr>
        <w:t>—</w:t>
      </w:r>
      <w:r>
        <w:rPr>
          <w:rFonts w:hint="eastAsia"/>
          <w:sz w:val="21"/>
          <w:szCs w:val="21"/>
          <w:lang w:val="en-US" w:eastAsia="zh-CN"/>
        </w:rPr>
        <w:t>噪声监测点</w:t>
      </w:r>
    </w:p>
    <w:p w14:paraId="0DB73F75">
      <w:pPr>
        <w:spacing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图7-2 噪声监测布点示意图</w:t>
      </w:r>
      <w:r>
        <w:rPr>
          <w:rFonts w:hint="default" w:ascii="Times New Roman" w:hAnsi="Times New Roman" w:eastAsia="宋体" w:cs="Times New Roman"/>
          <w:b/>
          <w:bCs/>
          <w:sz w:val="24"/>
          <w:szCs w:val="24"/>
        </w:rPr>
        <w:t>点</w:t>
      </w:r>
    </w:p>
    <w:p w14:paraId="1DE41F2C">
      <w:pPr>
        <w:spacing w:line="360" w:lineRule="auto"/>
        <w:jc w:val="center"/>
        <w:rPr>
          <w:rFonts w:hint="default" w:ascii="Times New Roman" w:hAnsi="Times New Roman" w:eastAsia="宋体" w:cs="Times New Roman"/>
          <w:b/>
          <w:bCs/>
          <w:sz w:val="24"/>
          <w:szCs w:val="24"/>
        </w:rPr>
      </w:pPr>
    </w:p>
    <w:p w14:paraId="63616F2D">
      <w:pPr>
        <w:spacing w:line="360" w:lineRule="auto"/>
        <w:jc w:val="center"/>
        <w:rPr>
          <w:rFonts w:hint="eastAsia"/>
        </w:rPr>
      </w:pPr>
      <w:r>
        <w:rPr>
          <w:color w:val="000000"/>
        </w:rPr>
        <w:drawing>
          <wp:inline distT="0" distB="0" distL="114300" distR="114300">
            <wp:extent cx="5484495" cy="3486150"/>
            <wp:effectExtent l="0" t="0" r="1905"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33"/>
                    <a:stretch>
                      <a:fillRect/>
                    </a:stretch>
                  </pic:blipFill>
                  <pic:spPr>
                    <a:xfrm>
                      <a:off x="0" y="0"/>
                      <a:ext cx="5484495" cy="3486150"/>
                    </a:xfrm>
                    <a:prstGeom prst="rect">
                      <a:avLst/>
                    </a:prstGeom>
                    <a:noFill/>
                    <a:ln>
                      <a:noFill/>
                    </a:ln>
                  </pic:spPr>
                </pic:pic>
              </a:graphicData>
            </a:graphic>
          </wp:inline>
        </w:drawing>
      </w:r>
    </w:p>
    <w:p w14:paraId="23FCB501">
      <w:pPr>
        <w:spacing w:line="360" w:lineRule="auto"/>
        <w:rPr>
          <w:rFonts w:hint="default"/>
          <w:sz w:val="21"/>
          <w:szCs w:val="21"/>
          <w:lang w:eastAsia="zh-CN"/>
        </w:rPr>
      </w:pPr>
      <w:r>
        <w:rPr>
          <w:rFonts w:hint="default"/>
          <w:sz w:val="21"/>
          <w:szCs w:val="21"/>
        </w:rPr>
        <w:t>图例：</w:t>
      </w:r>
      <w:r>
        <w:rPr>
          <w:rFonts w:hint="eastAsia"/>
          <w:sz w:val="21"/>
          <w:szCs w:val="21"/>
          <w:lang w:eastAsia="zh-CN"/>
        </w:rPr>
        <w:t>○</w:t>
      </w:r>
      <w:r>
        <w:rPr>
          <w:rFonts w:hint="default"/>
          <w:sz w:val="21"/>
          <w:szCs w:val="21"/>
        </w:rPr>
        <w:t>—</w:t>
      </w:r>
      <w:r>
        <w:rPr>
          <w:rFonts w:hint="default"/>
          <w:sz w:val="21"/>
          <w:szCs w:val="21"/>
          <w:lang w:eastAsia="zh-CN"/>
        </w:rPr>
        <w:t>无组织废气监测点</w:t>
      </w:r>
    </w:p>
    <w:p w14:paraId="4010AF83">
      <w:pPr>
        <w:spacing w:line="360" w:lineRule="auto"/>
        <w:jc w:val="center"/>
        <w:rPr>
          <w:sz w:val="24"/>
          <w:szCs w:val="24"/>
        </w:rPr>
        <w:sectPr>
          <w:pgSz w:w="11906" w:h="16838"/>
          <w:pgMar w:top="1440" w:right="1440" w:bottom="1440" w:left="1440" w:header="851" w:footer="992" w:gutter="0"/>
          <w:cols w:space="720" w:num="1"/>
          <w:docGrid w:type="linesAndChars" w:linePitch="312" w:charSpace="0"/>
        </w:sectPr>
      </w:pPr>
      <w:r>
        <w:rPr>
          <w:rFonts w:hint="default" w:ascii="Times New Roman" w:hAnsi="Times New Roman" w:cs="Times New Roman"/>
          <w:b/>
          <w:bCs/>
          <w:sz w:val="24"/>
          <w:szCs w:val="24"/>
        </w:rPr>
        <w:t>图</w:t>
      </w:r>
      <w:r>
        <w:rPr>
          <w:rFonts w:hint="default" w:ascii="Times New Roman" w:hAnsi="Times New Roman" w:cs="Times New Roman"/>
          <w:b/>
          <w:bCs/>
          <w:sz w:val="24"/>
          <w:szCs w:val="24"/>
          <w:lang w:val="en-US" w:eastAsia="zh-CN"/>
        </w:rPr>
        <w:t>7-3</w:t>
      </w:r>
      <w:r>
        <w:rPr>
          <w:rFonts w:hint="default" w:ascii="Times New Roman" w:hAnsi="Times New Roman" w:cs="Times New Roman"/>
          <w:b/>
          <w:bCs/>
          <w:sz w:val="24"/>
          <w:szCs w:val="24"/>
        </w:rPr>
        <w:t xml:space="preserve"> </w:t>
      </w:r>
      <w:r>
        <w:rPr>
          <w:rFonts w:hint="default" w:ascii="Times New Roman" w:hAnsi="Times New Roman" w:cs="Times New Roman"/>
          <w:b/>
          <w:bCs/>
          <w:sz w:val="24"/>
          <w:szCs w:val="24"/>
          <w:lang w:eastAsia="zh-CN"/>
        </w:rPr>
        <w:t>无组织废气</w:t>
      </w:r>
      <w:r>
        <w:rPr>
          <w:rFonts w:hint="default" w:ascii="Times New Roman" w:hAnsi="Times New Roman" w:cs="Times New Roman"/>
          <w:b/>
          <w:bCs/>
          <w:sz w:val="24"/>
          <w:szCs w:val="24"/>
          <w:lang w:val="en-US" w:eastAsia="zh-CN"/>
        </w:rPr>
        <w:t>氟化物</w:t>
      </w:r>
      <w:r>
        <w:rPr>
          <w:rFonts w:hint="default" w:ascii="Times New Roman" w:hAnsi="Times New Roman" w:cs="Times New Roman"/>
          <w:b/>
          <w:bCs/>
          <w:sz w:val="24"/>
          <w:szCs w:val="24"/>
        </w:rPr>
        <w:t>监测布点示意图</w:t>
      </w:r>
    </w:p>
    <w:p w14:paraId="1345BEA1">
      <w:pPr>
        <w:pStyle w:val="2"/>
      </w:pPr>
      <w:bookmarkStart w:id="191" w:name="_Toc548"/>
      <w:bookmarkStart w:id="192" w:name="_Toc513474993"/>
      <w:bookmarkStart w:id="193" w:name="_Toc520988572"/>
      <w:r>
        <w:t>8质量保证及质量控制</w:t>
      </w:r>
      <w:bookmarkEnd w:id="191"/>
      <w:bookmarkEnd w:id="192"/>
      <w:bookmarkEnd w:id="193"/>
    </w:p>
    <w:p w14:paraId="75AED431">
      <w:pPr>
        <w:pStyle w:val="3"/>
      </w:pPr>
      <w:bookmarkStart w:id="194" w:name="_Toc1263"/>
      <w:bookmarkStart w:id="195" w:name="_Toc520988573"/>
      <w:bookmarkStart w:id="196" w:name="_Toc513474994"/>
      <w:r>
        <w:t>8.1监测分析方法</w:t>
      </w:r>
      <w:bookmarkEnd w:id="194"/>
      <w:bookmarkEnd w:id="195"/>
      <w:bookmarkEnd w:id="196"/>
    </w:p>
    <w:p w14:paraId="4F0F545C">
      <w:pPr>
        <w:spacing w:line="360" w:lineRule="auto"/>
        <w:ind w:firstLine="480" w:firstLineChars="200"/>
        <w:rPr>
          <w:sz w:val="24"/>
          <w:szCs w:val="24"/>
        </w:rPr>
      </w:pPr>
      <w:r>
        <w:rPr>
          <w:sz w:val="24"/>
          <w:szCs w:val="24"/>
        </w:rPr>
        <w:t>监测分析方法详见表8-1：</w:t>
      </w:r>
    </w:p>
    <w:p w14:paraId="1A24314E">
      <w:pPr>
        <w:jc w:val="center"/>
        <w:rPr>
          <w:b/>
          <w:szCs w:val="21"/>
        </w:rPr>
      </w:pPr>
      <w:r>
        <w:rPr>
          <w:b/>
          <w:szCs w:val="21"/>
        </w:rPr>
        <w:t>表8-1  监测方法一览表</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08"/>
        <w:gridCol w:w="7038"/>
      </w:tblGrid>
      <w:tr w14:paraId="51B953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908" w:type="dxa"/>
            <w:vAlign w:val="center"/>
          </w:tcPr>
          <w:p w14:paraId="798435AE">
            <w:pPr>
              <w:jc w:val="center"/>
              <w:rPr>
                <w:szCs w:val="21"/>
              </w:rPr>
            </w:pPr>
            <w:r>
              <w:rPr>
                <w:rFonts w:hint="eastAsia"/>
                <w:szCs w:val="21"/>
              </w:rPr>
              <w:t>监</w:t>
            </w:r>
            <w:r>
              <w:rPr>
                <w:szCs w:val="21"/>
              </w:rPr>
              <w:t>测项目</w:t>
            </w:r>
          </w:p>
        </w:tc>
        <w:tc>
          <w:tcPr>
            <w:tcW w:w="7038" w:type="dxa"/>
            <w:vAlign w:val="center"/>
          </w:tcPr>
          <w:p w14:paraId="600C44D4">
            <w:pPr>
              <w:jc w:val="center"/>
              <w:rPr>
                <w:szCs w:val="21"/>
              </w:rPr>
            </w:pPr>
            <w:r>
              <w:rPr>
                <w:szCs w:val="21"/>
              </w:rPr>
              <w:t>依据的标准方法名称及标准号</w:t>
            </w:r>
          </w:p>
        </w:tc>
      </w:tr>
      <w:tr w14:paraId="53393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vAlign w:val="center"/>
          </w:tcPr>
          <w:p w14:paraId="4DB7ECB6">
            <w:pPr>
              <w:jc w:val="center"/>
              <w:rPr>
                <w:color w:val="auto"/>
                <w:szCs w:val="21"/>
              </w:rPr>
            </w:pPr>
            <w:r>
              <w:rPr>
                <w:rFonts w:hint="eastAsia"/>
                <w:color w:val="auto"/>
                <w:szCs w:val="21"/>
              </w:rPr>
              <w:t>pH值</w:t>
            </w:r>
          </w:p>
        </w:tc>
        <w:tc>
          <w:tcPr>
            <w:tcW w:w="7038" w:type="dxa"/>
            <w:vAlign w:val="center"/>
          </w:tcPr>
          <w:p w14:paraId="2400F163">
            <w:pPr>
              <w:jc w:val="left"/>
              <w:rPr>
                <w:rFonts w:ascii="宋体" w:hAnsi="宋体" w:cs="宋体"/>
                <w:color w:val="auto"/>
                <w:kern w:val="0"/>
                <w:szCs w:val="21"/>
                <w:lang w:bidi="ar"/>
              </w:rPr>
            </w:pPr>
            <w:r>
              <w:rPr>
                <w:rFonts w:hint="eastAsia" w:ascii="宋体" w:hAnsi="宋体" w:cs="宋体"/>
                <w:color w:val="auto"/>
                <w:kern w:val="0"/>
                <w:szCs w:val="21"/>
                <w:lang w:bidi="ar"/>
              </w:rPr>
              <w:t>水质</w:t>
            </w:r>
            <w:r>
              <w:rPr>
                <w:color w:val="auto"/>
                <w:kern w:val="0"/>
                <w:szCs w:val="21"/>
                <w:lang w:bidi="ar"/>
              </w:rPr>
              <w:t xml:space="preserve"> pH</w:t>
            </w:r>
            <w:r>
              <w:rPr>
                <w:rFonts w:hint="eastAsia" w:ascii="宋体" w:hAnsi="宋体" w:cs="宋体"/>
                <w:color w:val="auto"/>
                <w:kern w:val="0"/>
                <w:szCs w:val="21"/>
                <w:lang w:bidi="ar"/>
              </w:rPr>
              <w:t>值的测定</w:t>
            </w:r>
            <w:r>
              <w:rPr>
                <w:color w:val="auto"/>
                <w:kern w:val="0"/>
                <w:szCs w:val="21"/>
                <w:lang w:bidi="ar"/>
              </w:rPr>
              <w:t xml:space="preserve"> </w:t>
            </w:r>
            <w:r>
              <w:rPr>
                <w:rFonts w:hint="eastAsia" w:ascii="宋体" w:hAnsi="宋体" w:cs="宋体"/>
                <w:color w:val="auto"/>
                <w:kern w:val="0"/>
                <w:szCs w:val="21"/>
                <w:lang w:bidi="ar"/>
              </w:rPr>
              <w:t>电极法</w:t>
            </w:r>
            <w:r>
              <w:rPr>
                <w:color w:val="auto"/>
                <w:kern w:val="0"/>
                <w:szCs w:val="21"/>
                <w:lang w:bidi="ar"/>
              </w:rPr>
              <w:t xml:space="preserve"> HJ</w:t>
            </w:r>
            <w:r>
              <w:rPr>
                <w:rFonts w:hint="eastAsia"/>
                <w:color w:val="auto"/>
                <w:kern w:val="0"/>
                <w:szCs w:val="21"/>
                <w:lang w:bidi="ar"/>
              </w:rPr>
              <w:t xml:space="preserve"> </w:t>
            </w:r>
            <w:r>
              <w:rPr>
                <w:color w:val="auto"/>
                <w:kern w:val="0"/>
                <w:szCs w:val="21"/>
                <w:lang w:bidi="ar"/>
              </w:rPr>
              <w:t>1147-2020</w:t>
            </w:r>
          </w:p>
        </w:tc>
      </w:tr>
      <w:tr w14:paraId="3740D0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shd w:val="clear" w:color="auto" w:fill="auto"/>
            <w:vAlign w:val="center"/>
          </w:tcPr>
          <w:p w14:paraId="13A893DC">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氨氮</w:t>
            </w:r>
          </w:p>
        </w:tc>
        <w:tc>
          <w:tcPr>
            <w:tcW w:w="7038" w:type="dxa"/>
            <w:shd w:val="clear" w:color="auto" w:fill="auto"/>
            <w:vAlign w:val="center"/>
          </w:tcPr>
          <w:p w14:paraId="29D54D6A">
            <w:pPr>
              <w:jc w:val="left"/>
              <w:rPr>
                <w:rFonts w:hint="eastAsia" w:ascii="宋体" w:hAnsi="宋体" w:eastAsia="宋体" w:cs="宋体"/>
                <w:color w:val="auto"/>
                <w:kern w:val="0"/>
                <w:sz w:val="21"/>
                <w:szCs w:val="21"/>
                <w:lang w:val="en-US" w:eastAsia="zh-CN" w:bidi="ar"/>
              </w:rPr>
            </w:pPr>
            <w:r>
              <w:rPr>
                <w:rFonts w:hint="eastAsia" w:ascii="宋体" w:hAnsi="宋体" w:cs="宋体"/>
                <w:color w:val="auto"/>
                <w:kern w:val="0"/>
                <w:szCs w:val="21"/>
                <w:lang w:bidi="ar"/>
              </w:rPr>
              <w:t>水质</w:t>
            </w:r>
            <w:r>
              <w:rPr>
                <w:color w:val="auto"/>
                <w:kern w:val="0"/>
                <w:szCs w:val="21"/>
                <w:lang w:bidi="ar"/>
              </w:rPr>
              <w:t xml:space="preserve"> </w:t>
            </w:r>
            <w:r>
              <w:rPr>
                <w:rFonts w:hint="eastAsia" w:ascii="宋体" w:hAnsi="宋体" w:cs="宋体"/>
                <w:color w:val="auto"/>
                <w:kern w:val="0"/>
                <w:szCs w:val="21"/>
                <w:lang w:bidi="ar"/>
              </w:rPr>
              <w:t>氨氮的测定</w:t>
            </w:r>
            <w:r>
              <w:rPr>
                <w:color w:val="auto"/>
                <w:kern w:val="0"/>
                <w:szCs w:val="21"/>
                <w:lang w:bidi="ar"/>
              </w:rPr>
              <w:t xml:space="preserve"> </w:t>
            </w:r>
            <w:r>
              <w:rPr>
                <w:rFonts w:hint="eastAsia" w:ascii="宋体" w:hAnsi="宋体" w:cs="宋体"/>
                <w:color w:val="auto"/>
                <w:kern w:val="0"/>
                <w:szCs w:val="21"/>
                <w:lang w:bidi="ar"/>
              </w:rPr>
              <w:t>蒸馏</w:t>
            </w:r>
            <w:r>
              <w:rPr>
                <w:color w:val="auto"/>
                <w:kern w:val="0"/>
                <w:szCs w:val="21"/>
                <w:lang w:bidi="ar"/>
              </w:rPr>
              <w:t>-</w:t>
            </w:r>
            <w:r>
              <w:rPr>
                <w:rFonts w:hint="eastAsia" w:ascii="宋体" w:hAnsi="宋体" w:cs="宋体"/>
                <w:color w:val="auto"/>
                <w:kern w:val="0"/>
                <w:szCs w:val="21"/>
                <w:lang w:bidi="ar"/>
              </w:rPr>
              <w:t>中和滴定法</w:t>
            </w:r>
            <w:r>
              <w:rPr>
                <w:color w:val="auto"/>
                <w:kern w:val="0"/>
                <w:szCs w:val="21"/>
                <w:lang w:bidi="ar"/>
              </w:rPr>
              <w:t xml:space="preserve"> HJ 537-2009</w:t>
            </w:r>
          </w:p>
        </w:tc>
      </w:tr>
      <w:tr w14:paraId="09BDF3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shd w:val="clear" w:color="auto" w:fill="auto"/>
            <w:vAlign w:val="center"/>
          </w:tcPr>
          <w:p w14:paraId="0C92EB02">
            <w:pPr>
              <w:jc w:val="center"/>
              <w:rPr>
                <w:rFonts w:ascii="Times New Roman" w:hAnsi="Times New Roman" w:eastAsia="宋体" w:cs="Times New Roman"/>
                <w:color w:val="auto"/>
                <w:kern w:val="2"/>
                <w:sz w:val="21"/>
                <w:szCs w:val="21"/>
                <w:lang w:val="en-US" w:eastAsia="zh-CN" w:bidi="ar-SA"/>
              </w:rPr>
            </w:pPr>
            <w:r>
              <w:rPr>
                <w:color w:val="auto"/>
                <w:szCs w:val="21"/>
              </w:rPr>
              <w:t>悬浮物</w:t>
            </w:r>
          </w:p>
        </w:tc>
        <w:tc>
          <w:tcPr>
            <w:tcW w:w="7038" w:type="dxa"/>
            <w:shd w:val="clear" w:color="auto" w:fill="auto"/>
            <w:vAlign w:val="center"/>
          </w:tcPr>
          <w:p w14:paraId="7B4E6678">
            <w:pPr>
              <w:jc w:val="left"/>
              <w:rPr>
                <w:rFonts w:ascii="Times New Roman" w:hAnsi="Times New Roman" w:eastAsia="宋体" w:cs="Times New Roman"/>
                <w:color w:val="auto"/>
                <w:kern w:val="2"/>
                <w:sz w:val="21"/>
                <w:szCs w:val="21"/>
                <w:lang w:val="en-US" w:eastAsia="zh-CN" w:bidi="ar-SA"/>
              </w:rPr>
            </w:pPr>
            <w:r>
              <w:rPr>
                <w:rFonts w:hint="eastAsia" w:ascii="宋体" w:hAnsi="宋体" w:cs="宋体"/>
                <w:color w:val="auto"/>
                <w:kern w:val="0"/>
                <w:szCs w:val="21"/>
                <w:lang w:bidi="ar"/>
              </w:rPr>
              <w:t>水质</w:t>
            </w:r>
            <w:r>
              <w:rPr>
                <w:color w:val="auto"/>
                <w:kern w:val="0"/>
                <w:szCs w:val="21"/>
                <w:lang w:bidi="ar"/>
              </w:rPr>
              <w:t xml:space="preserve"> </w:t>
            </w:r>
            <w:r>
              <w:rPr>
                <w:rFonts w:hint="eastAsia" w:ascii="宋体" w:hAnsi="宋体" w:cs="宋体"/>
                <w:color w:val="auto"/>
                <w:kern w:val="0"/>
                <w:szCs w:val="21"/>
                <w:lang w:bidi="ar"/>
              </w:rPr>
              <w:t>悬浮物的测定</w:t>
            </w:r>
            <w:r>
              <w:rPr>
                <w:color w:val="auto"/>
                <w:kern w:val="0"/>
                <w:szCs w:val="21"/>
                <w:lang w:bidi="ar"/>
              </w:rPr>
              <w:t xml:space="preserve"> </w:t>
            </w:r>
            <w:r>
              <w:rPr>
                <w:rFonts w:hint="eastAsia" w:ascii="宋体" w:hAnsi="宋体" w:cs="宋体"/>
                <w:color w:val="auto"/>
                <w:kern w:val="0"/>
                <w:szCs w:val="21"/>
                <w:lang w:bidi="ar"/>
              </w:rPr>
              <w:t>重量法</w:t>
            </w:r>
            <w:r>
              <w:rPr>
                <w:color w:val="auto"/>
                <w:kern w:val="0"/>
                <w:szCs w:val="21"/>
                <w:lang w:bidi="ar"/>
              </w:rPr>
              <w:t xml:space="preserve"> GB/T</w:t>
            </w:r>
            <w:r>
              <w:rPr>
                <w:rFonts w:hint="eastAsia"/>
                <w:color w:val="auto"/>
                <w:kern w:val="0"/>
                <w:szCs w:val="21"/>
                <w:lang w:bidi="ar"/>
              </w:rPr>
              <w:t xml:space="preserve"> </w:t>
            </w:r>
            <w:r>
              <w:rPr>
                <w:color w:val="auto"/>
                <w:kern w:val="0"/>
                <w:szCs w:val="21"/>
                <w:lang w:bidi="ar"/>
              </w:rPr>
              <w:t>11901-1989</w:t>
            </w:r>
          </w:p>
        </w:tc>
      </w:tr>
      <w:tr w14:paraId="365810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shd w:val="clear" w:color="auto" w:fill="auto"/>
            <w:vAlign w:val="center"/>
          </w:tcPr>
          <w:p w14:paraId="545A6DF7">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化学需氧量</w:t>
            </w:r>
          </w:p>
        </w:tc>
        <w:tc>
          <w:tcPr>
            <w:tcW w:w="7038" w:type="dxa"/>
            <w:shd w:val="clear" w:color="auto" w:fill="auto"/>
            <w:vAlign w:val="center"/>
          </w:tcPr>
          <w:p w14:paraId="2C398961">
            <w:pPr>
              <w:jc w:val="left"/>
              <w:rPr>
                <w:rFonts w:ascii="宋体" w:hAnsi="宋体" w:eastAsia="宋体" w:cs="宋体"/>
                <w:color w:val="auto"/>
                <w:kern w:val="0"/>
                <w:sz w:val="21"/>
                <w:szCs w:val="21"/>
                <w:lang w:val="en-US" w:eastAsia="zh-CN" w:bidi="ar"/>
              </w:rPr>
            </w:pPr>
            <w:r>
              <w:rPr>
                <w:rFonts w:hint="eastAsia" w:ascii="宋体" w:hAnsi="宋体" w:cs="宋体"/>
                <w:color w:val="auto"/>
                <w:kern w:val="0"/>
                <w:szCs w:val="21"/>
                <w:lang w:bidi="ar"/>
              </w:rPr>
              <w:t>水质</w:t>
            </w:r>
            <w:r>
              <w:rPr>
                <w:color w:val="auto"/>
                <w:kern w:val="0"/>
                <w:szCs w:val="21"/>
                <w:lang w:bidi="ar"/>
              </w:rPr>
              <w:t xml:space="preserve"> </w:t>
            </w:r>
            <w:r>
              <w:rPr>
                <w:rFonts w:hint="eastAsia" w:ascii="宋体" w:hAnsi="宋体" w:cs="宋体"/>
                <w:color w:val="auto"/>
                <w:kern w:val="0"/>
                <w:szCs w:val="21"/>
                <w:lang w:bidi="ar"/>
              </w:rPr>
              <w:t>化学需氧量的测定</w:t>
            </w:r>
            <w:r>
              <w:rPr>
                <w:color w:val="auto"/>
                <w:kern w:val="0"/>
                <w:szCs w:val="21"/>
                <w:lang w:bidi="ar"/>
              </w:rPr>
              <w:t xml:space="preserve"> </w:t>
            </w:r>
            <w:r>
              <w:rPr>
                <w:rFonts w:hint="eastAsia" w:ascii="宋体" w:hAnsi="宋体" w:cs="宋体"/>
                <w:color w:val="auto"/>
                <w:kern w:val="0"/>
                <w:szCs w:val="21"/>
                <w:lang w:bidi="ar"/>
              </w:rPr>
              <w:t>重铬酸盐法</w:t>
            </w:r>
            <w:r>
              <w:rPr>
                <w:color w:val="auto"/>
                <w:kern w:val="0"/>
                <w:szCs w:val="21"/>
                <w:lang w:bidi="ar"/>
              </w:rPr>
              <w:t xml:space="preserve"> HJ</w:t>
            </w:r>
            <w:r>
              <w:rPr>
                <w:rFonts w:hint="eastAsia"/>
                <w:color w:val="auto"/>
                <w:kern w:val="0"/>
                <w:szCs w:val="21"/>
                <w:lang w:bidi="ar"/>
              </w:rPr>
              <w:t xml:space="preserve"> </w:t>
            </w:r>
            <w:r>
              <w:rPr>
                <w:color w:val="auto"/>
                <w:kern w:val="0"/>
                <w:szCs w:val="21"/>
                <w:lang w:bidi="ar"/>
              </w:rPr>
              <w:t>828-2017</w:t>
            </w:r>
          </w:p>
        </w:tc>
      </w:tr>
      <w:tr w14:paraId="24E603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shd w:val="clear" w:color="auto" w:fill="auto"/>
            <w:vAlign w:val="center"/>
          </w:tcPr>
          <w:p w14:paraId="6B744210">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石油类</w:t>
            </w:r>
          </w:p>
        </w:tc>
        <w:tc>
          <w:tcPr>
            <w:tcW w:w="7038" w:type="dxa"/>
            <w:shd w:val="clear" w:color="auto" w:fill="auto"/>
            <w:vAlign w:val="center"/>
          </w:tcPr>
          <w:p w14:paraId="66173F58">
            <w:pPr>
              <w:jc w:val="left"/>
              <w:rPr>
                <w:rFonts w:ascii="宋体" w:hAnsi="宋体" w:eastAsia="宋体" w:cs="宋体"/>
                <w:color w:val="auto"/>
                <w:kern w:val="0"/>
                <w:sz w:val="21"/>
                <w:szCs w:val="21"/>
                <w:lang w:val="en-US" w:eastAsia="zh-CN" w:bidi="ar"/>
              </w:rPr>
            </w:pPr>
            <w:r>
              <w:rPr>
                <w:rFonts w:hint="eastAsia" w:ascii="宋体" w:hAnsi="宋体" w:cs="宋体"/>
                <w:color w:val="auto"/>
                <w:kern w:val="0"/>
                <w:szCs w:val="21"/>
                <w:lang w:bidi="ar"/>
              </w:rPr>
              <w:t>水质</w:t>
            </w:r>
            <w:r>
              <w:rPr>
                <w:color w:val="auto"/>
                <w:kern w:val="0"/>
                <w:szCs w:val="21"/>
                <w:lang w:bidi="ar"/>
              </w:rPr>
              <w:t xml:space="preserve"> </w:t>
            </w:r>
            <w:r>
              <w:rPr>
                <w:rFonts w:hint="eastAsia" w:ascii="宋体" w:hAnsi="宋体" w:cs="宋体"/>
                <w:color w:val="auto"/>
                <w:kern w:val="0"/>
                <w:szCs w:val="21"/>
                <w:lang w:bidi="ar"/>
              </w:rPr>
              <w:t>石油类和动植物油类的测定</w:t>
            </w:r>
            <w:r>
              <w:rPr>
                <w:color w:val="auto"/>
                <w:kern w:val="0"/>
                <w:szCs w:val="21"/>
                <w:lang w:bidi="ar"/>
              </w:rPr>
              <w:t xml:space="preserve"> </w:t>
            </w:r>
            <w:r>
              <w:rPr>
                <w:rFonts w:hint="eastAsia" w:ascii="宋体" w:hAnsi="宋体" w:cs="宋体"/>
                <w:color w:val="auto"/>
                <w:kern w:val="0"/>
                <w:szCs w:val="21"/>
                <w:lang w:bidi="ar"/>
              </w:rPr>
              <w:t>红外分光光度法</w:t>
            </w:r>
            <w:r>
              <w:rPr>
                <w:color w:val="auto"/>
                <w:kern w:val="0"/>
                <w:szCs w:val="21"/>
                <w:lang w:bidi="ar"/>
              </w:rPr>
              <w:t xml:space="preserve"> HJ 637-2018</w:t>
            </w:r>
          </w:p>
        </w:tc>
      </w:tr>
      <w:tr w14:paraId="7900E7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shd w:val="clear" w:color="auto" w:fill="auto"/>
            <w:vAlign w:val="center"/>
          </w:tcPr>
          <w:p w14:paraId="3F9AC9B0">
            <w:pPr>
              <w:ind w:left="-105" w:leftChars="-50" w:right="-105" w:rightChars="-50"/>
              <w:jc w:val="center"/>
              <w:rPr>
                <w:rFonts w:ascii="Times New Roman" w:hAnsi="Times New Roman" w:eastAsia="宋体" w:cs="Times New Roman"/>
                <w:color w:val="auto"/>
                <w:kern w:val="2"/>
                <w:sz w:val="21"/>
                <w:szCs w:val="21"/>
                <w:lang w:val="en-US" w:eastAsia="zh-CN" w:bidi="ar-SA"/>
              </w:rPr>
            </w:pPr>
            <w:r>
              <w:rPr>
                <w:rFonts w:hint="eastAsia"/>
                <w:color w:val="auto"/>
                <w:szCs w:val="21"/>
              </w:rPr>
              <w:t>五日生化需氧量</w:t>
            </w:r>
          </w:p>
        </w:tc>
        <w:tc>
          <w:tcPr>
            <w:tcW w:w="7038" w:type="dxa"/>
            <w:shd w:val="clear" w:color="auto" w:fill="auto"/>
            <w:vAlign w:val="center"/>
          </w:tcPr>
          <w:p w14:paraId="30384020">
            <w:pPr>
              <w:rPr>
                <w:rFonts w:ascii="Times New Roman" w:hAnsi="Times New Roman" w:eastAsia="宋体" w:cs="Times New Roman"/>
                <w:color w:val="auto"/>
                <w:kern w:val="2"/>
                <w:sz w:val="21"/>
                <w:szCs w:val="21"/>
                <w:lang w:val="en-US" w:eastAsia="zh-CN" w:bidi="ar-SA"/>
              </w:rPr>
            </w:pPr>
            <w:r>
              <w:rPr>
                <w:rFonts w:hint="eastAsia" w:ascii="宋体" w:hAnsi="宋体" w:cs="宋体"/>
                <w:color w:val="auto"/>
                <w:kern w:val="0"/>
                <w:szCs w:val="21"/>
                <w:lang w:bidi="ar"/>
              </w:rPr>
              <w:t>水质</w:t>
            </w:r>
            <w:r>
              <w:rPr>
                <w:color w:val="auto"/>
                <w:kern w:val="0"/>
                <w:szCs w:val="21"/>
                <w:lang w:bidi="ar"/>
              </w:rPr>
              <w:t xml:space="preserve"> </w:t>
            </w:r>
            <w:r>
              <w:rPr>
                <w:rFonts w:hint="eastAsia" w:ascii="宋体" w:hAnsi="宋体" w:cs="宋体"/>
                <w:color w:val="auto"/>
                <w:kern w:val="0"/>
                <w:szCs w:val="21"/>
                <w:lang w:bidi="ar"/>
              </w:rPr>
              <w:t>五日生化需氧量（</w:t>
            </w:r>
            <w:r>
              <w:rPr>
                <w:color w:val="auto"/>
                <w:kern w:val="0"/>
                <w:szCs w:val="21"/>
                <w:lang w:bidi="ar"/>
              </w:rPr>
              <w:t>BOD</w:t>
            </w:r>
            <w:r>
              <w:rPr>
                <w:color w:val="auto"/>
                <w:kern w:val="0"/>
                <w:szCs w:val="21"/>
                <w:vertAlign w:val="subscript"/>
                <w:lang w:bidi="ar"/>
              </w:rPr>
              <w:t>5</w:t>
            </w:r>
            <w:r>
              <w:rPr>
                <w:rFonts w:hint="eastAsia" w:ascii="宋体" w:hAnsi="宋体" w:cs="宋体"/>
                <w:color w:val="auto"/>
                <w:kern w:val="0"/>
                <w:szCs w:val="21"/>
                <w:lang w:bidi="ar"/>
              </w:rPr>
              <w:t>）的测定</w:t>
            </w:r>
            <w:r>
              <w:rPr>
                <w:color w:val="auto"/>
                <w:kern w:val="0"/>
                <w:szCs w:val="21"/>
                <w:lang w:bidi="ar"/>
              </w:rPr>
              <w:t xml:space="preserve"> </w:t>
            </w:r>
            <w:r>
              <w:rPr>
                <w:rFonts w:hint="eastAsia" w:ascii="宋体" w:hAnsi="宋体" w:cs="宋体"/>
                <w:color w:val="auto"/>
                <w:kern w:val="0"/>
                <w:szCs w:val="21"/>
                <w:lang w:bidi="ar"/>
              </w:rPr>
              <w:t>稀释与接种法</w:t>
            </w:r>
            <w:r>
              <w:rPr>
                <w:color w:val="auto"/>
                <w:kern w:val="0"/>
                <w:szCs w:val="21"/>
                <w:lang w:bidi="ar"/>
              </w:rPr>
              <w:t xml:space="preserve"> HJ 505-2009</w:t>
            </w:r>
          </w:p>
        </w:tc>
      </w:tr>
      <w:tr w14:paraId="7CE8D1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shd w:val="clear" w:color="auto" w:fill="auto"/>
            <w:vAlign w:val="center"/>
          </w:tcPr>
          <w:p w14:paraId="27246B8F">
            <w:pPr>
              <w:jc w:val="center"/>
              <w:rPr>
                <w:rFonts w:ascii="Times New Roman" w:hAnsi="Times New Roman" w:eastAsia="宋体" w:cs="Times New Roman"/>
                <w:kern w:val="2"/>
                <w:sz w:val="21"/>
                <w:szCs w:val="22"/>
                <w:lang w:val="en-US" w:eastAsia="zh-CN" w:bidi="ar-SA"/>
              </w:rPr>
            </w:pPr>
            <w:r>
              <w:rPr>
                <w:rFonts w:hint="eastAsia"/>
              </w:rPr>
              <w:t>总磷</w:t>
            </w:r>
          </w:p>
        </w:tc>
        <w:tc>
          <w:tcPr>
            <w:tcW w:w="7038" w:type="dxa"/>
            <w:shd w:val="clear" w:color="auto" w:fill="auto"/>
            <w:vAlign w:val="center"/>
          </w:tcPr>
          <w:p w14:paraId="3B3F0D2A">
            <w:pPr>
              <w:jc w:val="left"/>
              <w:rPr>
                <w:rFonts w:hint="eastAsia" w:ascii="Times New Roman" w:hAnsi="Times New Roman" w:eastAsia="宋体" w:cs="Times New Roman"/>
                <w:kern w:val="2"/>
                <w:sz w:val="21"/>
                <w:szCs w:val="22"/>
                <w:lang w:val="en-US" w:eastAsia="zh-CN" w:bidi="ar-SA"/>
              </w:rPr>
            </w:pPr>
            <w:r>
              <w:t>水质 总磷的测定 钼酸铵分光光度法</w:t>
            </w:r>
            <w:r>
              <w:rPr>
                <w:rFonts w:hint="eastAsia"/>
                <w:lang w:val="en-US" w:eastAsia="zh-CN"/>
              </w:rPr>
              <w:t xml:space="preserve"> GB/T 11893-1989</w:t>
            </w:r>
          </w:p>
        </w:tc>
      </w:tr>
      <w:tr w14:paraId="4772EB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shd w:val="clear" w:color="auto" w:fill="auto"/>
            <w:vAlign w:val="center"/>
          </w:tcPr>
          <w:p w14:paraId="7EF2E96C">
            <w:pPr>
              <w:jc w:val="center"/>
              <w:rPr>
                <w:rFonts w:ascii="Times New Roman" w:hAnsi="Times New Roman" w:eastAsia="宋体" w:cs="Times New Roman"/>
                <w:kern w:val="2"/>
                <w:sz w:val="21"/>
                <w:szCs w:val="22"/>
                <w:lang w:val="en-US" w:eastAsia="zh-CN" w:bidi="ar-SA"/>
              </w:rPr>
            </w:pPr>
            <w:r>
              <w:rPr>
                <w:rFonts w:hint="eastAsia"/>
              </w:rPr>
              <w:t>总氮</w:t>
            </w:r>
          </w:p>
        </w:tc>
        <w:tc>
          <w:tcPr>
            <w:tcW w:w="7038" w:type="dxa"/>
            <w:shd w:val="clear" w:color="auto" w:fill="auto"/>
            <w:vAlign w:val="center"/>
          </w:tcPr>
          <w:p w14:paraId="539D86C6">
            <w:pPr>
              <w:jc w:val="left"/>
              <w:rPr>
                <w:rFonts w:ascii="Times New Roman" w:hAnsi="Times New Roman" w:eastAsia="宋体" w:cs="Times New Roman"/>
                <w:kern w:val="2"/>
                <w:sz w:val="21"/>
                <w:szCs w:val="22"/>
                <w:lang w:val="en-US" w:eastAsia="zh-CN" w:bidi="ar-SA"/>
              </w:rPr>
            </w:pPr>
            <w:r>
              <w:t>水质 总氮的测定 碱性过硫酸钾消解紫外分光光度法 HJ 636-2012</w:t>
            </w:r>
          </w:p>
        </w:tc>
      </w:tr>
      <w:tr w14:paraId="26A1AC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shd w:val="clear" w:color="auto" w:fill="auto"/>
            <w:vAlign w:val="center"/>
          </w:tcPr>
          <w:p w14:paraId="5569AD9D">
            <w:pPr>
              <w:jc w:val="center"/>
              <w:rPr>
                <w:rFonts w:hint="eastAsia" w:ascii="Times New Roman" w:hAnsi="Times New Roman" w:eastAsia="宋体" w:cs="Times New Roman"/>
                <w:kern w:val="2"/>
                <w:sz w:val="21"/>
                <w:szCs w:val="22"/>
                <w:lang w:val="en-US" w:eastAsia="zh-CN" w:bidi="ar-SA"/>
              </w:rPr>
            </w:pPr>
            <w:r>
              <w:rPr>
                <w:rFonts w:hint="eastAsia"/>
              </w:rPr>
              <w:t>阴离子表面活性剂</w:t>
            </w:r>
          </w:p>
        </w:tc>
        <w:tc>
          <w:tcPr>
            <w:tcW w:w="7038" w:type="dxa"/>
            <w:shd w:val="clear" w:color="auto" w:fill="auto"/>
            <w:vAlign w:val="center"/>
          </w:tcPr>
          <w:p w14:paraId="63AE9B37">
            <w:pPr>
              <w:jc w:val="left"/>
              <w:rPr>
                <w:rFonts w:hint="eastAsia" w:ascii="Times New Roman" w:hAnsi="Times New Roman" w:eastAsia="宋体" w:cs="Times New Roman"/>
                <w:kern w:val="2"/>
                <w:sz w:val="21"/>
                <w:szCs w:val="22"/>
                <w:lang w:val="en-US" w:eastAsia="zh-CN" w:bidi="ar-SA"/>
              </w:rPr>
            </w:pPr>
            <w:r>
              <w:rPr>
                <w:rFonts w:hint="eastAsia"/>
              </w:rPr>
              <w:t>水质 阴离子表面活性剂的测定 亚甲蓝分光光度法</w:t>
            </w:r>
            <w:r>
              <w:rPr>
                <w:rFonts w:hint="eastAsia"/>
                <w:lang w:val="en-US" w:eastAsia="zh-CN"/>
              </w:rPr>
              <w:t xml:space="preserve"> </w:t>
            </w:r>
            <w:r>
              <w:rPr>
                <w:rFonts w:hint="eastAsia"/>
              </w:rPr>
              <w:t>GB/T 7494-1987</w:t>
            </w:r>
          </w:p>
        </w:tc>
      </w:tr>
      <w:tr w14:paraId="6D022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shd w:val="clear" w:color="auto" w:fill="auto"/>
            <w:vAlign w:val="center"/>
          </w:tcPr>
          <w:p w14:paraId="7DEE63F8">
            <w:pPr>
              <w:jc w:val="center"/>
              <w:rPr>
                <w:rFonts w:hint="eastAsia" w:ascii="Times New Roman" w:hAnsi="Times New Roman" w:eastAsia="宋体" w:cs="Times New Roman"/>
                <w:kern w:val="2"/>
                <w:sz w:val="21"/>
                <w:szCs w:val="22"/>
                <w:lang w:val="en-US" w:eastAsia="zh-CN" w:bidi="ar-SA"/>
              </w:rPr>
            </w:pPr>
            <w:r>
              <w:rPr>
                <w:rFonts w:hint="eastAsia"/>
              </w:rPr>
              <w:t>氟化物</w:t>
            </w:r>
            <w:r>
              <w:rPr>
                <w:rFonts w:hint="eastAsia"/>
                <w:kern w:val="0"/>
              </w:rPr>
              <w:t>（废水）</w:t>
            </w:r>
          </w:p>
        </w:tc>
        <w:tc>
          <w:tcPr>
            <w:tcW w:w="7038" w:type="dxa"/>
            <w:shd w:val="clear" w:color="auto" w:fill="auto"/>
            <w:vAlign w:val="center"/>
          </w:tcPr>
          <w:p w14:paraId="67A2588F">
            <w:pPr>
              <w:jc w:val="left"/>
              <w:rPr>
                <w:rFonts w:hint="eastAsia" w:ascii="Times New Roman" w:hAnsi="Times New Roman" w:eastAsia="宋体" w:cs="Times New Roman"/>
                <w:kern w:val="2"/>
                <w:sz w:val="21"/>
                <w:szCs w:val="22"/>
                <w:lang w:val="en-US" w:eastAsia="zh-CN" w:bidi="ar-SA"/>
              </w:rPr>
            </w:pPr>
            <w:r>
              <w:t>水质 无机阴离子的测定 离子色谱法</w:t>
            </w:r>
            <w:r>
              <w:rPr>
                <w:rFonts w:hint="eastAsia"/>
                <w:lang w:val="en-US" w:eastAsia="zh-CN"/>
              </w:rPr>
              <w:t xml:space="preserve"> </w:t>
            </w:r>
            <w:r>
              <w:t>HJ 84-2016</w:t>
            </w:r>
          </w:p>
        </w:tc>
      </w:tr>
      <w:tr w14:paraId="3AE167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vAlign w:val="center"/>
          </w:tcPr>
          <w:p w14:paraId="0AB1ACDF">
            <w:pPr>
              <w:jc w:val="center"/>
              <w:rPr>
                <w:color w:val="auto"/>
                <w:szCs w:val="21"/>
              </w:rPr>
            </w:pPr>
            <w:r>
              <w:rPr>
                <w:rFonts w:hint="eastAsia"/>
                <w:color w:val="auto"/>
                <w:szCs w:val="21"/>
              </w:rPr>
              <w:t>烟气参数</w:t>
            </w:r>
          </w:p>
        </w:tc>
        <w:tc>
          <w:tcPr>
            <w:tcW w:w="7038" w:type="dxa"/>
            <w:vAlign w:val="center"/>
          </w:tcPr>
          <w:p w14:paraId="5D41A846">
            <w:pPr>
              <w:jc w:val="left"/>
              <w:rPr>
                <w:rFonts w:ascii="宋体" w:hAnsi="宋体" w:cs="宋体"/>
                <w:color w:val="auto"/>
                <w:kern w:val="0"/>
                <w:szCs w:val="21"/>
                <w:lang w:bidi="ar"/>
              </w:rPr>
            </w:pPr>
            <w:r>
              <w:rPr>
                <w:rFonts w:hint="eastAsia" w:ascii="宋体" w:hAnsi="宋体" w:cs="宋体"/>
                <w:color w:val="auto"/>
                <w:kern w:val="0"/>
                <w:szCs w:val="21"/>
                <w:lang w:bidi="ar"/>
              </w:rPr>
              <w:t>固定污染源排气中颗粒物测定与气态污染物采样方法</w:t>
            </w:r>
            <w:r>
              <w:rPr>
                <w:rFonts w:ascii="宋体" w:hAnsi="宋体" w:cs="宋体"/>
                <w:color w:val="auto"/>
                <w:kern w:val="0"/>
                <w:szCs w:val="21"/>
                <w:lang w:bidi="ar"/>
              </w:rPr>
              <w:t xml:space="preserve"> </w:t>
            </w:r>
            <w:r>
              <w:rPr>
                <w:color w:val="auto"/>
                <w:kern w:val="0"/>
                <w:szCs w:val="21"/>
                <w:lang w:bidi="ar"/>
              </w:rPr>
              <w:t>GB/T 16157-1996</w:t>
            </w:r>
          </w:p>
        </w:tc>
      </w:tr>
      <w:tr w14:paraId="31C685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vAlign w:val="center"/>
          </w:tcPr>
          <w:p w14:paraId="0FE76600">
            <w:pPr>
              <w:jc w:val="center"/>
              <w:rPr>
                <w:color w:val="auto"/>
              </w:rPr>
            </w:pPr>
            <w:r>
              <w:rPr>
                <w:color w:val="auto"/>
              </w:rPr>
              <w:t>非甲烷总烃</w:t>
            </w:r>
          </w:p>
          <w:p w14:paraId="74443DE6">
            <w:pPr>
              <w:jc w:val="center"/>
              <w:rPr>
                <w:color w:val="auto"/>
                <w:szCs w:val="21"/>
              </w:rPr>
            </w:pPr>
            <w:r>
              <w:rPr>
                <w:color w:val="auto"/>
              </w:rPr>
              <w:t>（有组织）</w:t>
            </w:r>
          </w:p>
        </w:tc>
        <w:tc>
          <w:tcPr>
            <w:tcW w:w="7038" w:type="dxa"/>
            <w:vAlign w:val="center"/>
          </w:tcPr>
          <w:p w14:paraId="79078D59">
            <w:pPr>
              <w:jc w:val="left"/>
              <w:rPr>
                <w:rFonts w:ascii="宋体" w:hAnsi="宋体" w:cs="宋体"/>
                <w:color w:val="auto"/>
                <w:kern w:val="0"/>
                <w:szCs w:val="21"/>
                <w:lang w:bidi="ar"/>
              </w:rPr>
            </w:pPr>
            <w:r>
              <w:rPr>
                <w:rFonts w:hint="eastAsia" w:ascii="宋体" w:hAnsi="宋体" w:cs="宋体"/>
                <w:color w:val="auto"/>
                <w:kern w:val="0"/>
                <w:szCs w:val="21"/>
                <w:lang w:bidi="ar"/>
              </w:rPr>
              <w:t>固定污染源废气</w:t>
            </w:r>
            <w:r>
              <w:rPr>
                <w:color w:val="auto"/>
                <w:kern w:val="0"/>
                <w:szCs w:val="21"/>
                <w:lang w:bidi="ar"/>
              </w:rPr>
              <w:t xml:space="preserve"> </w:t>
            </w:r>
            <w:r>
              <w:rPr>
                <w:rFonts w:hint="eastAsia" w:ascii="宋体" w:hAnsi="宋体" w:cs="宋体"/>
                <w:color w:val="auto"/>
                <w:kern w:val="0"/>
                <w:szCs w:val="21"/>
                <w:lang w:bidi="ar"/>
              </w:rPr>
              <w:t>总烃、甲烷和非甲烷总烃的测定</w:t>
            </w:r>
            <w:r>
              <w:rPr>
                <w:color w:val="auto"/>
                <w:kern w:val="0"/>
                <w:szCs w:val="21"/>
                <w:lang w:bidi="ar"/>
              </w:rPr>
              <w:t xml:space="preserve"> </w:t>
            </w:r>
            <w:r>
              <w:rPr>
                <w:rFonts w:hint="eastAsia" w:ascii="宋体" w:hAnsi="宋体" w:cs="宋体"/>
                <w:color w:val="auto"/>
                <w:kern w:val="0"/>
                <w:szCs w:val="21"/>
                <w:lang w:bidi="ar"/>
              </w:rPr>
              <w:t xml:space="preserve">气相色谱法 </w:t>
            </w:r>
            <w:r>
              <w:rPr>
                <w:color w:val="auto"/>
                <w:kern w:val="0"/>
                <w:szCs w:val="21"/>
                <w:lang w:bidi="ar"/>
              </w:rPr>
              <w:t>HJ 38-2017</w:t>
            </w:r>
          </w:p>
        </w:tc>
      </w:tr>
      <w:tr w14:paraId="701056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vAlign w:val="center"/>
          </w:tcPr>
          <w:p w14:paraId="3FACC716">
            <w:pPr>
              <w:jc w:val="center"/>
              <w:rPr>
                <w:color w:val="auto"/>
              </w:rPr>
            </w:pPr>
            <w:r>
              <w:rPr>
                <w:color w:val="auto"/>
              </w:rPr>
              <w:t>非甲烷总烃</w:t>
            </w:r>
          </w:p>
          <w:p w14:paraId="175BB2EB">
            <w:pPr>
              <w:jc w:val="center"/>
              <w:rPr>
                <w:color w:val="auto"/>
                <w:szCs w:val="21"/>
              </w:rPr>
            </w:pPr>
            <w:r>
              <w:rPr>
                <w:color w:val="auto"/>
              </w:rPr>
              <w:t>（无组织）</w:t>
            </w:r>
          </w:p>
        </w:tc>
        <w:tc>
          <w:tcPr>
            <w:tcW w:w="7038" w:type="dxa"/>
            <w:vAlign w:val="center"/>
          </w:tcPr>
          <w:p w14:paraId="33EB9719">
            <w:pPr>
              <w:jc w:val="left"/>
              <w:rPr>
                <w:rFonts w:ascii="宋体" w:hAnsi="宋体" w:cs="宋体"/>
                <w:color w:val="auto"/>
                <w:kern w:val="0"/>
                <w:szCs w:val="21"/>
                <w:lang w:bidi="ar"/>
              </w:rPr>
            </w:pPr>
            <w:r>
              <w:rPr>
                <w:rFonts w:hint="eastAsia" w:ascii="宋体" w:hAnsi="宋体" w:cs="宋体"/>
                <w:color w:val="auto"/>
                <w:kern w:val="0"/>
                <w:szCs w:val="21"/>
                <w:lang w:bidi="ar"/>
              </w:rPr>
              <w:t>环境空气</w:t>
            </w:r>
            <w:r>
              <w:rPr>
                <w:color w:val="auto"/>
                <w:kern w:val="0"/>
                <w:szCs w:val="21"/>
                <w:lang w:bidi="ar"/>
              </w:rPr>
              <w:t xml:space="preserve"> </w:t>
            </w:r>
            <w:r>
              <w:rPr>
                <w:rFonts w:hint="eastAsia" w:ascii="宋体" w:hAnsi="宋体" w:cs="宋体"/>
                <w:color w:val="auto"/>
                <w:kern w:val="0"/>
                <w:szCs w:val="21"/>
                <w:lang w:bidi="ar"/>
              </w:rPr>
              <w:t>总烃、甲烷和非甲烷总烃的测定</w:t>
            </w:r>
            <w:r>
              <w:rPr>
                <w:color w:val="auto"/>
                <w:kern w:val="0"/>
                <w:szCs w:val="21"/>
                <w:lang w:bidi="ar"/>
              </w:rPr>
              <w:t xml:space="preserve"> </w:t>
            </w:r>
            <w:r>
              <w:rPr>
                <w:rFonts w:hint="eastAsia" w:ascii="宋体" w:hAnsi="宋体" w:cs="宋体"/>
                <w:color w:val="auto"/>
                <w:kern w:val="0"/>
                <w:szCs w:val="21"/>
                <w:lang w:bidi="ar"/>
              </w:rPr>
              <w:t>直接进样</w:t>
            </w:r>
            <w:r>
              <w:rPr>
                <w:color w:val="auto"/>
                <w:kern w:val="0"/>
                <w:szCs w:val="21"/>
                <w:lang w:bidi="ar"/>
              </w:rPr>
              <w:t>-</w:t>
            </w:r>
            <w:r>
              <w:rPr>
                <w:rFonts w:hint="eastAsia" w:ascii="宋体" w:hAnsi="宋体" w:cs="宋体"/>
                <w:color w:val="auto"/>
                <w:kern w:val="0"/>
                <w:szCs w:val="21"/>
                <w:lang w:bidi="ar"/>
              </w:rPr>
              <w:t xml:space="preserve">气相色谱法 </w:t>
            </w:r>
            <w:r>
              <w:rPr>
                <w:color w:val="auto"/>
                <w:kern w:val="0"/>
                <w:szCs w:val="21"/>
                <w:lang w:bidi="ar"/>
              </w:rPr>
              <w:t>HJ 604-2017</w:t>
            </w:r>
          </w:p>
        </w:tc>
      </w:tr>
      <w:tr w14:paraId="115416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vAlign w:val="center"/>
          </w:tcPr>
          <w:p w14:paraId="0CB932DA">
            <w:pPr>
              <w:jc w:val="center"/>
              <w:rPr>
                <w:color w:val="auto"/>
              </w:rPr>
            </w:pPr>
            <w:r>
              <w:rPr>
                <w:rFonts w:hint="eastAsia"/>
              </w:rPr>
              <w:t>氟化物</w:t>
            </w:r>
            <w:r>
              <w:rPr>
                <w:rFonts w:hint="eastAsia"/>
                <w:kern w:val="0"/>
              </w:rPr>
              <w:t>（有组织）</w:t>
            </w:r>
          </w:p>
        </w:tc>
        <w:tc>
          <w:tcPr>
            <w:tcW w:w="7038" w:type="dxa"/>
            <w:vAlign w:val="center"/>
          </w:tcPr>
          <w:p w14:paraId="6AEEE22B">
            <w:pPr>
              <w:jc w:val="left"/>
              <w:rPr>
                <w:rFonts w:hint="eastAsia" w:ascii="宋体" w:hAnsi="宋体" w:cs="宋体"/>
                <w:color w:val="auto"/>
                <w:kern w:val="0"/>
                <w:szCs w:val="21"/>
                <w:lang w:bidi="ar"/>
              </w:rPr>
            </w:pPr>
            <w:r>
              <w:rPr>
                <w:rFonts w:hint="eastAsia"/>
              </w:rPr>
              <w:t>大气固定污染源 氟化物的测定 离子选择电极法 HJ/T 67-2001</w:t>
            </w:r>
          </w:p>
        </w:tc>
      </w:tr>
      <w:tr w14:paraId="4E28DF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1908" w:type="dxa"/>
            <w:vAlign w:val="center"/>
          </w:tcPr>
          <w:p w14:paraId="62336C99">
            <w:pPr>
              <w:jc w:val="center"/>
              <w:rPr>
                <w:color w:val="auto"/>
              </w:rPr>
            </w:pPr>
            <w:r>
              <w:rPr>
                <w:rFonts w:hint="eastAsia"/>
              </w:rPr>
              <w:t>氯化氢</w:t>
            </w:r>
            <w:r>
              <w:rPr>
                <w:rFonts w:hint="eastAsia"/>
                <w:kern w:val="0"/>
              </w:rPr>
              <w:t>（有组织）</w:t>
            </w:r>
          </w:p>
        </w:tc>
        <w:tc>
          <w:tcPr>
            <w:tcW w:w="7038" w:type="dxa"/>
            <w:vAlign w:val="center"/>
          </w:tcPr>
          <w:p w14:paraId="016F93BC">
            <w:pPr>
              <w:jc w:val="left"/>
              <w:rPr>
                <w:rFonts w:hint="eastAsia" w:ascii="宋体" w:hAnsi="宋体" w:eastAsia="宋体" w:cs="宋体"/>
                <w:color w:val="auto"/>
                <w:kern w:val="0"/>
                <w:szCs w:val="21"/>
                <w:lang w:val="en-US" w:eastAsia="zh-CN" w:bidi="ar"/>
              </w:rPr>
            </w:pPr>
            <w:r>
              <w:rPr>
                <w:color w:val="000000"/>
              </w:rPr>
              <w:t>固定污染源排气中氯化氢的测定 硫氰酸汞分光光度法</w:t>
            </w:r>
            <w:r>
              <w:rPr>
                <w:rFonts w:hint="eastAsia"/>
                <w:color w:val="000000"/>
                <w:lang w:val="en-US" w:eastAsia="zh-CN"/>
              </w:rPr>
              <w:t xml:space="preserve"> </w:t>
            </w:r>
            <w:r>
              <w:rPr>
                <w:color w:val="000000"/>
              </w:rPr>
              <w:t>HJ/T 27-1999</w:t>
            </w:r>
          </w:p>
        </w:tc>
      </w:tr>
      <w:tr w14:paraId="37BC39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vAlign w:val="center"/>
          </w:tcPr>
          <w:p w14:paraId="32015B2E">
            <w:pPr>
              <w:jc w:val="center"/>
              <w:rPr>
                <w:color w:val="auto"/>
              </w:rPr>
            </w:pPr>
            <w:r>
              <w:rPr>
                <w:rFonts w:hint="eastAsia"/>
              </w:rPr>
              <w:t>氯化氢</w:t>
            </w:r>
            <w:r>
              <w:rPr>
                <w:rFonts w:hint="eastAsia"/>
                <w:kern w:val="0"/>
              </w:rPr>
              <w:t>（无组织）</w:t>
            </w:r>
          </w:p>
        </w:tc>
        <w:tc>
          <w:tcPr>
            <w:tcW w:w="7038" w:type="dxa"/>
            <w:vAlign w:val="center"/>
          </w:tcPr>
          <w:p w14:paraId="12471D77">
            <w:pPr>
              <w:jc w:val="left"/>
              <w:rPr>
                <w:rFonts w:hint="eastAsia" w:ascii="宋体" w:hAnsi="宋体" w:eastAsia="宋体" w:cs="宋体"/>
                <w:color w:val="auto"/>
                <w:kern w:val="0"/>
                <w:szCs w:val="21"/>
                <w:lang w:val="en-US" w:eastAsia="zh-CN" w:bidi="ar"/>
              </w:rPr>
            </w:pPr>
            <w:r>
              <w:rPr>
                <w:color w:val="000000"/>
              </w:rPr>
              <w:t>环境空气和废气 氯化氢的测定 离子色谱法</w:t>
            </w:r>
            <w:r>
              <w:rPr>
                <w:rFonts w:hint="eastAsia"/>
                <w:color w:val="000000"/>
                <w:lang w:val="en-US" w:eastAsia="zh-CN"/>
              </w:rPr>
              <w:t xml:space="preserve"> </w:t>
            </w:r>
            <w:r>
              <w:rPr>
                <w:color w:val="000000"/>
              </w:rPr>
              <w:t>HJ549-2016</w:t>
            </w:r>
          </w:p>
        </w:tc>
      </w:tr>
      <w:tr w14:paraId="5018F9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vAlign w:val="center"/>
          </w:tcPr>
          <w:p w14:paraId="799E7CC6">
            <w:pPr>
              <w:jc w:val="center"/>
              <w:rPr>
                <w:color w:val="auto"/>
                <w:szCs w:val="21"/>
              </w:rPr>
            </w:pPr>
            <w:r>
              <w:rPr>
                <w:color w:val="auto"/>
              </w:rPr>
              <w:t>厂界噪声</w:t>
            </w:r>
          </w:p>
        </w:tc>
        <w:tc>
          <w:tcPr>
            <w:tcW w:w="7038" w:type="dxa"/>
            <w:vAlign w:val="center"/>
          </w:tcPr>
          <w:p w14:paraId="5025AADE">
            <w:pPr>
              <w:jc w:val="left"/>
              <w:rPr>
                <w:color w:val="auto"/>
                <w:szCs w:val="21"/>
              </w:rPr>
            </w:pPr>
            <w:r>
              <w:rPr>
                <w:color w:val="auto"/>
              </w:rPr>
              <w:t>工业企业厂界环境噪声排放标准</w:t>
            </w:r>
            <w:r>
              <w:rPr>
                <w:rFonts w:hint="eastAsia"/>
                <w:color w:val="auto"/>
              </w:rPr>
              <w:t xml:space="preserve"> </w:t>
            </w:r>
            <w:r>
              <w:rPr>
                <w:color w:val="auto"/>
              </w:rPr>
              <w:t>GB 12348-2008</w:t>
            </w:r>
          </w:p>
        </w:tc>
      </w:tr>
      <w:tr w14:paraId="0E1FD0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vAlign w:val="center"/>
          </w:tcPr>
          <w:p w14:paraId="0EE7EE1B">
            <w:pPr>
              <w:jc w:val="center"/>
              <w:rPr>
                <w:rFonts w:hint="eastAsia" w:eastAsia="宋体"/>
                <w:color w:val="auto"/>
                <w:lang w:val="en-US" w:eastAsia="zh-CN"/>
              </w:rPr>
            </w:pPr>
            <w:bookmarkStart w:id="197" w:name="_Toc15976"/>
            <w:r>
              <w:rPr>
                <w:rFonts w:hint="eastAsia"/>
                <w:color w:val="auto"/>
                <w:lang w:val="en-US" w:eastAsia="zh-CN"/>
              </w:rPr>
              <w:t>氟化物（无组织）</w:t>
            </w:r>
          </w:p>
        </w:tc>
        <w:tc>
          <w:tcPr>
            <w:tcW w:w="7038" w:type="dxa"/>
            <w:vAlign w:val="center"/>
          </w:tcPr>
          <w:p w14:paraId="32E3834B">
            <w:pPr>
              <w:jc w:val="left"/>
              <w:rPr>
                <w:rFonts w:hint="default" w:eastAsia="宋体"/>
                <w:color w:val="auto"/>
                <w:lang w:val="en-US" w:eastAsia="zh-CN"/>
              </w:rPr>
            </w:pPr>
            <w:r>
              <w:rPr>
                <w:rFonts w:hint="eastAsia"/>
                <w:color w:val="auto"/>
                <w:lang w:val="en-US" w:eastAsia="zh-CN"/>
              </w:rPr>
              <w:t>环境空气 氟化物的测定 滤膜采样/氟离子选择电极法HJ 955-2018</w:t>
            </w:r>
          </w:p>
        </w:tc>
      </w:tr>
    </w:tbl>
    <w:p w14:paraId="58351293">
      <w:pPr>
        <w:pStyle w:val="3"/>
      </w:pPr>
      <w:r>
        <w:t>8.2</w:t>
      </w:r>
      <w:r>
        <w:rPr>
          <w:rFonts w:hint="eastAsia"/>
        </w:rPr>
        <w:t>监测仪器</w:t>
      </w:r>
      <w:bookmarkEnd w:id="197"/>
    </w:p>
    <w:p w14:paraId="1E080394">
      <w:pPr>
        <w:spacing w:line="360" w:lineRule="auto"/>
        <w:ind w:firstLine="480" w:firstLineChars="200"/>
        <w:rPr>
          <w:sz w:val="24"/>
          <w:szCs w:val="24"/>
        </w:rPr>
      </w:pPr>
      <w:r>
        <w:rPr>
          <w:rFonts w:hint="eastAsia"/>
          <w:sz w:val="24"/>
          <w:szCs w:val="24"/>
        </w:rPr>
        <w:t>监测仪器详见表8</w:t>
      </w:r>
      <w:r>
        <w:rPr>
          <w:sz w:val="24"/>
          <w:szCs w:val="24"/>
        </w:rPr>
        <w:t>-2</w:t>
      </w:r>
      <w:r>
        <w:rPr>
          <w:rFonts w:hint="eastAsia"/>
          <w:sz w:val="24"/>
          <w:szCs w:val="24"/>
        </w:rPr>
        <w:t>；</w:t>
      </w:r>
    </w:p>
    <w:p w14:paraId="3FE7BF98">
      <w:pPr>
        <w:jc w:val="center"/>
        <w:rPr>
          <w:b/>
          <w:sz w:val="24"/>
          <w:szCs w:val="24"/>
        </w:rPr>
      </w:pPr>
      <w:r>
        <w:rPr>
          <w:b/>
          <w:sz w:val="24"/>
          <w:szCs w:val="24"/>
        </w:rPr>
        <w:t>表8-</w:t>
      </w:r>
      <w:r>
        <w:rPr>
          <w:rFonts w:hint="eastAsia"/>
          <w:b/>
          <w:sz w:val="24"/>
          <w:szCs w:val="24"/>
        </w:rPr>
        <w:t>2</w:t>
      </w:r>
      <w:r>
        <w:rPr>
          <w:b/>
          <w:sz w:val="24"/>
          <w:szCs w:val="24"/>
        </w:rPr>
        <w:t xml:space="preserve">  监测使用仪器一览表</w:t>
      </w:r>
    </w:p>
    <w:tbl>
      <w:tblPr>
        <w:tblStyle w:val="35"/>
        <w:tblW w:w="876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16"/>
        <w:gridCol w:w="3857"/>
        <w:gridCol w:w="1166"/>
        <w:gridCol w:w="1826"/>
      </w:tblGrid>
      <w:tr w14:paraId="460418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blHeader/>
          <w:jc w:val="center"/>
        </w:trPr>
        <w:tc>
          <w:tcPr>
            <w:tcW w:w="1916" w:type="dxa"/>
            <w:vAlign w:val="center"/>
          </w:tcPr>
          <w:p w14:paraId="78E5A510">
            <w:pPr>
              <w:jc w:val="center"/>
              <w:rPr>
                <w:color w:val="000000" w:themeColor="text1"/>
                <w14:textFill>
                  <w14:solidFill>
                    <w14:schemeClr w14:val="tx1"/>
                  </w14:solidFill>
                </w14:textFill>
              </w:rPr>
            </w:pPr>
            <w:r>
              <w:rPr>
                <w:color w:val="000000" w:themeColor="text1"/>
                <w14:textFill>
                  <w14:solidFill>
                    <w14:schemeClr w14:val="tx1"/>
                  </w14:solidFill>
                </w14:textFill>
              </w:rPr>
              <w:t>监测项目</w:t>
            </w:r>
          </w:p>
        </w:tc>
        <w:tc>
          <w:tcPr>
            <w:tcW w:w="3857" w:type="dxa"/>
            <w:vAlign w:val="center"/>
          </w:tcPr>
          <w:p w14:paraId="1CFA3F7D">
            <w:pPr>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仪器名称及型号</w:t>
            </w:r>
          </w:p>
        </w:tc>
        <w:tc>
          <w:tcPr>
            <w:tcW w:w="1166" w:type="dxa"/>
            <w:vAlign w:val="center"/>
          </w:tcPr>
          <w:p w14:paraId="47626EC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自编号</w:t>
            </w:r>
          </w:p>
        </w:tc>
        <w:tc>
          <w:tcPr>
            <w:tcW w:w="1826" w:type="dxa"/>
            <w:vAlign w:val="center"/>
          </w:tcPr>
          <w:p w14:paraId="2641D13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出厂编号</w:t>
            </w:r>
          </w:p>
        </w:tc>
      </w:tr>
      <w:tr w14:paraId="7A96EE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916" w:type="dxa"/>
            <w:vAlign w:val="center"/>
          </w:tcPr>
          <w:p w14:paraId="6E33DB4A">
            <w:pPr>
              <w:jc w:val="center"/>
            </w:pPr>
            <w:r>
              <w:t>pH值</w:t>
            </w:r>
          </w:p>
        </w:tc>
        <w:tc>
          <w:tcPr>
            <w:tcW w:w="3857" w:type="dxa"/>
            <w:vAlign w:val="center"/>
          </w:tcPr>
          <w:p w14:paraId="56708C75">
            <w:pPr>
              <w:jc w:val="center"/>
            </w:pPr>
            <w:r>
              <w:t>便携式pH计PHBJ-260</w:t>
            </w:r>
          </w:p>
        </w:tc>
        <w:tc>
          <w:tcPr>
            <w:tcW w:w="1166" w:type="dxa"/>
            <w:vAlign w:val="center"/>
          </w:tcPr>
          <w:p w14:paraId="36C957F8">
            <w:pPr>
              <w:jc w:val="center"/>
            </w:pPr>
            <w:r>
              <w:t>HN-415</w:t>
            </w:r>
          </w:p>
        </w:tc>
        <w:tc>
          <w:tcPr>
            <w:tcW w:w="1826" w:type="dxa"/>
            <w:vAlign w:val="center"/>
          </w:tcPr>
          <w:p w14:paraId="65409B69">
            <w:pPr>
              <w:jc w:val="center"/>
            </w:pPr>
            <w:r>
              <w:t>601821N0022010074</w:t>
            </w:r>
          </w:p>
        </w:tc>
      </w:tr>
      <w:tr w14:paraId="043916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16" w:type="dxa"/>
            <w:shd w:val="clear" w:color="auto" w:fill="auto"/>
            <w:vAlign w:val="center"/>
          </w:tcPr>
          <w:p w14:paraId="0B4B58AB">
            <w:pPr>
              <w:jc w:val="center"/>
              <w:rPr>
                <w:rFonts w:ascii="Times New Roman" w:hAnsi="Times New Roman" w:eastAsia="宋体" w:cs="Times New Roman"/>
                <w:bCs/>
                <w:kern w:val="2"/>
                <w:sz w:val="21"/>
                <w:szCs w:val="22"/>
                <w:lang w:val="en-US" w:eastAsia="zh-CN" w:bidi="ar-SA"/>
              </w:rPr>
            </w:pPr>
            <w:r>
              <w:t>烟气参数</w:t>
            </w:r>
          </w:p>
        </w:tc>
        <w:tc>
          <w:tcPr>
            <w:tcW w:w="3857" w:type="dxa"/>
            <w:shd w:val="clear" w:color="auto" w:fill="auto"/>
            <w:vAlign w:val="center"/>
          </w:tcPr>
          <w:p w14:paraId="649554E3">
            <w:pPr>
              <w:jc w:val="center"/>
              <w:rPr>
                <w:rFonts w:ascii="Times New Roman" w:hAnsi="Times New Roman" w:eastAsia="宋体" w:cs="Times New Roman"/>
                <w:kern w:val="2"/>
                <w:sz w:val="21"/>
                <w:szCs w:val="22"/>
                <w:lang w:val="en-US" w:eastAsia="zh-CN" w:bidi="ar-SA"/>
              </w:rPr>
            </w:pPr>
            <w:r>
              <w:t>智能烟尘烟气测试仪EM-3088-3.0</w:t>
            </w:r>
          </w:p>
        </w:tc>
        <w:tc>
          <w:tcPr>
            <w:tcW w:w="1166" w:type="dxa"/>
            <w:shd w:val="clear" w:color="auto" w:fill="auto"/>
            <w:vAlign w:val="center"/>
          </w:tcPr>
          <w:p w14:paraId="4FE66E38">
            <w:pPr>
              <w:jc w:val="center"/>
              <w:rPr>
                <w:rFonts w:ascii="Times New Roman" w:hAnsi="Times New Roman" w:eastAsia="宋体" w:cs="Times New Roman"/>
                <w:kern w:val="2"/>
                <w:sz w:val="21"/>
                <w:szCs w:val="22"/>
                <w:lang w:val="en-US" w:eastAsia="zh-CN" w:bidi="ar-SA"/>
              </w:rPr>
            </w:pPr>
            <w:r>
              <w:t>HN-239</w:t>
            </w:r>
          </w:p>
        </w:tc>
        <w:tc>
          <w:tcPr>
            <w:tcW w:w="1826" w:type="dxa"/>
            <w:shd w:val="clear" w:color="auto" w:fill="auto"/>
            <w:vAlign w:val="center"/>
          </w:tcPr>
          <w:p w14:paraId="561F2772">
            <w:pPr>
              <w:jc w:val="center"/>
              <w:rPr>
                <w:rFonts w:ascii="Times New Roman" w:hAnsi="Times New Roman" w:eastAsia="宋体" w:cs="Times New Roman"/>
                <w:kern w:val="2"/>
                <w:sz w:val="21"/>
                <w:szCs w:val="22"/>
                <w:lang w:val="en-US" w:eastAsia="zh-CN" w:bidi="ar-SA"/>
              </w:rPr>
            </w:pPr>
            <w:r>
              <w:t>070400028</w:t>
            </w:r>
          </w:p>
        </w:tc>
      </w:tr>
      <w:tr w14:paraId="43EB9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16" w:type="dxa"/>
            <w:vMerge w:val="restart"/>
            <w:shd w:val="clear" w:color="auto" w:fill="auto"/>
            <w:vAlign w:val="center"/>
          </w:tcPr>
          <w:p w14:paraId="1D29E75E">
            <w:pPr>
              <w:jc w:val="center"/>
              <w:rPr>
                <w:rFonts w:ascii="Times New Roman" w:hAnsi="Times New Roman" w:eastAsia="宋体" w:cs="Times New Roman"/>
                <w:kern w:val="2"/>
                <w:sz w:val="21"/>
                <w:szCs w:val="22"/>
                <w:lang w:val="en-US" w:eastAsia="zh-CN" w:bidi="ar-SA"/>
              </w:rPr>
            </w:pPr>
            <w:r>
              <w:t>悬浮物</w:t>
            </w:r>
          </w:p>
        </w:tc>
        <w:tc>
          <w:tcPr>
            <w:tcW w:w="3857" w:type="dxa"/>
            <w:shd w:val="clear" w:color="auto" w:fill="auto"/>
            <w:vAlign w:val="center"/>
          </w:tcPr>
          <w:p w14:paraId="6B9DB60C">
            <w:pPr>
              <w:jc w:val="center"/>
              <w:rPr>
                <w:rFonts w:ascii="Times New Roman" w:hAnsi="Times New Roman" w:eastAsia="宋体" w:cs="Times New Roman"/>
                <w:kern w:val="0"/>
                <w:sz w:val="21"/>
                <w:szCs w:val="22"/>
                <w:lang w:val="en-US" w:eastAsia="zh-CN" w:bidi="ar-SA"/>
              </w:rPr>
            </w:pPr>
            <w:r>
              <w:t>万分之一分析天平BSA224S</w:t>
            </w:r>
          </w:p>
        </w:tc>
        <w:tc>
          <w:tcPr>
            <w:tcW w:w="1166" w:type="dxa"/>
            <w:shd w:val="clear" w:color="auto" w:fill="auto"/>
            <w:vAlign w:val="center"/>
          </w:tcPr>
          <w:p w14:paraId="1C5DCD58">
            <w:pPr>
              <w:jc w:val="center"/>
              <w:rPr>
                <w:rFonts w:ascii="Times New Roman" w:hAnsi="Times New Roman" w:eastAsia="宋体" w:cs="Times New Roman"/>
                <w:kern w:val="2"/>
                <w:sz w:val="21"/>
                <w:szCs w:val="22"/>
                <w:lang w:val="en-US" w:eastAsia="zh-CN" w:bidi="ar-SA"/>
              </w:rPr>
            </w:pPr>
            <w:r>
              <w:t>HN-024</w:t>
            </w:r>
          </w:p>
        </w:tc>
        <w:tc>
          <w:tcPr>
            <w:tcW w:w="1826" w:type="dxa"/>
            <w:shd w:val="clear" w:color="auto" w:fill="auto"/>
            <w:vAlign w:val="center"/>
          </w:tcPr>
          <w:p w14:paraId="559B5A7F">
            <w:pPr>
              <w:jc w:val="center"/>
              <w:rPr>
                <w:rFonts w:ascii="Times New Roman" w:hAnsi="Times New Roman" w:eastAsia="宋体" w:cs="Times New Roman"/>
                <w:kern w:val="2"/>
                <w:sz w:val="21"/>
                <w:szCs w:val="22"/>
                <w:lang w:val="en-US" w:eastAsia="zh-CN" w:bidi="ar-SA"/>
              </w:rPr>
            </w:pPr>
            <w:r>
              <w:t>26191936</w:t>
            </w:r>
          </w:p>
        </w:tc>
      </w:tr>
      <w:tr w14:paraId="526EF3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16" w:type="dxa"/>
            <w:vMerge w:val="continue"/>
            <w:vAlign w:val="center"/>
          </w:tcPr>
          <w:p w14:paraId="62906335">
            <w:pPr>
              <w:jc w:val="center"/>
              <w:rPr>
                <w:color w:val="000000" w:themeColor="text1"/>
                <w:kern w:val="0"/>
                <w14:textFill>
                  <w14:solidFill>
                    <w14:schemeClr w14:val="tx1"/>
                  </w14:solidFill>
                </w14:textFill>
              </w:rPr>
            </w:pPr>
          </w:p>
        </w:tc>
        <w:tc>
          <w:tcPr>
            <w:tcW w:w="3857" w:type="dxa"/>
            <w:shd w:val="clear" w:color="auto" w:fill="auto"/>
            <w:vAlign w:val="center"/>
          </w:tcPr>
          <w:p w14:paraId="60A48E92">
            <w:pPr>
              <w:jc w:val="center"/>
              <w:rPr>
                <w:rFonts w:hint="eastAsia" w:ascii="Times New Roman" w:hAnsi="Times New Roman" w:eastAsia="宋体" w:cs="Times New Roman"/>
                <w:kern w:val="0"/>
                <w:sz w:val="21"/>
                <w:szCs w:val="22"/>
                <w:lang w:val="en-US" w:eastAsia="zh-CN" w:bidi="ar-SA"/>
              </w:rPr>
            </w:pPr>
            <w:r>
              <w:t>电热恒温鼓风干燥箱DHG-9030A</w:t>
            </w:r>
          </w:p>
        </w:tc>
        <w:tc>
          <w:tcPr>
            <w:tcW w:w="1166" w:type="dxa"/>
            <w:shd w:val="clear" w:color="auto" w:fill="auto"/>
            <w:vAlign w:val="center"/>
          </w:tcPr>
          <w:p w14:paraId="5A9FD6C2">
            <w:pPr>
              <w:jc w:val="center"/>
              <w:rPr>
                <w:rFonts w:hint="eastAsia" w:ascii="Times New Roman" w:hAnsi="Times New Roman" w:eastAsia="宋体" w:cs="Times New Roman"/>
                <w:kern w:val="2"/>
                <w:sz w:val="21"/>
                <w:szCs w:val="22"/>
                <w:lang w:val="en-US" w:eastAsia="zh-CN" w:bidi="ar-SA"/>
              </w:rPr>
            </w:pPr>
            <w:r>
              <w:t>HN-030</w:t>
            </w:r>
          </w:p>
        </w:tc>
        <w:tc>
          <w:tcPr>
            <w:tcW w:w="1826" w:type="dxa"/>
            <w:shd w:val="clear" w:color="auto" w:fill="auto"/>
            <w:vAlign w:val="center"/>
          </w:tcPr>
          <w:p w14:paraId="1C401946">
            <w:pPr>
              <w:jc w:val="center"/>
              <w:rPr>
                <w:rFonts w:ascii="Times New Roman" w:hAnsi="Times New Roman" w:eastAsia="宋体" w:cs="Times New Roman"/>
                <w:kern w:val="2"/>
                <w:sz w:val="21"/>
                <w:szCs w:val="22"/>
                <w:lang w:val="en-US" w:eastAsia="zh-CN" w:bidi="ar-SA"/>
              </w:rPr>
            </w:pPr>
            <w:r>
              <w:t>110633</w:t>
            </w:r>
          </w:p>
        </w:tc>
      </w:tr>
      <w:tr w14:paraId="5D716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16" w:type="dxa"/>
            <w:shd w:val="clear" w:color="auto" w:fill="auto"/>
            <w:vAlign w:val="center"/>
          </w:tcPr>
          <w:p w14:paraId="5A1F41E1">
            <w:pPr>
              <w:jc w:val="center"/>
              <w:rPr>
                <w:rFonts w:ascii="Times New Roman" w:hAnsi="Times New Roman" w:eastAsia="宋体" w:cs="Times New Roman"/>
                <w:kern w:val="2"/>
                <w:sz w:val="21"/>
                <w:szCs w:val="22"/>
                <w:lang w:val="en-US" w:eastAsia="zh-CN" w:bidi="ar-SA"/>
              </w:rPr>
            </w:pPr>
            <w:r>
              <w:rPr>
                <w:rFonts w:hint="eastAsia"/>
              </w:rPr>
              <w:t>石油类</w:t>
            </w:r>
          </w:p>
        </w:tc>
        <w:tc>
          <w:tcPr>
            <w:tcW w:w="3857" w:type="dxa"/>
            <w:shd w:val="clear" w:color="auto" w:fill="auto"/>
            <w:vAlign w:val="center"/>
          </w:tcPr>
          <w:p w14:paraId="3865797D">
            <w:pPr>
              <w:jc w:val="center"/>
              <w:rPr>
                <w:rFonts w:hint="eastAsia" w:ascii="Times New Roman" w:hAnsi="Times New Roman" w:eastAsia="宋体" w:cs="Times New Roman"/>
                <w:kern w:val="2"/>
                <w:sz w:val="21"/>
                <w:szCs w:val="22"/>
                <w:lang w:val="en-US" w:eastAsia="zh-CN" w:bidi="ar-SA"/>
              </w:rPr>
            </w:pPr>
            <w:r>
              <w:rPr>
                <w:rFonts w:hint="eastAsia"/>
              </w:rPr>
              <w:t xml:space="preserve">红外分光测油仪 </w:t>
            </w:r>
            <w:r>
              <w:t>JLBG-125u</w:t>
            </w:r>
          </w:p>
        </w:tc>
        <w:tc>
          <w:tcPr>
            <w:tcW w:w="1166" w:type="dxa"/>
            <w:shd w:val="clear" w:color="auto" w:fill="auto"/>
            <w:vAlign w:val="center"/>
          </w:tcPr>
          <w:p w14:paraId="6AD47D40">
            <w:pPr>
              <w:jc w:val="center"/>
              <w:rPr>
                <w:rFonts w:hint="eastAsia" w:ascii="Times New Roman" w:hAnsi="Times New Roman" w:eastAsia="宋体" w:cs="Times New Roman"/>
                <w:kern w:val="2"/>
                <w:sz w:val="21"/>
                <w:szCs w:val="22"/>
                <w:lang w:val="en-US" w:eastAsia="zh-CN" w:bidi="ar-SA"/>
              </w:rPr>
            </w:pPr>
            <w:r>
              <w:t>HN-349</w:t>
            </w:r>
          </w:p>
        </w:tc>
        <w:tc>
          <w:tcPr>
            <w:tcW w:w="1826" w:type="dxa"/>
            <w:shd w:val="clear" w:color="auto" w:fill="auto"/>
            <w:vAlign w:val="center"/>
          </w:tcPr>
          <w:p w14:paraId="3420097F">
            <w:pPr>
              <w:jc w:val="center"/>
              <w:rPr>
                <w:rFonts w:ascii="Times New Roman" w:hAnsi="Times New Roman" w:eastAsia="宋体" w:cs="Times New Roman"/>
                <w:kern w:val="2"/>
                <w:sz w:val="21"/>
                <w:szCs w:val="22"/>
                <w:lang w:val="en-US" w:eastAsia="zh-CN" w:bidi="ar-SA"/>
              </w:rPr>
            </w:pPr>
            <w:r>
              <w:t>2120125u143</w:t>
            </w:r>
          </w:p>
        </w:tc>
      </w:tr>
      <w:tr w14:paraId="0EF404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16" w:type="dxa"/>
            <w:shd w:val="clear" w:color="auto" w:fill="auto"/>
            <w:vAlign w:val="center"/>
          </w:tcPr>
          <w:p w14:paraId="71C8726C">
            <w:pPr>
              <w:jc w:val="center"/>
              <w:rPr>
                <w:rFonts w:ascii="Times New Roman" w:hAnsi="Times New Roman" w:eastAsia="宋体" w:cs="Times New Roman"/>
                <w:kern w:val="2"/>
                <w:sz w:val="21"/>
                <w:szCs w:val="22"/>
                <w:lang w:val="en-US" w:eastAsia="zh-CN" w:bidi="ar-SA"/>
              </w:rPr>
            </w:pPr>
            <w:r>
              <w:t>氯化氢（有组织）、阴离子表面活性剂、总磷、总氮</w:t>
            </w:r>
          </w:p>
        </w:tc>
        <w:tc>
          <w:tcPr>
            <w:tcW w:w="3857" w:type="dxa"/>
            <w:shd w:val="clear" w:color="auto" w:fill="auto"/>
            <w:vAlign w:val="center"/>
          </w:tcPr>
          <w:p w14:paraId="60D5EA0C">
            <w:pPr>
              <w:jc w:val="center"/>
              <w:rPr>
                <w:rFonts w:hint="eastAsia" w:ascii="Times New Roman" w:hAnsi="Times New Roman" w:eastAsia="宋体" w:cs="Times New Roman"/>
                <w:kern w:val="2"/>
                <w:sz w:val="21"/>
                <w:szCs w:val="22"/>
                <w:lang w:val="en-US" w:eastAsia="zh-CN" w:bidi="ar-SA"/>
              </w:rPr>
            </w:pPr>
            <w:r>
              <w:t>紫外分光光度计TU-1810</w:t>
            </w:r>
          </w:p>
        </w:tc>
        <w:tc>
          <w:tcPr>
            <w:tcW w:w="1166" w:type="dxa"/>
            <w:shd w:val="clear" w:color="auto" w:fill="auto"/>
            <w:vAlign w:val="center"/>
          </w:tcPr>
          <w:p w14:paraId="7975FAD8">
            <w:pPr>
              <w:jc w:val="center"/>
              <w:rPr>
                <w:rFonts w:hint="eastAsia" w:ascii="Times New Roman" w:hAnsi="Times New Roman" w:eastAsia="宋体" w:cs="Times New Roman"/>
                <w:kern w:val="2"/>
                <w:sz w:val="21"/>
                <w:szCs w:val="22"/>
                <w:lang w:val="en-US" w:eastAsia="zh-CN" w:bidi="ar-SA"/>
              </w:rPr>
            </w:pPr>
            <w:r>
              <w:t>HN-119</w:t>
            </w:r>
          </w:p>
        </w:tc>
        <w:tc>
          <w:tcPr>
            <w:tcW w:w="1826" w:type="dxa"/>
            <w:shd w:val="clear" w:color="auto" w:fill="auto"/>
            <w:vAlign w:val="center"/>
          </w:tcPr>
          <w:p w14:paraId="51C4B792">
            <w:pPr>
              <w:jc w:val="center"/>
              <w:rPr>
                <w:rFonts w:ascii="Times New Roman" w:hAnsi="Times New Roman" w:eastAsia="宋体" w:cs="Times New Roman"/>
                <w:kern w:val="2"/>
                <w:sz w:val="21"/>
                <w:szCs w:val="22"/>
                <w:lang w:val="en-US" w:eastAsia="zh-CN" w:bidi="ar-SA"/>
              </w:rPr>
            </w:pPr>
            <w:r>
              <w:t>231812010321</w:t>
            </w:r>
          </w:p>
        </w:tc>
      </w:tr>
      <w:tr w14:paraId="29DABE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16" w:type="dxa"/>
            <w:vMerge w:val="restart"/>
            <w:shd w:val="clear" w:color="auto" w:fill="auto"/>
            <w:vAlign w:val="center"/>
          </w:tcPr>
          <w:p w14:paraId="38D33558">
            <w:pPr>
              <w:jc w:val="center"/>
              <w:rPr>
                <w:rFonts w:ascii="Times New Roman" w:hAnsi="Times New Roman" w:eastAsia="宋体" w:cs="Times New Roman"/>
                <w:kern w:val="2"/>
                <w:sz w:val="21"/>
                <w:szCs w:val="22"/>
                <w:lang w:val="en-US" w:eastAsia="zh-CN" w:bidi="ar-SA"/>
              </w:rPr>
            </w:pPr>
            <w:r>
              <w:t>氨氮</w:t>
            </w:r>
          </w:p>
        </w:tc>
        <w:tc>
          <w:tcPr>
            <w:tcW w:w="3857" w:type="dxa"/>
            <w:shd w:val="clear" w:color="auto" w:fill="auto"/>
            <w:vAlign w:val="center"/>
          </w:tcPr>
          <w:p w14:paraId="10C1FE05">
            <w:pPr>
              <w:jc w:val="center"/>
              <w:rPr>
                <w:rFonts w:hint="eastAsia" w:ascii="Times New Roman" w:hAnsi="Times New Roman" w:eastAsia="宋体" w:cs="Times New Roman"/>
                <w:kern w:val="0"/>
                <w:sz w:val="21"/>
                <w:szCs w:val="22"/>
                <w:lang w:val="en-US" w:eastAsia="zh-CN" w:bidi="ar-SA"/>
              </w:rPr>
            </w:pPr>
            <w:r>
              <w:t>百分之一天平YP1002</w:t>
            </w:r>
          </w:p>
        </w:tc>
        <w:tc>
          <w:tcPr>
            <w:tcW w:w="1166" w:type="dxa"/>
            <w:shd w:val="clear" w:color="auto" w:fill="auto"/>
            <w:vAlign w:val="center"/>
          </w:tcPr>
          <w:p w14:paraId="7E243F9D">
            <w:pPr>
              <w:jc w:val="center"/>
              <w:rPr>
                <w:rFonts w:hint="eastAsia" w:ascii="Times New Roman" w:hAnsi="Times New Roman" w:eastAsia="宋体" w:cs="Times New Roman"/>
                <w:kern w:val="2"/>
                <w:sz w:val="21"/>
                <w:szCs w:val="22"/>
                <w:lang w:val="en-US" w:eastAsia="zh-CN" w:bidi="ar-SA"/>
              </w:rPr>
            </w:pPr>
            <w:r>
              <w:t>HN-026</w:t>
            </w:r>
          </w:p>
        </w:tc>
        <w:tc>
          <w:tcPr>
            <w:tcW w:w="1826" w:type="dxa"/>
            <w:shd w:val="clear" w:color="auto" w:fill="auto"/>
            <w:vAlign w:val="center"/>
          </w:tcPr>
          <w:p w14:paraId="48D3FB05">
            <w:pPr>
              <w:jc w:val="center"/>
              <w:rPr>
                <w:rFonts w:ascii="Times New Roman" w:hAnsi="Times New Roman" w:eastAsia="宋体" w:cs="Times New Roman"/>
                <w:kern w:val="2"/>
                <w:sz w:val="21"/>
                <w:szCs w:val="22"/>
                <w:lang w:val="en-US" w:eastAsia="zh-CN" w:bidi="ar-SA"/>
              </w:rPr>
            </w:pPr>
            <w:r>
              <w:t>2516</w:t>
            </w:r>
          </w:p>
        </w:tc>
      </w:tr>
      <w:tr w14:paraId="4D226F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16" w:type="dxa"/>
            <w:vMerge w:val="continue"/>
            <w:vAlign w:val="center"/>
          </w:tcPr>
          <w:p w14:paraId="17BA217B">
            <w:pPr>
              <w:jc w:val="center"/>
              <w:rPr>
                <w:color w:val="000000" w:themeColor="text1"/>
                <w:kern w:val="0"/>
                <w14:textFill>
                  <w14:solidFill>
                    <w14:schemeClr w14:val="tx1"/>
                  </w14:solidFill>
                </w14:textFill>
              </w:rPr>
            </w:pPr>
          </w:p>
        </w:tc>
        <w:tc>
          <w:tcPr>
            <w:tcW w:w="3857" w:type="dxa"/>
            <w:shd w:val="clear" w:color="auto" w:fill="auto"/>
            <w:vAlign w:val="center"/>
          </w:tcPr>
          <w:p w14:paraId="2BCE6A2A">
            <w:pPr>
              <w:jc w:val="center"/>
              <w:rPr>
                <w:rFonts w:hint="eastAsia" w:ascii="Times New Roman" w:hAnsi="Times New Roman" w:eastAsia="宋体" w:cs="Times New Roman"/>
                <w:kern w:val="0"/>
                <w:sz w:val="21"/>
                <w:szCs w:val="22"/>
                <w:lang w:val="en-US" w:eastAsia="zh-CN" w:bidi="ar-SA"/>
              </w:rPr>
            </w:pPr>
            <w:r>
              <w:t>50.00mL酸式滴定管</w:t>
            </w:r>
          </w:p>
        </w:tc>
        <w:tc>
          <w:tcPr>
            <w:tcW w:w="1166" w:type="dxa"/>
            <w:shd w:val="clear" w:color="auto" w:fill="auto"/>
            <w:vAlign w:val="center"/>
          </w:tcPr>
          <w:p w14:paraId="0537703F">
            <w:pPr>
              <w:jc w:val="center"/>
              <w:rPr>
                <w:rFonts w:hint="eastAsia" w:ascii="Times New Roman" w:hAnsi="Times New Roman" w:eastAsia="宋体" w:cs="Times New Roman"/>
                <w:kern w:val="2"/>
                <w:sz w:val="21"/>
                <w:szCs w:val="22"/>
                <w:lang w:val="en-US" w:eastAsia="zh-CN" w:bidi="ar-SA"/>
              </w:rPr>
            </w:pPr>
            <w:r>
              <w:t>HN-066-5</w:t>
            </w:r>
          </w:p>
        </w:tc>
        <w:tc>
          <w:tcPr>
            <w:tcW w:w="1826" w:type="dxa"/>
            <w:shd w:val="clear" w:color="auto" w:fill="auto"/>
            <w:vAlign w:val="center"/>
          </w:tcPr>
          <w:p w14:paraId="11F1A994">
            <w:pPr>
              <w:jc w:val="center"/>
              <w:rPr>
                <w:rFonts w:ascii="Times New Roman" w:hAnsi="Times New Roman" w:eastAsia="宋体" w:cs="Times New Roman"/>
                <w:kern w:val="2"/>
                <w:sz w:val="21"/>
                <w:szCs w:val="22"/>
                <w:lang w:val="en-US" w:eastAsia="zh-CN" w:bidi="ar-SA"/>
              </w:rPr>
            </w:pPr>
            <w:r>
              <w:t>158971</w:t>
            </w:r>
          </w:p>
        </w:tc>
      </w:tr>
      <w:tr w14:paraId="20E64E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16" w:type="dxa"/>
            <w:vMerge w:val="restart"/>
            <w:shd w:val="clear" w:color="auto" w:fill="auto"/>
            <w:vAlign w:val="center"/>
          </w:tcPr>
          <w:p w14:paraId="6C85150C">
            <w:pPr>
              <w:jc w:val="center"/>
              <w:rPr>
                <w:rFonts w:ascii="Times New Roman" w:hAnsi="Times New Roman" w:eastAsia="宋体" w:cs="Times New Roman"/>
                <w:kern w:val="2"/>
                <w:sz w:val="21"/>
                <w:szCs w:val="22"/>
                <w:lang w:val="en-US" w:eastAsia="zh-CN" w:bidi="ar-SA"/>
              </w:rPr>
            </w:pPr>
            <w:r>
              <w:t>化学需氧量</w:t>
            </w:r>
          </w:p>
        </w:tc>
        <w:tc>
          <w:tcPr>
            <w:tcW w:w="3857" w:type="dxa"/>
            <w:shd w:val="clear" w:color="auto" w:fill="auto"/>
            <w:vAlign w:val="center"/>
          </w:tcPr>
          <w:p w14:paraId="381A1409">
            <w:pPr>
              <w:jc w:val="center"/>
              <w:rPr>
                <w:rFonts w:hint="eastAsia" w:ascii="Times New Roman" w:hAnsi="Times New Roman" w:eastAsia="宋体" w:cs="Times New Roman"/>
                <w:kern w:val="0"/>
                <w:sz w:val="21"/>
                <w:szCs w:val="22"/>
                <w:lang w:val="en-US" w:eastAsia="zh-CN" w:bidi="ar-SA"/>
              </w:rPr>
            </w:pPr>
            <w:r>
              <w:t>COD消解器HCH-100</w:t>
            </w:r>
          </w:p>
        </w:tc>
        <w:tc>
          <w:tcPr>
            <w:tcW w:w="1166" w:type="dxa"/>
            <w:shd w:val="clear" w:color="auto" w:fill="auto"/>
            <w:vAlign w:val="center"/>
          </w:tcPr>
          <w:p w14:paraId="67C389CE">
            <w:pPr>
              <w:jc w:val="center"/>
              <w:rPr>
                <w:rFonts w:hint="eastAsia" w:ascii="Times New Roman" w:hAnsi="Times New Roman" w:eastAsia="宋体" w:cs="Times New Roman"/>
                <w:kern w:val="2"/>
                <w:sz w:val="21"/>
                <w:szCs w:val="22"/>
                <w:lang w:val="en-US" w:eastAsia="zh-CN" w:bidi="ar-SA"/>
              </w:rPr>
            </w:pPr>
            <w:r>
              <w:t>HN-263</w:t>
            </w:r>
          </w:p>
        </w:tc>
        <w:tc>
          <w:tcPr>
            <w:tcW w:w="1826" w:type="dxa"/>
            <w:shd w:val="clear" w:color="auto" w:fill="auto"/>
            <w:vAlign w:val="center"/>
          </w:tcPr>
          <w:p w14:paraId="470FDBC0">
            <w:pPr>
              <w:jc w:val="center"/>
              <w:rPr>
                <w:rFonts w:ascii="Times New Roman" w:hAnsi="Times New Roman" w:eastAsia="宋体" w:cs="Times New Roman"/>
                <w:kern w:val="2"/>
                <w:sz w:val="21"/>
                <w:szCs w:val="22"/>
                <w:lang w:val="en-US" w:eastAsia="zh-CN" w:bidi="ar-SA"/>
              </w:rPr>
            </w:pPr>
            <w:r>
              <w:t>1018040</w:t>
            </w:r>
          </w:p>
        </w:tc>
      </w:tr>
      <w:tr w14:paraId="504374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16" w:type="dxa"/>
            <w:vMerge w:val="continue"/>
            <w:vAlign w:val="center"/>
          </w:tcPr>
          <w:p w14:paraId="54E5A1A3">
            <w:pPr>
              <w:jc w:val="center"/>
              <w:rPr>
                <w:color w:val="000000" w:themeColor="text1"/>
                <w:kern w:val="0"/>
                <w14:textFill>
                  <w14:solidFill>
                    <w14:schemeClr w14:val="tx1"/>
                  </w14:solidFill>
                </w14:textFill>
              </w:rPr>
            </w:pPr>
          </w:p>
        </w:tc>
        <w:tc>
          <w:tcPr>
            <w:tcW w:w="3857" w:type="dxa"/>
            <w:shd w:val="clear" w:color="auto" w:fill="auto"/>
            <w:vAlign w:val="center"/>
          </w:tcPr>
          <w:p w14:paraId="3C6C9376">
            <w:pPr>
              <w:jc w:val="center"/>
              <w:rPr>
                <w:rFonts w:hint="eastAsia" w:ascii="Times New Roman" w:hAnsi="Times New Roman" w:eastAsia="宋体" w:cs="Times New Roman"/>
                <w:kern w:val="0"/>
                <w:sz w:val="21"/>
                <w:szCs w:val="22"/>
                <w:lang w:val="en-US" w:eastAsia="zh-CN" w:bidi="ar-SA"/>
              </w:rPr>
            </w:pPr>
            <w:r>
              <w:t>50.00mL酸式滴定管</w:t>
            </w:r>
          </w:p>
        </w:tc>
        <w:tc>
          <w:tcPr>
            <w:tcW w:w="1166" w:type="dxa"/>
            <w:shd w:val="clear" w:color="auto" w:fill="auto"/>
            <w:vAlign w:val="center"/>
          </w:tcPr>
          <w:p w14:paraId="6AAB17BB">
            <w:pPr>
              <w:jc w:val="center"/>
              <w:rPr>
                <w:rFonts w:hint="eastAsia" w:ascii="Times New Roman" w:hAnsi="Times New Roman" w:eastAsia="宋体" w:cs="Times New Roman"/>
                <w:kern w:val="2"/>
                <w:sz w:val="21"/>
                <w:szCs w:val="22"/>
                <w:lang w:val="en-US" w:eastAsia="zh-CN" w:bidi="ar-SA"/>
              </w:rPr>
            </w:pPr>
            <w:r>
              <w:t>HN-066-4</w:t>
            </w:r>
          </w:p>
        </w:tc>
        <w:tc>
          <w:tcPr>
            <w:tcW w:w="1826" w:type="dxa"/>
            <w:shd w:val="clear" w:color="auto" w:fill="auto"/>
            <w:vAlign w:val="center"/>
          </w:tcPr>
          <w:p w14:paraId="1147811B">
            <w:pPr>
              <w:jc w:val="center"/>
              <w:rPr>
                <w:rFonts w:ascii="Times New Roman" w:hAnsi="Times New Roman" w:eastAsia="宋体" w:cs="Times New Roman"/>
                <w:kern w:val="2"/>
                <w:sz w:val="21"/>
                <w:szCs w:val="22"/>
                <w:lang w:val="en-US" w:eastAsia="zh-CN" w:bidi="ar-SA"/>
              </w:rPr>
            </w:pPr>
            <w:r>
              <w:t>167083</w:t>
            </w:r>
          </w:p>
        </w:tc>
      </w:tr>
      <w:tr w14:paraId="6FB980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16" w:type="dxa"/>
            <w:vMerge w:val="restart"/>
            <w:shd w:val="clear" w:color="auto" w:fill="auto"/>
            <w:vAlign w:val="center"/>
          </w:tcPr>
          <w:p w14:paraId="174E4B09">
            <w:pPr>
              <w:jc w:val="center"/>
              <w:rPr>
                <w:rFonts w:ascii="Times New Roman" w:hAnsi="Times New Roman" w:eastAsia="宋体" w:cs="Times New Roman"/>
                <w:kern w:val="2"/>
                <w:sz w:val="21"/>
                <w:szCs w:val="22"/>
                <w:lang w:val="en-US" w:eastAsia="zh-CN" w:bidi="ar-SA"/>
              </w:rPr>
            </w:pPr>
            <w:r>
              <w:rPr>
                <w:kern w:val="0"/>
              </w:rPr>
              <w:t>五日生化需氧量</w:t>
            </w:r>
          </w:p>
        </w:tc>
        <w:tc>
          <w:tcPr>
            <w:tcW w:w="3857" w:type="dxa"/>
            <w:shd w:val="clear" w:color="auto" w:fill="auto"/>
            <w:vAlign w:val="center"/>
          </w:tcPr>
          <w:p w14:paraId="7D70F4E6">
            <w:pPr>
              <w:jc w:val="center"/>
              <w:rPr>
                <w:rFonts w:hint="eastAsia" w:ascii="Times New Roman" w:hAnsi="Times New Roman" w:eastAsia="宋体" w:cs="Times New Roman"/>
                <w:kern w:val="2"/>
                <w:sz w:val="21"/>
                <w:szCs w:val="22"/>
                <w:lang w:val="en-US" w:eastAsia="zh-CN" w:bidi="ar-SA"/>
              </w:rPr>
            </w:pPr>
            <w:r>
              <w:t>生化培养箱SPX-250L</w:t>
            </w:r>
          </w:p>
        </w:tc>
        <w:tc>
          <w:tcPr>
            <w:tcW w:w="1166" w:type="dxa"/>
            <w:shd w:val="clear" w:color="auto" w:fill="auto"/>
            <w:vAlign w:val="center"/>
          </w:tcPr>
          <w:p w14:paraId="5FE51553">
            <w:pPr>
              <w:jc w:val="center"/>
              <w:rPr>
                <w:rFonts w:hint="eastAsia" w:ascii="Times New Roman" w:hAnsi="Times New Roman" w:eastAsia="宋体" w:cs="Times New Roman"/>
                <w:kern w:val="2"/>
                <w:sz w:val="21"/>
                <w:szCs w:val="22"/>
                <w:lang w:val="en-US" w:eastAsia="zh-CN" w:bidi="ar-SA"/>
              </w:rPr>
            </w:pPr>
            <w:r>
              <w:t>HN-161-2</w:t>
            </w:r>
          </w:p>
        </w:tc>
        <w:tc>
          <w:tcPr>
            <w:tcW w:w="1826" w:type="dxa"/>
            <w:shd w:val="clear" w:color="auto" w:fill="auto"/>
            <w:vAlign w:val="center"/>
          </w:tcPr>
          <w:p w14:paraId="0A89F290">
            <w:pPr>
              <w:jc w:val="center"/>
              <w:rPr>
                <w:rFonts w:ascii="Times New Roman" w:hAnsi="Times New Roman" w:eastAsia="宋体" w:cs="Times New Roman"/>
                <w:kern w:val="2"/>
                <w:sz w:val="21"/>
                <w:szCs w:val="22"/>
                <w:lang w:val="en-US" w:eastAsia="zh-CN" w:bidi="ar-SA"/>
              </w:rPr>
            </w:pPr>
            <w:r>
              <w:t>2108054</w:t>
            </w:r>
          </w:p>
        </w:tc>
      </w:tr>
      <w:tr w14:paraId="285857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16" w:type="dxa"/>
            <w:vMerge w:val="continue"/>
            <w:vAlign w:val="center"/>
          </w:tcPr>
          <w:p w14:paraId="2062BE74">
            <w:pPr>
              <w:jc w:val="center"/>
              <w:rPr>
                <w:color w:val="000000" w:themeColor="text1"/>
                <w:kern w:val="0"/>
                <w14:textFill>
                  <w14:solidFill>
                    <w14:schemeClr w14:val="tx1"/>
                  </w14:solidFill>
                </w14:textFill>
              </w:rPr>
            </w:pPr>
          </w:p>
        </w:tc>
        <w:tc>
          <w:tcPr>
            <w:tcW w:w="3857" w:type="dxa"/>
            <w:shd w:val="clear" w:color="auto" w:fill="auto"/>
            <w:vAlign w:val="center"/>
          </w:tcPr>
          <w:p w14:paraId="1CAD52F3">
            <w:pPr>
              <w:jc w:val="center"/>
              <w:rPr>
                <w:rFonts w:hint="eastAsia" w:ascii="Times New Roman" w:hAnsi="Times New Roman" w:eastAsia="宋体" w:cs="Times New Roman"/>
                <w:kern w:val="2"/>
                <w:sz w:val="21"/>
                <w:szCs w:val="22"/>
                <w:lang w:val="en-US" w:eastAsia="zh-CN" w:bidi="ar-SA"/>
              </w:rPr>
            </w:pPr>
            <w:r>
              <w:t>溶解氧测定仪JPSJ-605F</w:t>
            </w:r>
          </w:p>
        </w:tc>
        <w:tc>
          <w:tcPr>
            <w:tcW w:w="1166" w:type="dxa"/>
            <w:shd w:val="clear" w:color="auto" w:fill="auto"/>
            <w:vAlign w:val="center"/>
          </w:tcPr>
          <w:p w14:paraId="4C075576">
            <w:pPr>
              <w:jc w:val="center"/>
              <w:rPr>
                <w:rFonts w:hint="eastAsia" w:ascii="Times New Roman" w:hAnsi="Times New Roman" w:eastAsia="宋体" w:cs="Times New Roman"/>
                <w:kern w:val="2"/>
                <w:sz w:val="21"/>
                <w:szCs w:val="22"/>
                <w:lang w:val="en-US" w:eastAsia="zh-CN" w:bidi="ar-SA"/>
              </w:rPr>
            </w:pPr>
            <w:r>
              <w:t>HN-164-2</w:t>
            </w:r>
          </w:p>
        </w:tc>
        <w:tc>
          <w:tcPr>
            <w:tcW w:w="1826" w:type="dxa"/>
            <w:shd w:val="clear" w:color="auto" w:fill="auto"/>
            <w:vAlign w:val="center"/>
          </w:tcPr>
          <w:p w14:paraId="3C778EA6">
            <w:pPr>
              <w:jc w:val="center"/>
              <w:rPr>
                <w:rFonts w:ascii="Times New Roman" w:hAnsi="Times New Roman" w:eastAsia="宋体" w:cs="Times New Roman"/>
                <w:kern w:val="2"/>
                <w:sz w:val="21"/>
                <w:szCs w:val="22"/>
                <w:lang w:val="en-US" w:eastAsia="zh-CN" w:bidi="ar-SA"/>
              </w:rPr>
            </w:pPr>
            <w:r>
              <w:t>630617N0021100013</w:t>
            </w:r>
          </w:p>
        </w:tc>
      </w:tr>
      <w:tr w14:paraId="002EB7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16" w:type="dxa"/>
            <w:shd w:val="clear" w:color="auto" w:fill="auto"/>
            <w:vAlign w:val="center"/>
          </w:tcPr>
          <w:p w14:paraId="2EC9C770">
            <w:pPr>
              <w:jc w:val="center"/>
              <w:rPr>
                <w:rFonts w:ascii="Times New Roman" w:hAnsi="Times New Roman" w:eastAsia="宋体" w:cs="Times New Roman"/>
                <w:kern w:val="2"/>
                <w:sz w:val="21"/>
                <w:szCs w:val="22"/>
                <w:lang w:val="en-US" w:eastAsia="zh-CN" w:bidi="ar-SA"/>
              </w:rPr>
            </w:pPr>
            <w:r>
              <w:t>硫酸雾、氟化物（废水）</w:t>
            </w:r>
            <w:r>
              <w:rPr>
                <w:rFonts w:hint="eastAsia"/>
              </w:rPr>
              <w:t>、氯化氢（无组织）</w:t>
            </w:r>
          </w:p>
        </w:tc>
        <w:tc>
          <w:tcPr>
            <w:tcW w:w="3857" w:type="dxa"/>
            <w:shd w:val="clear" w:color="auto" w:fill="auto"/>
            <w:vAlign w:val="center"/>
          </w:tcPr>
          <w:p w14:paraId="61FA3D6A">
            <w:pPr>
              <w:jc w:val="center"/>
              <w:rPr>
                <w:rFonts w:hint="eastAsia" w:ascii="Times New Roman" w:hAnsi="Times New Roman" w:eastAsia="宋体" w:cs="Times New Roman"/>
                <w:kern w:val="2"/>
                <w:sz w:val="21"/>
                <w:szCs w:val="22"/>
                <w:lang w:val="en-US" w:eastAsia="zh-CN" w:bidi="ar-SA"/>
              </w:rPr>
            </w:pPr>
            <w:r>
              <w:t>离子色谱仪ICS-600</w:t>
            </w:r>
          </w:p>
        </w:tc>
        <w:tc>
          <w:tcPr>
            <w:tcW w:w="1166" w:type="dxa"/>
            <w:shd w:val="clear" w:color="auto" w:fill="auto"/>
            <w:vAlign w:val="center"/>
          </w:tcPr>
          <w:p w14:paraId="0D48C121">
            <w:pPr>
              <w:jc w:val="center"/>
              <w:rPr>
                <w:rFonts w:hint="eastAsia" w:ascii="Times New Roman" w:hAnsi="Times New Roman" w:eastAsia="宋体" w:cs="Times New Roman"/>
                <w:kern w:val="2"/>
                <w:sz w:val="21"/>
                <w:szCs w:val="22"/>
                <w:lang w:val="en-US" w:eastAsia="zh-CN" w:bidi="ar-SA"/>
              </w:rPr>
            </w:pPr>
            <w:r>
              <w:t>HN-195</w:t>
            </w:r>
          </w:p>
        </w:tc>
        <w:tc>
          <w:tcPr>
            <w:tcW w:w="1826" w:type="dxa"/>
            <w:shd w:val="clear" w:color="auto" w:fill="auto"/>
            <w:vAlign w:val="center"/>
          </w:tcPr>
          <w:p w14:paraId="405863DB">
            <w:pPr>
              <w:jc w:val="center"/>
              <w:rPr>
                <w:rFonts w:ascii="Times New Roman" w:hAnsi="Times New Roman" w:eastAsia="宋体" w:cs="Times New Roman"/>
                <w:kern w:val="2"/>
                <w:sz w:val="21"/>
                <w:szCs w:val="22"/>
                <w:lang w:val="en-US" w:eastAsia="zh-CN" w:bidi="ar-SA"/>
              </w:rPr>
            </w:pPr>
            <w:r>
              <w:t>Q31/0115000018C002-2015-01</w:t>
            </w:r>
          </w:p>
        </w:tc>
      </w:tr>
      <w:tr w14:paraId="39C4D3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16" w:type="dxa"/>
            <w:shd w:val="clear" w:color="auto" w:fill="auto"/>
            <w:vAlign w:val="center"/>
          </w:tcPr>
          <w:p w14:paraId="0D551871">
            <w:pPr>
              <w:jc w:val="center"/>
              <w:rPr>
                <w:rFonts w:ascii="Times New Roman" w:hAnsi="Times New Roman" w:eastAsia="宋体" w:cs="Times New Roman"/>
                <w:kern w:val="2"/>
                <w:sz w:val="21"/>
                <w:szCs w:val="22"/>
                <w:lang w:val="en-US" w:eastAsia="zh-CN" w:bidi="ar-SA"/>
              </w:rPr>
            </w:pPr>
            <w:r>
              <w:t>氟化物（有组织）</w:t>
            </w:r>
          </w:p>
        </w:tc>
        <w:tc>
          <w:tcPr>
            <w:tcW w:w="3857" w:type="dxa"/>
            <w:shd w:val="clear" w:color="auto" w:fill="auto"/>
            <w:vAlign w:val="center"/>
          </w:tcPr>
          <w:p w14:paraId="6F1BEC9A">
            <w:pPr>
              <w:jc w:val="center"/>
              <w:rPr>
                <w:rFonts w:hint="eastAsia" w:ascii="Times New Roman" w:hAnsi="Times New Roman" w:eastAsia="宋体" w:cs="Times New Roman"/>
                <w:kern w:val="2"/>
                <w:sz w:val="21"/>
                <w:szCs w:val="22"/>
                <w:lang w:val="en-US" w:eastAsia="zh-CN" w:bidi="ar-SA"/>
              </w:rPr>
            </w:pPr>
            <w:r>
              <w:t>精密离子计PXSJ-216F</w:t>
            </w:r>
          </w:p>
        </w:tc>
        <w:tc>
          <w:tcPr>
            <w:tcW w:w="1166" w:type="dxa"/>
            <w:shd w:val="clear" w:color="auto" w:fill="auto"/>
            <w:vAlign w:val="center"/>
          </w:tcPr>
          <w:p w14:paraId="168B6E14">
            <w:pPr>
              <w:jc w:val="center"/>
              <w:rPr>
                <w:rFonts w:hint="eastAsia" w:ascii="Times New Roman" w:hAnsi="Times New Roman" w:eastAsia="宋体" w:cs="Times New Roman"/>
                <w:kern w:val="2"/>
                <w:sz w:val="21"/>
                <w:szCs w:val="22"/>
                <w:lang w:val="en-US" w:eastAsia="zh-CN" w:bidi="ar-SA"/>
              </w:rPr>
            </w:pPr>
            <w:r>
              <w:t>HN-050</w:t>
            </w:r>
          </w:p>
        </w:tc>
        <w:tc>
          <w:tcPr>
            <w:tcW w:w="1826" w:type="dxa"/>
            <w:shd w:val="clear" w:color="auto" w:fill="auto"/>
            <w:vAlign w:val="center"/>
          </w:tcPr>
          <w:p w14:paraId="5F7918CF">
            <w:pPr>
              <w:jc w:val="center"/>
              <w:rPr>
                <w:rFonts w:ascii="Times New Roman" w:hAnsi="Times New Roman" w:eastAsia="宋体" w:cs="Times New Roman"/>
                <w:kern w:val="2"/>
                <w:sz w:val="21"/>
                <w:szCs w:val="22"/>
                <w:lang w:val="en-US" w:eastAsia="zh-CN" w:bidi="ar-SA"/>
              </w:rPr>
            </w:pPr>
            <w:r>
              <w:t>621421N1122020028</w:t>
            </w:r>
          </w:p>
        </w:tc>
      </w:tr>
      <w:tr w14:paraId="266DE4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16" w:type="dxa"/>
            <w:shd w:val="clear" w:color="auto" w:fill="auto"/>
            <w:vAlign w:val="center"/>
          </w:tcPr>
          <w:p w14:paraId="2068E252">
            <w:pPr>
              <w:jc w:val="center"/>
              <w:rPr>
                <w:rFonts w:ascii="Times New Roman" w:hAnsi="Times New Roman" w:eastAsia="宋体" w:cs="Times New Roman"/>
                <w:kern w:val="2"/>
                <w:sz w:val="21"/>
                <w:szCs w:val="22"/>
                <w:lang w:val="en-US" w:eastAsia="zh-CN" w:bidi="ar-SA"/>
              </w:rPr>
            </w:pPr>
            <w:r>
              <w:t>非甲烷总烃</w:t>
            </w:r>
          </w:p>
        </w:tc>
        <w:tc>
          <w:tcPr>
            <w:tcW w:w="3857" w:type="dxa"/>
            <w:shd w:val="clear" w:color="auto" w:fill="auto"/>
            <w:vAlign w:val="center"/>
          </w:tcPr>
          <w:p w14:paraId="33C10F93">
            <w:pPr>
              <w:jc w:val="center"/>
              <w:rPr>
                <w:rFonts w:hint="eastAsia" w:ascii="Times New Roman" w:hAnsi="Times New Roman" w:eastAsia="宋体" w:cs="Times New Roman"/>
                <w:kern w:val="2"/>
                <w:sz w:val="21"/>
                <w:szCs w:val="22"/>
                <w:lang w:val="en-US" w:eastAsia="zh-CN" w:bidi="ar-SA"/>
              </w:rPr>
            </w:pPr>
            <w:r>
              <w:t>气相色谱仪GC9790Ⅱ</w:t>
            </w:r>
          </w:p>
        </w:tc>
        <w:tc>
          <w:tcPr>
            <w:tcW w:w="1166" w:type="dxa"/>
            <w:shd w:val="clear" w:color="auto" w:fill="auto"/>
            <w:vAlign w:val="center"/>
          </w:tcPr>
          <w:p w14:paraId="6B71690F">
            <w:pPr>
              <w:jc w:val="center"/>
              <w:rPr>
                <w:rFonts w:hint="eastAsia" w:ascii="Times New Roman" w:hAnsi="Times New Roman" w:eastAsia="宋体" w:cs="Times New Roman"/>
                <w:kern w:val="2"/>
                <w:sz w:val="21"/>
                <w:szCs w:val="22"/>
                <w:lang w:val="en-US" w:eastAsia="zh-CN" w:bidi="ar-SA"/>
              </w:rPr>
            </w:pPr>
            <w:r>
              <w:t>HN-172</w:t>
            </w:r>
          </w:p>
        </w:tc>
        <w:tc>
          <w:tcPr>
            <w:tcW w:w="1826" w:type="dxa"/>
            <w:shd w:val="clear" w:color="auto" w:fill="auto"/>
            <w:vAlign w:val="center"/>
          </w:tcPr>
          <w:p w14:paraId="1D027778">
            <w:pPr>
              <w:jc w:val="center"/>
              <w:rPr>
                <w:rFonts w:ascii="Times New Roman" w:hAnsi="Times New Roman" w:eastAsia="宋体" w:cs="Times New Roman"/>
                <w:kern w:val="2"/>
                <w:sz w:val="21"/>
                <w:szCs w:val="22"/>
                <w:lang w:val="en-US" w:eastAsia="zh-CN" w:bidi="ar-SA"/>
              </w:rPr>
            </w:pPr>
            <w:r>
              <w:t>979002331</w:t>
            </w:r>
          </w:p>
        </w:tc>
      </w:tr>
      <w:tr w14:paraId="324CCE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16" w:type="dxa"/>
            <w:vMerge w:val="restart"/>
            <w:shd w:val="clear" w:color="auto" w:fill="auto"/>
            <w:vAlign w:val="center"/>
          </w:tcPr>
          <w:p w14:paraId="124C65A9">
            <w:pPr>
              <w:jc w:val="center"/>
              <w:rPr>
                <w:rFonts w:ascii="Times New Roman" w:hAnsi="Times New Roman" w:eastAsia="宋体" w:cs="Times New Roman"/>
                <w:bCs/>
                <w:kern w:val="2"/>
                <w:sz w:val="21"/>
                <w:szCs w:val="22"/>
                <w:lang w:val="en-US" w:eastAsia="zh-CN" w:bidi="ar-SA"/>
              </w:rPr>
            </w:pPr>
            <w:r>
              <w:t>厂界噪声</w:t>
            </w:r>
          </w:p>
        </w:tc>
        <w:tc>
          <w:tcPr>
            <w:tcW w:w="3857" w:type="dxa"/>
            <w:shd w:val="clear" w:color="auto" w:fill="auto"/>
            <w:vAlign w:val="center"/>
          </w:tcPr>
          <w:p w14:paraId="1D266280">
            <w:pPr>
              <w:jc w:val="center"/>
              <w:rPr>
                <w:rFonts w:hint="eastAsia" w:ascii="Times New Roman" w:hAnsi="Times New Roman" w:eastAsia="宋体" w:cs="Times New Roman"/>
                <w:kern w:val="2"/>
                <w:sz w:val="21"/>
                <w:szCs w:val="22"/>
                <w:lang w:val="en-US" w:eastAsia="zh-CN" w:bidi="ar-SA"/>
              </w:rPr>
            </w:pPr>
            <w:r>
              <w:t>声校准器AWA6221A</w:t>
            </w:r>
          </w:p>
        </w:tc>
        <w:tc>
          <w:tcPr>
            <w:tcW w:w="1166" w:type="dxa"/>
            <w:shd w:val="clear" w:color="auto" w:fill="auto"/>
            <w:vAlign w:val="center"/>
          </w:tcPr>
          <w:p w14:paraId="2913F12B">
            <w:pPr>
              <w:jc w:val="center"/>
              <w:rPr>
                <w:rFonts w:hint="eastAsia" w:ascii="Times New Roman" w:hAnsi="Times New Roman" w:eastAsia="宋体" w:cs="Times New Roman"/>
                <w:kern w:val="2"/>
                <w:sz w:val="21"/>
                <w:szCs w:val="22"/>
                <w:lang w:val="en-US" w:eastAsia="zh-CN" w:bidi="ar-SA"/>
              </w:rPr>
            </w:pPr>
            <w:r>
              <w:t>HN-110-1</w:t>
            </w:r>
          </w:p>
        </w:tc>
        <w:tc>
          <w:tcPr>
            <w:tcW w:w="1826" w:type="dxa"/>
            <w:vAlign w:val="center"/>
          </w:tcPr>
          <w:p w14:paraId="40FB6701">
            <w:pPr>
              <w:jc w:val="center"/>
              <w:rPr>
                <w:color w:val="000000" w:themeColor="text1"/>
                <w14:textFill>
                  <w14:solidFill>
                    <w14:schemeClr w14:val="tx1"/>
                  </w14:solidFill>
                </w14:textFill>
              </w:rPr>
            </w:pPr>
            <w:r>
              <w:t>1003594</w:t>
            </w:r>
          </w:p>
        </w:tc>
      </w:tr>
      <w:tr w14:paraId="700D2B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16" w:type="dxa"/>
            <w:vMerge w:val="continue"/>
            <w:vAlign w:val="center"/>
          </w:tcPr>
          <w:p w14:paraId="32C777BA">
            <w:pPr>
              <w:jc w:val="center"/>
              <w:rPr>
                <w:color w:val="000000" w:themeColor="text1"/>
                <w:kern w:val="0"/>
                <w14:textFill>
                  <w14:solidFill>
                    <w14:schemeClr w14:val="tx1"/>
                  </w14:solidFill>
                </w14:textFill>
              </w:rPr>
            </w:pPr>
          </w:p>
        </w:tc>
        <w:tc>
          <w:tcPr>
            <w:tcW w:w="3857" w:type="dxa"/>
            <w:shd w:val="clear" w:color="auto" w:fill="auto"/>
            <w:vAlign w:val="center"/>
          </w:tcPr>
          <w:p w14:paraId="773D0BA0">
            <w:pPr>
              <w:jc w:val="center"/>
              <w:rPr>
                <w:rFonts w:hint="eastAsia" w:ascii="Times New Roman" w:hAnsi="Times New Roman" w:eastAsia="宋体" w:cs="Times New Roman"/>
                <w:kern w:val="2"/>
                <w:sz w:val="21"/>
                <w:szCs w:val="22"/>
                <w:lang w:val="en-US" w:eastAsia="zh-CN" w:bidi="ar-SA"/>
              </w:rPr>
            </w:pPr>
            <w:r>
              <w:t>多功能声级计AWA6228</w:t>
            </w:r>
            <w:r>
              <w:rPr>
                <w:vertAlign w:val="superscript"/>
              </w:rPr>
              <w:t>+</w:t>
            </w:r>
          </w:p>
        </w:tc>
        <w:tc>
          <w:tcPr>
            <w:tcW w:w="1166" w:type="dxa"/>
            <w:shd w:val="clear" w:color="auto" w:fill="auto"/>
            <w:vAlign w:val="center"/>
          </w:tcPr>
          <w:p w14:paraId="5F52D972">
            <w:pPr>
              <w:jc w:val="center"/>
              <w:rPr>
                <w:rFonts w:hint="eastAsia" w:ascii="Times New Roman" w:hAnsi="Times New Roman" w:eastAsia="宋体" w:cs="Times New Roman"/>
                <w:kern w:val="2"/>
                <w:sz w:val="21"/>
                <w:szCs w:val="22"/>
                <w:lang w:val="en-US" w:eastAsia="zh-CN" w:bidi="ar-SA"/>
              </w:rPr>
            </w:pPr>
            <w:r>
              <w:t>HN-096-5</w:t>
            </w:r>
          </w:p>
        </w:tc>
        <w:tc>
          <w:tcPr>
            <w:tcW w:w="1826" w:type="dxa"/>
            <w:vAlign w:val="center"/>
          </w:tcPr>
          <w:p w14:paraId="2B0B0F78">
            <w:pPr>
              <w:jc w:val="center"/>
              <w:rPr>
                <w:color w:val="000000" w:themeColor="text1"/>
                <w14:textFill>
                  <w14:solidFill>
                    <w14:schemeClr w14:val="tx1"/>
                  </w14:solidFill>
                </w14:textFill>
              </w:rPr>
            </w:pPr>
            <w:r>
              <w:t>00310941</w:t>
            </w:r>
          </w:p>
        </w:tc>
      </w:tr>
      <w:tr w14:paraId="1F26A1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16" w:type="dxa"/>
            <w:vMerge w:val="restart"/>
            <w:vAlign w:val="center"/>
          </w:tcPr>
          <w:p w14:paraId="6BA514CF">
            <w:pPr>
              <w:jc w:val="center"/>
              <w:rPr>
                <w:rFonts w:hint="eastAsia"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氟化物（无组织）</w:t>
            </w:r>
          </w:p>
        </w:tc>
        <w:tc>
          <w:tcPr>
            <w:tcW w:w="3857" w:type="dxa"/>
            <w:shd w:val="clear" w:color="auto" w:fill="auto"/>
            <w:vAlign w:val="center"/>
          </w:tcPr>
          <w:p w14:paraId="5A42CACF">
            <w:pPr>
              <w:jc w:val="center"/>
              <w:rPr>
                <w:rFonts w:hint="default" w:eastAsia="宋体"/>
                <w:lang w:val="en-US" w:eastAsia="zh-CN"/>
              </w:rPr>
            </w:pPr>
            <w:r>
              <w:rPr>
                <w:rFonts w:hint="eastAsia"/>
                <w:lang w:val="en-US" w:eastAsia="zh-CN"/>
              </w:rPr>
              <w:t>高负压环境空气颗粒物采样器ZR-3920G</w:t>
            </w:r>
          </w:p>
        </w:tc>
        <w:tc>
          <w:tcPr>
            <w:tcW w:w="2992" w:type="dxa"/>
            <w:gridSpan w:val="2"/>
            <w:shd w:val="clear" w:color="auto" w:fill="auto"/>
            <w:vAlign w:val="center"/>
          </w:tcPr>
          <w:p w14:paraId="462446DE">
            <w:pPr>
              <w:jc w:val="center"/>
            </w:pPr>
            <w:r>
              <w:rPr>
                <w:rFonts w:hint="eastAsia"/>
                <w:lang w:val="en-US" w:eastAsia="zh-CN"/>
              </w:rPr>
              <w:t>3920G17102601</w:t>
            </w:r>
          </w:p>
        </w:tc>
      </w:tr>
      <w:tr w14:paraId="54CEEF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16" w:type="dxa"/>
            <w:vMerge w:val="continue"/>
            <w:tcBorders/>
            <w:vAlign w:val="center"/>
          </w:tcPr>
          <w:p w14:paraId="6C811780">
            <w:pPr>
              <w:jc w:val="center"/>
              <w:rPr>
                <w:rFonts w:hint="eastAsia"/>
                <w:color w:val="000000" w:themeColor="text1"/>
                <w:kern w:val="0"/>
                <w:lang w:val="en-US" w:eastAsia="zh-CN"/>
                <w14:textFill>
                  <w14:solidFill>
                    <w14:schemeClr w14:val="tx1"/>
                  </w14:solidFill>
                </w14:textFill>
              </w:rPr>
            </w:pPr>
          </w:p>
        </w:tc>
        <w:tc>
          <w:tcPr>
            <w:tcW w:w="3857" w:type="dxa"/>
            <w:shd w:val="clear" w:color="auto" w:fill="auto"/>
            <w:vAlign w:val="center"/>
          </w:tcPr>
          <w:p w14:paraId="2FEBDFE4">
            <w:pPr>
              <w:jc w:val="center"/>
            </w:pPr>
            <w:r>
              <w:rPr>
                <w:rFonts w:hint="eastAsia"/>
                <w:lang w:val="en-US" w:eastAsia="zh-CN"/>
              </w:rPr>
              <w:t>高负压环境空气颗粒物采样器ZR-3920G</w:t>
            </w:r>
          </w:p>
        </w:tc>
        <w:tc>
          <w:tcPr>
            <w:tcW w:w="2992" w:type="dxa"/>
            <w:gridSpan w:val="2"/>
            <w:shd w:val="clear" w:color="auto" w:fill="auto"/>
            <w:vAlign w:val="center"/>
          </w:tcPr>
          <w:p w14:paraId="1250EAF5">
            <w:pPr>
              <w:jc w:val="center"/>
              <w:rPr>
                <w:rFonts w:hint="default"/>
                <w:lang w:val="en-US"/>
              </w:rPr>
            </w:pPr>
            <w:r>
              <w:rPr>
                <w:rFonts w:hint="eastAsia"/>
                <w:lang w:val="en-US" w:eastAsia="zh-CN"/>
              </w:rPr>
              <w:t>3920G19039503</w:t>
            </w:r>
          </w:p>
        </w:tc>
      </w:tr>
      <w:tr w14:paraId="6F06F3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16" w:type="dxa"/>
            <w:vMerge w:val="continue"/>
            <w:tcBorders/>
            <w:vAlign w:val="center"/>
          </w:tcPr>
          <w:p w14:paraId="6B216517">
            <w:pPr>
              <w:jc w:val="center"/>
              <w:rPr>
                <w:rFonts w:hint="eastAsia"/>
                <w:color w:val="000000" w:themeColor="text1"/>
                <w:kern w:val="0"/>
                <w:lang w:val="en-US" w:eastAsia="zh-CN"/>
                <w14:textFill>
                  <w14:solidFill>
                    <w14:schemeClr w14:val="tx1"/>
                  </w14:solidFill>
                </w14:textFill>
              </w:rPr>
            </w:pPr>
          </w:p>
        </w:tc>
        <w:tc>
          <w:tcPr>
            <w:tcW w:w="3857" w:type="dxa"/>
            <w:shd w:val="clear" w:color="auto" w:fill="auto"/>
            <w:vAlign w:val="center"/>
          </w:tcPr>
          <w:p w14:paraId="078A9A5A">
            <w:pPr>
              <w:jc w:val="center"/>
              <w:rPr>
                <w:rFonts w:hint="default" w:eastAsia="宋体"/>
                <w:lang w:val="en-US" w:eastAsia="zh-CN"/>
              </w:rPr>
            </w:pPr>
            <w:r>
              <w:rPr>
                <w:rFonts w:hint="eastAsia"/>
                <w:lang w:val="en-US" w:eastAsia="zh-CN"/>
              </w:rPr>
              <w:t>离子计 BANTE931</w:t>
            </w:r>
          </w:p>
        </w:tc>
        <w:tc>
          <w:tcPr>
            <w:tcW w:w="2992" w:type="dxa"/>
            <w:gridSpan w:val="2"/>
            <w:shd w:val="clear" w:color="auto" w:fill="auto"/>
            <w:vAlign w:val="center"/>
          </w:tcPr>
          <w:p w14:paraId="5B39D98B">
            <w:pPr>
              <w:jc w:val="center"/>
              <w:rPr>
                <w:rFonts w:hint="default" w:eastAsia="宋体"/>
                <w:lang w:val="en-US" w:eastAsia="zh-CN"/>
              </w:rPr>
            </w:pPr>
            <w:r>
              <w:rPr>
                <w:rFonts w:hint="eastAsia"/>
                <w:lang w:val="en-US" w:eastAsia="zh-CN"/>
              </w:rPr>
              <w:t>20150807015</w:t>
            </w:r>
          </w:p>
        </w:tc>
      </w:tr>
      <w:tr w14:paraId="261CBC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16" w:type="dxa"/>
            <w:vAlign w:val="center"/>
          </w:tcPr>
          <w:p w14:paraId="1726424A">
            <w:pPr>
              <w:jc w:val="center"/>
              <w:rPr>
                <w:color w:val="000000" w:themeColor="text1"/>
                <w14:textFill>
                  <w14:solidFill>
                    <w14:schemeClr w14:val="tx1"/>
                  </w14:solidFill>
                </w14:textFill>
              </w:rPr>
            </w:pPr>
            <w:r>
              <w:rPr>
                <w:rFonts w:hint="eastAsia"/>
              </w:rPr>
              <w:t>备注</w:t>
            </w:r>
          </w:p>
        </w:tc>
        <w:tc>
          <w:tcPr>
            <w:tcW w:w="6849" w:type="dxa"/>
            <w:gridSpan w:val="3"/>
            <w:vAlign w:val="center"/>
          </w:tcPr>
          <w:p w14:paraId="31C9CF26">
            <w:pPr>
              <w:jc w:val="left"/>
              <w:rPr>
                <w:rFonts w:hint="default" w:eastAsia="宋体"/>
                <w:spacing w:val="-6"/>
                <w:lang w:val="en-US" w:eastAsia="zh-CN"/>
              </w:rPr>
            </w:pPr>
            <w:r>
              <w:rPr>
                <w:rFonts w:hint="eastAsia"/>
              </w:rPr>
              <w:t>备注：</w:t>
            </w:r>
            <w:r>
              <w:t>仪器在计量检定/校准有效期内使用</w:t>
            </w:r>
          </w:p>
        </w:tc>
      </w:tr>
    </w:tbl>
    <w:p w14:paraId="4F93C428">
      <w:pPr>
        <w:pStyle w:val="3"/>
      </w:pPr>
      <w:bookmarkStart w:id="198" w:name="_Toc30116"/>
      <w:r>
        <w:t>8.3人员</w:t>
      </w:r>
      <w:r>
        <w:rPr>
          <w:rFonts w:hint="eastAsia"/>
        </w:rPr>
        <w:t>能力</w:t>
      </w:r>
      <w:bookmarkEnd w:id="198"/>
    </w:p>
    <w:p w14:paraId="72D9088C">
      <w:pPr>
        <w:spacing w:line="490" w:lineRule="exact"/>
        <w:ind w:firstLine="480" w:firstLineChars="200"/>
        <w:rPr>
          <w:sz w:val="24"/>
          <w:szCs w:val="24"/>
        </w:rPr>
      </w:pPr>
      <w:r>
        <w:rPr>
          <w:rFonts w:hint="eastAsia"/>
          <w:sz w:val="24"/>
          <w:szCs w:val="24"/>
        </w:rPr>
        <w:t>监测</w:t>
      </w:r>
      <w:r>
        <w:rPr>
          <w:sz w:val="24"/>
          <w:szCs w:val="24"/>
        </w:rPr>
        <w:t>人员均为持证上岗，监测能力能够满足本次验收监测需要。</w:t>
      </w:r>
    </w:p>
    <w:p w14:paraId="0B29D0C8">
      <w:pPr>
        <w:pStyle w:val="3"/>
      </w:pPr>
      <w:bookmarkStart w:id="199" w:name="_Toc26987"/>
      <w:r>
        <w:t>8.4监测分析过程中的质量保证和质量控制</w:t>
      </w:r>
      <w:bookmarkEnd w:id="199"/>
    </w:p>
    <w:p w14:paraId="4C2537ED">
      <w:pPr>
        <w:spacing w:line="490" w:lineRule="exact"/>
        <w:ind w:firstLine="480" w:firstLineChars="200"/>
        <w:rPr>
          <w:sz w:val="24"/>
          <w:szCs w:val="24"/>
        </w:rPr>
      </w:pPr>
      <w:bookmarkStart w:id="200" w:name="_Toc513474996"/>
      <w:r>
        <w:rPr>
          <w:rFonts w:hint="eastAsia"/>
          <w:sz w:val="24"/>
          <w:szCs w:val="24"/>
        </w:rPr>
        <w:t>为了充分反映了污染物排放和环保设施的运行情况和确保此次验收监测所得数据的代表性、完整性和准确性，严格按照环境监测技术规范的要求，对监测的全过程（包括布点、采样、样品贮运、实验室分析、数据处理等）进行了质量控制。</w:t>
      </w:r>
    </w:p>
    <w:p w14:paraId="243096FD">
      <w:pPr>
        <w:pStyle w:val="4"/>
        <w:spacing w:before="0" w:after="0" w:line="490" w:lineRule="exact"/>
        <w:rPr>
          <w:sz w:val="24"/>
          <w:szCs w:val="24"/>
        </w:rPr>
      </w:pPr>
      <w:r>
        <w:rPr>
          <w:sz w:val="24"/>
          <w:szCs w:val="24"/>
        </w:rPr>
        <w:t>8.4.1水质监测分析</w:t>
      </w:r>
      <w:bookmarkEnd w:id="200"/>
    </w:p>
    <w:p w14:paraId="2CE68EBA">
      <w:pPr>
        <w:spacing w:line="490" w:lineRule="exact"/>
        <w:ind w:firstLine="480" w:firstLineChars="200"/>
        <w:rPr>
          <w:sz w:val="24"/>
          <w:szCs w:val="24"/>
        </w:rPr>
      </w:pPr>
      <w:r>
        <w:rPr>
          <w:rFonts w:hint="eastAsia"/>
          <w:sz w:val="24"/>
          <w:szCs w:val="24"/>
        </w:rPr>
        <w:t>水样的采集、运输、保存、实验室分析和数据计算的全过程均按照《污水监测技术规范》（HJ</w:t>
      </w:r>
      <w:r>
        <w:rPr>
          <w:sz w:val="24"/>
          <w:szCs w:val="24"/>
        </w:rPr>
        <w:t xml:space="preserve"> </w:t>
      </w:r>
      <w:r>
        <w:rPr>
          <w:rFonts w:hint="eastAsia"/>
          <w:sz w:val="24"/>
          <w:szCs w:val="24"/>
        </w:rPr>
        <w:t>91.1-2019）或《地表水环境质量监测技术规范》（HJ</w:t>
      </w:r>
      <w:r>
        <w:rPr>
          <w:sz w:val="24"/>
          <w:szCs w:val="24"/>
        </w:rPr>
        <w:t xml:space="preserve"> </w:t>
      </w:r>
      <w:r>
        <w:rPr>
          <w:rFonts w:hint="eastAsia"/>
          <w:sz w:val="24"/>
          <w:szCs w:val="24"/>
        </w:rPr>
        <w:t>91.2-2022）的要求进行。按分析方法中的要求采集全程序空白样品，空白测定值应满足分析方法中的要求，一般应低于方法检出限。如分析方法中未明确，每批次水样均应采集全程序空白样品，与水样一起送实验室分析。按分析方法中的要求采集现场平行样品。如分析方法中未明确，对均匀样品，凡能做平行双样（除现场监测项目、悬浮物、石油类、动植物油类、微生物等）的监测项目也应采集现场平行样品，每批次水样应采集不少于10%的现场平行样品，样品数量较少时，每批次水样至少做1份样品的现场平行样品。</w:t>
      </w:r>
    </w:p>
    <w:p w14:paraId="33E128EE">
      <w:pPr>
        <w:pStyle w:val="4"/>
        <w:spacing w:before="0" w:after="0" w:line="490" w:lineRule="exact"/>
        <w:rPr>
          <w:sz w:val="24"/>
          <w:szCs w:val="24"/>
        </w:rPr>
      </w:pPr>
      <w:r>
        <w:rPr>
          <w:sz w:val="24"/>
          <w:szCs w:val="24"/>
        </w:rPr>
        <w:t>8.4.2废气监测分析</w:t>
      </w:r>
    </w:p>
    <w:p w14:paraId="5FEBFD03">
      <w:pPr>
        <w:spacing w:line="490" w:lineRule="exact"/>
        <w:ind w:firstLine="480" w:firstLineChars="200"/>
        <w:rPr>
          <w:sz w:val="24"/>
          <w:szCs w:val="24"/>
        </w:rPr>
      </w:pPr>
      <w:r>
        <w:rPr>
          <w:sz w:val="24"/>
          <w:szCs w:val="24"/>
        </w:rPr>
        <w:t>在采样前用标准气体进行了校正，烟尘测试仪在采样前均进行了漏气检验，对采样器流量计、流速计等进行了校核，在测试时保证其采样流量。</w:t>
      </w:r>
    </w:p>
    <w:p w14:paraId="7B565206">
      <w:pPr>
        <w:pStyle w:val="4"/>
        <w:spacing w:before="0" w:after="0" w:line="490" w:lineRule="exact"/>
        <w:rPr>
          <w:sz w:val="24"/>
          <w:szCs w:val="24"/>
        </w:rPr>
      </w:pPr>
      <w:bookmarkStart w:id="201" w:name="_Toc466471087"/>
      <w:bookmarkStart w:id="202" w:name="_Toc513474998"/>
      <w:bookmarkStart w:id="203" w:name="_Toc371515769"/>
      <w:r>
        <w:rPr>
          <w:sz w:val="24"/>
          <w:szCs w:val="24"/>
        </w:rPr>
        <w:t>8.4.3噪声监测分析</w:t>
      </w:r>
      <w:bookmarkEnd w:id="201"/>
      <w:bookmarkEnd w:id="202"/>
      <w:bookmarkEnd w:id="203"/>
    </w:p>
    <w:p w14:paraId="3995ACA3">
      <w:pPr>
        <w:spacing w:line="490" w:lineRule="exact"/>
        <w:ind w:firstLine="480" w:firstLineChars="200"/>
        <w:rPr>
          <w:sz w:val="24"/>
          <w:szCs w:val="24"/>
        </w:rPr>
      </w:pPr>
      <w:r>
        <w:rPr>
          <w:rFonts w:hint="eastAsia"/>
          <w:sz w:val="24"/>
          <w:szCs w:val="24"/>
        </w:rPr>
        <w:t>监测时使用经计量部门检定、并在有效使用期内的声级计；声级计在测试前后用标准发生源进行校准，测量前后仪器的标准示值偏差不得大于0.5dB</w:t>
      </w:r>
      <w:r>
        <w:rPr>
          <w:sz w:val="24"/>
          <w:szCs w:val="24"/>
        </w:rPr>
        <w:t>。</w:t>
      </w:r>
    </w:p>
    <w:p w14:paraId="3E0CB7D1">
      <w:pPr>
        <w:pStyle w:val="3"/>
      </w:pPr>
      <w:bookmarkStart w:id="204" w:name="_Toc513474999"/>
      <w:bookmarkStart w:id="205" w:name="_Toc520988575"/>
      <w:bookmarkStart w:id="206" w:name="_Toc371515770"/>
      <w:bookmarkStart w:id="207" w:name="_Toc466471088"/>
      <w:bookmarkStart w:id="208" w:name="_Toc13390"/>
      <w:r>
        <w:t>8.5数据审核</w:t>
      </w:r>
      <w:bookmarkEnd w:id="204"/>
      <w:bookmarkEnd w:id="205"/>
      <w:bookmarkEnd w:id="206"/>
      <w:bookmarkEnd w:id="207"/>
      <w:bookmarkEnd w:id="208"/>
    </w:p>
    <w:p w14:paraId="08F49529">
      <w:pPr>
        <w:spacing w:line="490" w:lineRule="exact"/>
        <w:ind w:firstLine="480" w:firstLineChars="200"/>
        <w:rPr>
          <w:sz w:val="24"/>
          <w:szCs w:val="24"/>
        </w:rPr>
      </w:pPr>
      <w:r>
        <w:rPr>
          <w:sz w:val="24"/>
          <w:szCs w:val="24"/>
        </w:rPr>
        <w:t>监测数据的计算、检验、异常值剔除等按国家标准及《环境监测技术规范》等执行，数据及报告经三级审核合格报出。</w:t>
      </w:r>
    </w:p>
    <w:p w14:paraId="2A0AFD45">
      <w:pPr>
        <w:pStyle w:val="2"/>
      </w:pPr>
      <w:r>
        <w:rPr>
          <w:sz w:val="24"/>
          <w:szCs w:val="24"/>
        </w:rPr>
        <w:br w:type="page"/>
      </w:r>
      <w:bookmarkStart w:id="209" w:name="_Toc520988576"/>
      <w:bookmarkStart w:id="210" w:name="_Toc513475000"/>
      <w:bookmarkStart w:id="211" w:name="_Toc18666"/>
      <w:r>
        <w:t>9验收监测结果</w:t>
      </w:r>
      <w:bookmarkEnd w:id="209"/>
      <w:bookmarkEnd w:id="210"/>
      <w:bookmarkEnd w:id="211"/>
    </w:p>
    <w:p w14:paraId="02A2FC76">
      <w:pPr>
        <w:pStyle w:val="3"/>
      </w:pPr>
      <w:bookmarkStart w:id="212" w:name="_Toc520988577"/>
      <w:bookmarkStart w:id="213" w:name="_Toc513475001"/>
      <w:bookmarkStart w:id="214" w:name="_Toc13179"/>
      <w:r>
        <w:t>9.1生产工况</w:t>
      </w:r>
      <w:bookmarkEnd w:id="212"/>
      <w:bookmarkEnd w:id="213"/>
      <w:bookmarkEnd w:id="214"/>
    </w:p>
    <w:p w14:paraId="41BBFDC7">
      <w:pPr>
        <w:autoSpaceDE w:val="0"/>
        <w:autoSpaceDN w:val="0"/>
        <w:spacing w:line="490" w:lineRule="exact"/>
        <w:ind w:firstLine="480" w:firstLineChars="200"/>
        <w:rPr>
          <w:sz w:val="24"/>
          <w:szCs w:val="28"/>
        </w:rPr>
      </w:pPr>
      <w:r>
        <w:rPr>
          <w:rFonts w:hint="eastAsia"/>
          <w:sz w:val="24"/>
          <w:szCs w:val="28"/>
        </w:rPr>
        <w:t>重庆惠能标普科技有限公司</w:t>
      </w:r>
      <w:r>
        <w:rPr>
          <w:sz w:val="24"/>
          <w:szCs w:val="28"/>
        </w:rPr>
        <w:t>于</w:t>
      </w:r>
      <w:r>
        <w:rPr>
          <w:rFonts w:hint="eastAsia"/>
          <w:sz w:val="24"/>
          <w:szCs w:val="28"/>
        </w:rPr>
        <w:t>202</w:t>
      </w:r>
      <w:r>
        <w:rPr>
          <w:rFonts w:hint="eastAsia"/>
          <w:sz w:val="24"/>
          <w:szCs w:val="28"/>
          <w:lang w:val="en-US" w:eastAsia="zh-CN"/>
        </w:rPr>
        <w:t>5</w:t>
      </w:r>
      <w:r>
        <w:rPr>
          <w:rFonts w:hint="eastAsia"/>
          <w:sz w:val="24"/>
          <w:szCs w:val="28"/>
        </w:rPr>
        <w:t>年</w:t>
      </w:r>
      <w:r>
        <w:rPr>
          <w:rFonts w:hint="eastAsia"/>
          <w:sz w:val="24"/>
          <w:szCs w:val="28"/>
          <w:lang w:val="en-US" w:eastAsia="zh-CN"/>
        </w:rPr>
        <w:t>4</w:t>
      </w:r>
      <w:r>
        <w:rPr>
          <w:rFonts w:hint="eastAsia"/>
          <w:sz w:val="24"/>
          <w:szCs w:val="28"/>
        </w:rPr>
        <w:t>月</w:t>
      </w:r>
      <w:r>
        <w:rPr>
          <w:rFonts w:hint="eastAsia"/>
          <w:sz w:val="24"/>
          <w:szCs w:val="28"/>
          <w:lang w:val="en-US" w:eastAsia="zh-CN"/>
        </w:rPr>
        <w:t>24</w:t>
      </w:r>
      <w:r>
        <w:rPr>
          <w:rFonts w:hint="eastAsia"/>
          <w:sz w:val="24"/>
          <w:szCs w:val="28"/>
        </w:rPr>
        <w:t>日</w:t>
      </w:r>
      <w:r>
        <w:rPr>
          <w:rFonts w:hint="eastAsia"/>
          <w:sz w:val="24"/>
          <w:szCs w:val="28"/>
          <w:lang w:val="en-US" w:eastAsia="zh-CN"/>
        </w:rPr>
        <w:t>至4</w:t>
      </w:r>
      <w:r>
        <w:rPr>
          <w:rFonts w:hint="eastAsia"/>
          <w:sz w:val="24"/>
          <w:szCs w:val="28"/>
        </w:rPr>
        <w:t>月</w:t>
      </w:r>
      <w:r>
        <w:rPr>
          <w:rFonts w:hint="eastAsia"/>
          <w:sz w:val="24"/>
          <w:szCs w:val="28"/>
          <w:lang w:val="en-US" w:eastAsia="zh-CN"/>
        </w:rPr>
        <w:t>25</w:t>
      </w:r>
      <w:r>
        <w:rPr>
          <w:rFonts w:hint="eastAsia"/>
          <w:sz w:val="24"/>
          <w:szCs w:val="28"/>
        </w:rPr>
        <w:t>日</w:t>
      </w:r>
      <w:r>
        <w:rPr>
          <w:sz w:val="24"/>
          <w:szCs w:val="28"/>
        </w:rPr>
        <w:t>对</w:t>
      </w:r>
      <w:r>
        <w:rPr>
          <w:rFonts w:hint="eastAsia"/>
          <w:sz w:val="24"/>
          <w:szCs w:val="28"/>
          <w:lang w:eastAsia="zh-CN"/>
        </w:rPr>
        <w:t>“年产新型平板显示器件关键部件和材料（玻璃盖板）3840万片项目（二期工程）”</w:t>
      </w:r>
      <w:r>
        <w:rPr>
          <w:rFonts w:hint="eastAsia"/>
          <w:sz w:val="24"/>
          <w:szCs w:val="28"/>
        </w:rPr>
        <w:t>的废水、废气和噪声</w:t>
      </w:r>
      <w:r>
        <w:rPr>
          <w:rFonts w:hint="eastAsia"/>
          <w:sz w:val="24"/>
          <w:szCs w:val="28"/>
          <w:lang w:val="en-US" w:eastAsia="zh-CN"/>
        </w:rPr>
        <w:t>开展</w:t>
      </w:r>
      <w:r>
        <w:rPr>
          <w:rFonts w:hint="eastAsia"/>
          <w:sz w:val="24"/>
          <w:szCs w:val="28"/>
        </w:rPr>
        <w:t>现场监测</w:t>
      </w:r>
      <w:r>
        <w:rPr>
          <w:rFonts w:hint="eastAsia"/>
          <w:sz w:val="24"/>
          <w:szCs w:val="28"/>
          <w:lang w:eastAsia="zh-CN"/>
        </w:rPr>
        <w:t>。</w:t>
      </w:r>
      <w:r>
        <w:rPr>
          <w:rFonts w:hint="eastAsia"/>
          <w:sz w:val="24"/>
          <w:szCs w:val="28"/>
          <w:lang w:val="en-US" w:eastAsia="zh-CN"/>
        </w:rPr>
        <w:t>其中无组织废气中氟化物监测数据由分包单位</w:t>
      </w:r>
      <w:r>
        <w:rPr>
          <w:rFonts w:hint="eastAsia"/>
          <w:sz w:val="24"/>
          <w:szCs w:val="24"/>
          <w:highlight w:val="none"/>
          <w:lang w:val="en-US" w:eastAsia="zh-CN"/>
        </w:rPr>
        <w:t>重庆渝久环保产业有限公司提供，监测日期：2025年4月27日至28日，报告编号“渝久（监）字【2025】第YS14号”</w:t>
      </w:r>
      <w:r>
        <w:rPr>
          <w:sz w:val="24"/>
          <w:szCs w:val="28"/>
        </w:rPr>
        <w:t>。</w:t>
      </w:r>
    </w:p>
    <w:p w14:paraId="64039D00">
      <w:pPr>
        <w:autoSpaceDE w:val="0"/>
        <w:autoSpaceDN w:val="0"/>
        <w:spacing w:line="490" w:lineRule="exact"/>
        <w:ind w:firstLine="480" w:firstLineChars="200"/>
        <w:rPr>
          <w:sz w:val="24"/>
          <w:szCs w:val="28"/>
        </w:rPr>
      </w:pPr>
      <w:r>
        <w:rPr>
          <w:rFonts w:hint="eastAsia"/>
          <w:sz w:val="24"/>
          <w:szCs w:val="28"/>
        </w:rPr>
        <w:t>重庆京东方晶远科技有限公司建设手机后盖玻璃AG蚀刻生产线，并配套建设5条组装线，对原有项目B01厂房中生产的800万件手机玻璃后盖进行延伸加工，实施“年产新型平板显示器件关键部件和材料（玻璃盖板）3840万片项目（二期工程）”。</w:t>
      </w:r>
    </w:p>
    <w:p w14:paraId="2A1BF900">
      <w:pPr>
        <w:autoSpaceDE w:val="0"/>
        <w:autoSpaceDN w:val="0"/>
        <w:spacing w:line="490" w:lineRule="exact"/>
        <w:ind w:firstLine="480" w:firstLineChars="200"/>
        <w:rPr>
          <w:rFonts w:hint="eastAsia" w:eastAsia="宋体"/>
          <w:sz w:val="24"/>
          <w:szCs w:val="28"/>
          <w:lang w:val="en-US" w:eastAsia="zh-CN"/>
        </w:rPr>
      </w:pPr>
      <w:r>
        <w:rPr>
          <w:rFonts w:hint="eastAsia"/>
          <w:sz w:val="24"/>
          <w:szCs w:val="28"/>
          <w:lang w:eastAsia="zh-CN"/>
        </w:rPr>
        <w:t>2025年4月24日</w:t>
      </w:r>
      <w:r>
        <w:rPr>
          <w:rFonts w:hint="eastAsia"/>
          <w:sz w:val="24"/>
          <w:szCs w:val="28"/>
        </w:rPr>
        <w:t>生产手机玻璃后盖</w:t>
      </w:r>
      <w:r>
        <w:rPr>
          <w:rFonts w:hint="eastAsia"/>
          <w:sz w:val="24"/>
          <w:szCs w:val="28"/>
          <w:lang w:val="en-US" w:eastAsia="zh-CN"/>
        </w:rPr>
        <w:t>2.46万片</w:t>
      </w:r>
      <w:r>
        <w:rPr>
          <w:rFonts w:hint="eastAsia"/>
          <w:sz w:val="24"/>
          <w:szCs w:val="28"/>
        </w:rPr>
        <w:t>/天，生产负荷为</w:t>
      </w:r>
      <w:r>
        <w:rPr>
          <w:rFonts w:hint="eastAsia"/>
          <w:sz w:val="24"/>
          <w:szCs w:val="28"/>
          <w:lang w:val="en-US" w:eastAsia="zh-CN"/>
        </w:rPr>
        <w:t>77</w:t>
      </w:r>
      <w:r>
        <w:rPr>
          <w:rFonts w:hint="eastAsia"/>
          <w:sz w:val="24"/>
          <w:szCs w:val="28"/>
        </w:rPr>
        <w:t>%；</w:t>
      </w:r>
      <w:r>
        <w:rPr>
          <w:rFonts w:hint="eastAsia"/>
          <w:sz w:val="24"/>
          <w:szCs w:val="28"/>
          <w:lang w:eastAsia="zh-CN"/>
        </w:rPr>
        <w:t>2025年4月25日</w:t>
      </w:r>
      <w:r>
        <w:rPr>
          <w:rFonts w:hint="eastAsia"/>
          <w:sz w:val="24"/>
          <w:szCs w:val="28"/>
        </w:rPr>
        <w:t>生产手机玻璃后盖</w:t>
      </w:r>
      <w:r>
        <w:rPr>
          <w:rFonts w:hint="eastAsia"/>
          <w:sz w:val="24"/>
          <w:szCs w:val="28"/>
          <w:lang w:val="en-US" w:eastAsia="zh-CN"/>
        </w:rPr>
        <w:t>2.46万片</w:t>
      </w:r>
      <w:r>
        <w:rPr>
          <w:rFonts w:hint="eastAsia"/>
          <w:sz w:val="24"/>
          <w:szCs w:val="28"/>
        </w:rPr>
        <w:t>/天，生产负荷为</w:t>
      </w:r>
      <w:r>
        <w:rPr>
          <w:rFonts w:hint="eastAsia"/>
          <w:sz w:val="24"/>
          <w:szCs w:val="28"/>
          <w:lang w:val="en-US" w:eastAsia="zh-CN"/>
        </w:rPr>
        <w:t>77</w:t>
      </w:r>
      <w:r>
        <w:rPr>
          <w:rFonts w:hint="eastAsia"/>
          <w:sz w:val="24"/>
          <w:szCs w:val="28"/>
        </w:rPr>
        <w:t>%；</w:t>
      </w:r>
      <w:r>
        <w:rPr>
          <w:rFonts w:hint="eastAsia"/>
          <w:sz w:val="24"/>
          <w:szCs w:val="28"/>
          <w:lang w:eastAsia="zh-CN"/>
        </w:rPr>
        <w:t>2025年4月27日</w:t>
      </w:r>
      <w:r>
        <w:rPr>
          <w:rFonts w:hint="eastAsia"/>
          <w:sz w:val="24"/>
          <w:szCs w:val="28"/>
        </w:rPr>
        <w:t>生产手机玻璃后盖</w:t>
      </w:r>
      <w:r>
        <w:rPr>
          <w:rFonts w:hint="eastAsia"/>
          <w:sz w:val="24"/>
          <w:szCs w:val="28"/>
          <w:lang w:val="en-US" w:eastAsia="zh-CN"/>
        </w:rPr>
        <w:t>2.51万片</w:t>
      </w:r>
      <w:r>
        <w:rPr>
          <w:rFonts w:hint="eastAsia"/>
          <w:sz w:val="24"/>
          <w:szCs w:val="28"/>
        </w:rPr>
        <w:t>/天，生产负荷为</w:t>
      </w:r>
      <w:r>
        <w:rPr>
          <w:rFonts w:hint="eastAsia"/>
          <w:sz w:val="24"/>
          <w:szCs w:val="28"/>
          <w:lang w:val="en-US" w:eastAsia="zh-CN"/>
        </w:rPr>
        <w:t>78</w:t>
      </w:r>
      <w:r>
        <w:rPr>
          <w:rFonts w:hint="eastAsia"/>
          <w:sz w:val="24"/>
          <w:szCs w:val="28"/>
        </w:rPr>
        <w:t>%；</w:t>
      </w:r>
      <w:r>
        <w:rPr>
          <w:rFonts w:hint="eastAsia"/>
          <w:sz w:val="24"/>
          <w:szCs w:val="28"/>
          <w:lang w:eastAsia="zh-CN"/>
        </w:rPr>
        <w:t>2025年4月28日</w:t>
      </w:r>
      <w:r>
        <w:rPr>
          <w:rFonts w:hint="eastAsia"/>
          <w:sz w:val="24"/>
          <w:szCs w:val="28"/>
        </w:rPr>
        <w:t>生产手机玻璃后盖</w:t>
      </w:r>
      <w:r>
        <w:rPr>
          <w:rFonts w:hint="eastAsia"/>
          <w:sz w:val="24"/>
          <w:szCs w:val="28"/>
          <w:lang w:val="en-US" w:eastAsia="zh-CN"/>
        </w:rPr>
        <w:t>2.44万片</w:t>
      </w:r>
      <w:r>
        <w:rPr>
          <w:rFonts w:hint="eastAsia"/>
          <w:sz w:val="24"/>
          <w:szCs w:val="28"/>
        </w:rPr>
        <w:t>/天，生产负荷为</w:t>
      </w:r>
      <w:r>
        <w:rPr>
          <w:rFonts w:hint="eastAsia"/>
          <w:sz w:val="24"/>
          <w:szCs w:val="28"/>
          <w:lang w:val="en-US" w:eastAsia="zh-CN"/>
        </w:rPr>
        <w:t>76</w:t>
      </w:r>
      <w:r>
        <w:rPr>
          <w:rFonts w:hint="eastAsia"/>
          <w:sz w:val="24"/>
          <w:szCs w:val="28"/>
        </w:rPr>
        <w:t>%</w:t>
      </w:r>
      <w:r>
        <w:rPr>
          <w:rFonts w:hint="eastAsia"/>
          <w:sz w:val="24"/>
          <w:szCs w:val="28"/>
          <w:lang w:val="en-US" w:eastAsia="zh-CN"/>
        </w:rPr>
        <w:t>。</w:t>
      </w:r>
    </w:p>
    <w:p w14:paraId="05E57D91">
      <w:pPr>
        <w:pStyle w:val="3"/>
      </w:pPr>
      <w:bookmarkStart w:id="215" w:name="_Toc8717"/>
      <w:r>
        <w:t>9.2</w:t>
      </w:r>
      <w:r>
        <w:rPr>
          <w:rFonts w:hint="eastAsia"/>
        </w:rPr>
        <w:t>环保设施调试运行效果</w:t>
      </w:r>
      <w:bookmarkEnd w:id="215"/>
    </w:p>
    <w:p w14:paraId="1C0EFBFB">
      <w:pPr>
        <w:autoSpaceDE w:val="0"/>
        <w:autoSpaceDN w:val="0"/>
        <w:spacing w:line="490" w:lineRule="exact"/>
        <w:ind w:firstLine="480" w:firstLineChars="200"/>
        <w:rPr>
          <w:sz w:val="24"/>
          <w:szCs w:val="28"/>
        </w:rPr>
      </w:pPr>
      <w:r>
        <w:rPr>
          <w:rFonts w:hint="eastAsia"/>
          <w:sz w:val="24"/>
          <w:szCs w:val="28"/>
        </w:rPr>
        <w:t>重庆惠能标普科技有限公司于</w:t>
      </w:r>
      <w:r>
        <w:rPr>
          <w:rFonts w:hint="eastAsia"/>
          <w:sz w:val="24"/>
          <w:szCs w:val="28"/>
          <w:lang w:eastAsia="zh-CN"/>
        </w:rPr>
        <w:t>2025年4月24日</w:t>
      </w:r>
      <w:r>
        <w:rPr>
          <w:rFonts w:hint="eastAsia"/>
          <w:sz w:val="24"/>
          <w:szCs w:val="28"/>
        </w:rPr>
        <w:t>~</w:t>
      </w:r>
      <w:r>
        <w:rPr>
          <w:rFonts w:hint="eastAsia"/>
          <w:sz w:val="24"/>
          <w:szCs w:val="28"/>
          <w:lang w:val="en-US" w:eastAsia="zh-CN"/>
        </w:rPr>
        <w:t>4</w:t>
      </w:r>
      <w:r>
        <w:rPr>
          <w:rFonts w:hint="eastAsia"/>
          <w:sz w:val="24"/>
          <w:szCs w:val="28"/>
        </w:rPr>
        <w:t>月</w:t>
      </w:r>
      <w:r>
        <w:rPr>
          <w:rFonts w:hint="eastAsia"/>
          <w:sz w:val="24"/>
          <w:szCs w:val="28"/>
          <w:lang w:val="en-US" w:eastAsia="zh-CN"/>
        </w:rPr>
        <w:t>25</w:t>
      </w:r>
      <w:r>
        <w:rPr>
          <w:rFonts w:hint="eastAsia"/>
          <w:sz w:val="24"/>
          <w:szCs w:val="28"/>
        </w:rPr>
        <w:t>日对项目废气、废水、噪声等污染物排放情况进行了验收监测</w:t>
      </w:r>
      <w:r>
        <w:rPr>
          <w:rFonts w:hint="eastAsia"/>
          <w:sz w:val="24"/>
          <w:szCs w:val="28"/>
          <w:lang w:eastAsia="zh-CN"/>
        </w:rPr>
        <w:t>；</w:t>
      </w:r>
      <w:r>
        <w:rPr>
          <w:rFonts w:hint="eastAsia"/>
          <w:sz w:val="24"/>
          <w:szCs w:val="24"/>
          <w:highlight w:val="none"/>
          <w:lang w:val="en-US" w:eastAsia="zh-CN"/>
        </w:rPr>
        <w:t>重庆渝久环保产业有限公司</w:t>
      </w:r>
      <w:r>
        <w:rPr>
          <w:rFonts w:hint="eastAsia"/>
          <w:sz w:val="24"/>
          <w:szCs w:val="28"/>
          <w:lang w:eastAsia="zh-CN"/>
        </w:rPr>
        <w:t>2025年4月27日</w:t>
      </w:r>
      <w:r>
        <w:rPr>
          <w:rFonts w:hint="eastAsia"/>
          <w:sz w:val="24"/>
          <w:szCs w:val="28"/>
        </w:rPr>
        <w:t>~</w:t>
      </w:r>
      <w:r>
        <w:rPr>
          <w:rFonts w:hint="eastAsia"/>
          <w:sz w:val="24"/>
          <w:szCs w:val="28"/>
          <w:lang w:val="en-US" w:eastAsia="zh-CN"/>
        </w:rPr>
        <w:t>4</w:t>
      </w:r>
      <w:r>
        <w:rPr>
          <w:rFonts w:hint="eastAsia"/>
          <w:sz w:val="24"/>
          <w:szCs w:val="28"/>
        </w:rPr>
        <w:t>月</w:t>
      </w:r>
      <w:r>
        <w:rPr>
          <w:sz w:val="24"/>
          <w:szCs w:val="28"/>
        </w:rPr>
        <w:t>2</w:t>
      </w:r>
      <w:r>
        <w:rPr>
          <w:rFonts w:hint="eastAsia"/>
          <w:sz w:val="24"/>
          <w:szCs w:val="28"/>
          <w:lang w:val="en-US" w:eastAsia="zh-CN"/>
        </w:rPr>
        <w:t>8</w:t>
      </w:r>
      <w:r>
        <w:rPr>
          <w:rFonts w:hint="eastAsia"/>
          <w:sz w:val="24"/>
          <w:szCs w:val="28"/>
        </w:rPr>
        <w:t>日对项目</w:t>
      </w:r>
      <w:r>
        <w:rPr>
          <w:rFonts w:hint="eastAsia"/>
          <w:sz w:val="24"/>
          <w:szCs w:val="28"/>
          <w:lang w:val="en-US" w:eastAsia="zh-CN"/>
        </w:rPr>
        <w:t>无组织</w:t>
      </w:r>
      <w:r>
        <w:rPr>
          <w:rFonts w:hint="eastAsia"/>
          <w:sz w:val="24"/>
          <w:szCs w:val="28"/>
        </w:rPr>
        <w:t>废气</w:t>
      </w:r>
      <w:r>
        <w:rPr>
          <w:rFonts w:hint="eastAsia"/>
          <w:sz w:val="24"/>
          <w:szCs w:val="28"/>
          <w:lang w:val="en-US" w:eastAsia="zh-CN"/>
        </w:rPr>
        <w:t>氟化物</w:t>
      </w:r>
      <w:r>
        <w:rPr>
          <w:rFonts w:hint="eastAsia"/>
          <w:sz w:val="24"/>
          <w:szCs w:val="28"/>
        </w:rPr>
        <w:t>排放情况进行了验收监测，并出具《监测报告》（</w:t>
      </w:r>
      <w:r>
        <w:rPr>
          <w:sz w:val="24"/>
          <w:szCs w:val="28"/>
        </w:rPr>
        <w:t>2</w:t>
      </w:r>
      <w:r>
        <w:rPr>
          <w:rFonts w:hint="eastAsia"/>
          <w:sz w:val="24"/>
          <w:szCs w:val="28"/>
          <w:lang w:val="en-US" w:eastAsia="zh-CN"/>
        </w:rPr>
        <w:t>5</w:t>
      </w:r>
      <w:r>
        <w:rPr>
          <w:sz w:val="24"/>
          <w:szCs w:val="28"/>
        </w:rPr>
        <w:t>HY00</w:t>
      </w:r>
      <w:r>
        <w:rPr>
          <w:rFonts w:hint="eastAsia"/>
          <w:sz w:val="24"/>
          <w:szCs w:val="28"/>
          <w:lang w:val="en-US" w:eastAsia="zh-CN"/>
        </w:rPr>
        <w:t>03</w:t>
      </w:r>
      <w:r>
        <w:rPr>
          <w:rFonts w:hint="eastAsia"/>
          <w:sz w:val="24"/>
          <w:szCs w:val="28"/>
        </w:rPr>
        <w:t>、</w:t>
      </w:r>
      <w:r>
        <w:rPr>
          <w:sz w:val="24"/>
          <w:szCs w:val="28"/>
        </w:rPr>
        <w:t>2</w:t>
      </w:r>
      <w:r>
        <w:rPr>
          <w:rFonts w:hint="eastAsia"/>
          <w:sz w:val="24"/>
          <w:szCs w:val="28"/>
          <w:lang w:val="en-US" w:eastAsia="zh-CN"/>
        </w:rPr>
        <w:t>5</w:t>
      </w:r>
      <w:r>
        <w:rPr>
          <w:sz w:val="24"/>
          <w:szCs w:val="28"/>
        </w:rPr>
        <w:t>HY00</w:t>
      </w:r>
      <w:r>
        <w:rPr>
          <w:rFonts w:hint="eastAsia"/>
          <w:sz w:val="24"/>
          <w:szCs w:val="28"/>
          <w:lang w:val="en-US" w:eastAsia="zh-CN"/>
        </w:rPr>
        <w:t>04</w:t>
      </w:r>
      <w:r>
        <w:rPr>
          <w:rFonts w:hint="eastAsia"/>
          <w:sz w:val="24"/>
          <w:szCs w:val="28"/>
        </w:rPr>
        <w:t>、</w:t>
      </w:r>
      <w:r>
        <w:rPr>
          <w:rFonts w:hint="eastAsia"/>
          <w:sz w:val="24"/>
          <w:szCs w:val="28"/>
          <w:lang w:val="en-US" w:eastAsia="zh-CN"/>
        </w:rPr>
        <w:t>渝久（监）字【2025】第YS14号</w:t>
      </w:r>
      <w:r>
        <w:rPr>
          <w:rFonts w:hint="eastAsia"/>
          <w:sz w:val="24"/>
          <w:szCs w:val="28"/>
        </w:rPr>
        <w:t>），详见附件。</w:t>
      </w:r>
    </w:p>
    <w:p w14:paraId="7AF76700">
      <w:pPr>
        <w:pStyle w:val="4"/>
        <w:spacing w:before="0" w:after="0" w:line="490" w:lineRule="exact"/>
        <w:rPr>
          <w:sz w:val="24"/>
          <w:szCs w:val="24"/>
        </w:rPr>
      </w:pPr>
      <w:r>
        <w:rPr>
          <w:rFonts w:hint="eastAsia"/>
          <w:sz w:val="24"/>
          <w:szCs w:val="24"/>
        </w:rPr>
        <w:t>9</w:t>
      </w:r>
      <w:r>
        <w:rPr>
          <w:sz w:val="24"/>
          <w:szCs w:val="24"/>
        </w:rPr>
        <w:t xml:space="preserve">.2.1 </w:t>
      </w:r>
      <w:r>
        <w:rPr>
          <w:rFonts w:hint="eastAsia"/>
          <w:sz w:val="24"/>
          <w:szCs w:val="24"/>
        </w:rPr>
        <w:t>环保设施处理效率监测结果</w:t>
      </w:r>
    </w:p>
    <w:p w14:paraId="4D119BAD">
      <w:pPr>
        <w:pStyle w:val="4"/>
        <w:spacing w:before="0" w:after="0" w:line="490" w:lineRule="exact"/>
        <w:rPr>
          <w:sz w:val="24"/>
          <w:szCs w:val="24"/>
        </w:rPr>
      </w:pPr>
      <w:r>
        <w:rPr>
          <w:rFonts w:hint="eastAsia"/>
          <w:sz w:val="24"/>
          <w:szCs w:val="24"/>
        </w:rPr>
        <w:t>9</w:t>
      </w:r>
      <w:r>
        <w:rPr>
          <w:sz w:val="24"/>
          <w:szCs w:val="24"/>
        </w:rPr>
        <w:t>.2.1.1</w:t>
      </w:r>
      <w:r>
        <w:rPr>
          <w:rFonts w:hint="eastAsia"/>
          <w:sz w:val="24"/>
          <w:szCs w:val="24"/>
        </w:rPr>
        <w:t>废水治理设施</w:t>
      </w:r>
    </w:p>
    <w:p w14:paraId="6560FB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bookmarkStart w:id="216" w:name="_Toc520988578"/>
      <w:bookmarkStart w:id="217" w:name="_Toc513475002"/>
      <w:r>
        <w:rPr>
          <w:rFonts w:hint="default" w:ascii="Times New Roman" w:hAnsi="Times New Roman" w:eastAsia="宋体" w:cs="Times New Roman"/>
          <w:sz w:val="24"/>
          <w:szCs w:val="24"/>
          <w:lang w:val="en-US" w:eastAsia="zh-CN"/>
        </w:rPr>
        <w:t>项目主要废水包括蒙砂工序废水、化抛蚀刻工序废水、超声波清洗废水、纯水制备浓水、碱液喷淋塔废水、车间清洁废水以及生活污水。</w:t>
      </w:r>
    </w:p>
    <w:p w14:paraId="29721879">
      <w:pPr>
        <w:spacing w:line="490" w:lineRule="exact"/>
        <w:ind w:firstLine="480" w:firstLineChars="200"/>
        <w:rPr>
          <w:color w:val="FF0000"/>
          <w:sz w:val="24"/>
          <w:szCs w:val="28"/>
        </w:rPr>
      </w:pPr>
      <w:r>
        <w:rPr>
          <w:rFonts w:hint="default" w:ascii="Times New Roman" w:hAnsi="Times New Roman" w:eastAsia="宋体" w:cs="Times New Roman"/>
          <w:sz w:val="24"/>
          <w:szCs w:val="24"/>
          <w:lang w:val="en-US" w:eastAsia="zh-CN"/>
        </w:rPr>
        <w:t>项目生活污水依托富士康园区分散式生化池处理达《污水综合排放标准》（GB8978-1996）三级排放标准后排入西永污水处理厂</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纯水制备浓水直接经园区污水管网排入西永污水处理厂</w:t>
      </w:r>
      <w:r>
        <w:rPr>
          <w:rFonts w:hint="eastAsia" w:ascii="Times New Roman" w:hAnsi="Times New Roman" w:eastAsia="宋体" w:cs="Times New Roman"/>
          <w:sz w:val="24"/>
          <w:szCs w:val="24"/>
          <w:lang w:val="en-US" w:eastAsia="zh-CN"/>
        </w:rPr>
        <w:t>；</w:t>
      </w:r>
      <w:r>
        <w:rPr>
          <w:rFonts w:hint="eastAsia"/>
          <w:sz w:val="24"/>
          <w:szCs w:val="24"/>
          <w:lang w:val="en-US" w:eastAsia="zh-CN"/>
        </w:rPr>
        <w:t>化抛蚀刻槽液废液、蒙砂废液收集于密闭防渗储罐，</w:t>
      </w:r>
      <w:r>
        <w:rPr>
          <w:rFonts w:hint="eastAsia"/>
          <w:sz w:val="24"/>
          <w:szCs w:val="24"/>
          <w:highlight w:val="none"/>
          <w:lang w:val="en-US" w:eastAsia="zh-CN"/>
        </w:rPr>
        <w:t>暂存于污水处理站，定</w:t>
      </w:r>
      <w:r>
        <w:rPr>
          <w:rFonts w:hint="eastAsia"/>
          <w:sz w:val="24"/>
          <w:szCs w:val="24"/>
          <w:lang w:val="en-US" w:eastAsia="zh-CN"/>
        </w:rPr>
        <w:t>期交由有资质的单位处理，其余</w:t>
      </w:r>
      <w:r>
        <w:rPr>
          <w:rFonts w:hint="default" w:ascii="Times New Roman" w:hAnsi="Times New Roman" w:eastAsia="宋体" w:cs="Times New Roman"/>
          <w:sz w:val="24"/>
          <w:szCs w:val="24"/>
          <w:lang w:val="en-US" w:eastAsia="zh-CN"/>
        </w:rPr>
        <w:t>生产废水排入厂区自建污水处理站中处理达《污水综合排放标准》（GB8978-1996）三级排放标准后排入西永污水处理厂</w:t>
      </w:r>
      <w:r>
        <w:rPr>
          <w:rFonts w:hint="eastAsia"/>
          <w:color w:val="auto"/>
          <w:sz w:val="24"/>
          <w:szCs w:val="28"/>
        </w:rPr>
        <w:t>。</w:t>
      </w:r>
    </w:p>
    <w:p w14:paraId="59E12BCD">
      <w:pPr>
        <w:autoSpaceDE w:val="0"/>
        <w:autoSpaceDN w:val="0"/>
        <w:spacing w:line="490" w:lineRule="exact"/>
        <w:ind w:firstLine="480" w:firstLineChars="200"/>
        <w:rPr>
          <w:color w:val="auto"/>
          <w:sz w:val="24"/>
          <w:szCs w:val="28"/>
        </w:rPr>
      </w:pPr>
      <w:r>
        <w:rPr>
          <w:rFonts w:hint="eastAsia"/>
          <w:color w:val="auto"/>
          <w:sz w:val="24"/>
          <w:szCs w:val="28"/>
        </w:rPr>
        <w:t>本次验收对生产废水处理站排放口</w:t>
      </w:r>
      <w:r>
        <w:rPr>
          <w:rFonts w:hint="eastAsia"/>
          <w:color w:val="auto"/>
          <w:sz w:val="24"/>
          <w:szCs w:val="28"/>
          <w:lang w:val="en-US" w:eastAsia="zh-CN"/>
        </w:rPr>
        <w:t>WS1</w:t>
      </w:r>
      <w:r>
        <w:rPr>
          <w:rFonts w:hint="eastAsia"/>
          <w:color w:val="auto"/>
          <w:sz w:val="24"/>
          <w:szCs w:val="28"/>
        </w:rPr>
        <w:t>进行监测，监测结果显示，废水排放口污染物最大浓度分别为：C</w:t>
      </w:r>
      <w:r>
        <w:rPr>
          <w:color w:val="auto"/>
          <w:sz w:val="24"/>
          <w:szCs w:val="28"/>
        </w:rPr>
        <w:t>OD</w:t>
      </w:r>
      <w:r>
        <w:rPr>
          <w:rFonts w:hint="eastAsia"/>
          <w:color w:val="auto"/>
          <w:sz w:val="24"/>
          <w:szCs w:val="28"/>
        </w:rPr>
        <w:t>：</w:t>
      </w:r>
      <w:r>
        <w:rPr>
          <w:rFonts w:hint="eastAsia"/>
          <w:color w:val="auto"/>
          <w:sz w:val="24"/>
          <w:szCs w:val="28"/>
          <w:lang w:val="en-US" w:eastAsia="zh-CN"/>
        </w:rPr>
        <w:t>74</w:t>
      </w:r>
      <w:r>
        <w:rPr>
          <w:color w:val="auto"/>
          <w:sz w:val="24"/>
          <w:szCs w:val="28"/>
        </w:rPr>
        <w:t>mg/L</w:t>
      </w:r>
      <w:r>
        <w:rPr>
          <w:rFonts w:hint="eastAsia"/>
          <w:color w:val="auto"/>
          <w:sz w:val="24"/>
          <w:szCs w:val="28"/>
        </w:rPr>
        <w:t>、</w:t>
      </w:r>
      <w:r>
        <w:rPr>
          <w:rFonts w:hint="eastAsia"/>
          <w:color w:val="auto"/>
          <w:sz w:val="24"/>
          <w:szCs w:val="28"/>
          <w:lang w:val="en-US" w:eastAsia="zh-CN"/>
        </w:rPr>
        <w:t>氨氮：5.08</w:t>
      </w:r>
      <w:r>
        <w:rPr>
          <w:color w:val="auto"/>
          <w:sz w:val="24"/>
          <w:szCs w:val="28"/>
        </w:rPr>
        <w:t>mg/L</w:t>
      </w:r>
      <w:r>
        <w:rPr>
          <w:rFonts w:hint="eastAsia"/>
          <w:color w:val="auto"/>
          <w:sz w:val="24"/>
          <w:szCs w:val="28"/>
          <w:lang w:val="en-US" w:eastAsia="zh-CN"/>
        </w:rPr>
        <w:t>、悬浮物：48</w:t>
      </w:r>
      <w:r>
        <w:rPr>
          <w:color w:val="auto"/>
          <w:sz w:val="24"/>
          <w:szCs w:val="28"/>
        </w:rPr>
        <w:t>mg/L</w:t>
      </w:r>
      <w:r>
        <w:rPr>
          <w:rFonts w:hint="eastAsia"/>
          <w:color w:val="auto"/>
          <w:sz w:val="24"/>
          <w:szCs w:val="28"/>
          <w:lang w:val="en-US" w:eastAsia="zh-CN"/>
        </w:rPr>
        <w:t>、</w:t>
      </w:r>
      <w:r>
        <w:rPr>
          <w:rFonts w:hint="eastAsia"/>
          <w:color w:val="auto"/>
          <w:sz w:val="24"/>
          <w:szCs w:val="28"/>
        </w:rPr>
        <w:t>B</w:t>
      </w:r>
      <w:r>
        <w:rPr>
          <w:color w:val="auto"/>
          <w:sz w:val="24"/>
          <w:szCs w:val="28"/>
        </w:rPr>
        <w:t>OD</w:t>
      </w:r>
      <w:r>
        <w:rPr>
          <w:color w:val="auto"/>
          <w:sz w:val="24"/>
          <w:szCs w:val="28"/>
          <w:vertAlign w:val="subscript"/>
        </w:rPr>
        <w:t>5</w:t>
      </w:r>
      <w:r>
        <w:rPr>
          <w:rFonts w:hint="eastAsia"/>
          <w:color w:val="auto"/>
          <w:sz w:val="24"/>
          <w:szCs w:val="28"/>
        </w:rPr>
        <w:t>：</w:t>
      </w:r>
      <w:r>
        <w:rPr>
          <w:rFonts w:hint="eastAsia"/>
          <w:color w:val="auto"/>
          <w:sz w:val="24"/>
          <w:szCs w:val="28"/>
          <w:lang w:val="en-US" w:eastAsia="zh-CN"/>
        </w:rPr>
        <w:t>18.1</w:t>
      </w:r>
      <w:r>
        <w:rPr>
          <w:color w:val="auto"/>
          <w:sz w:val="24"/>
          <w:szCs w:val="28"/>
        </w:rPr>
        <w:t xml:space="preserve"> mg/L</w:t>
      </w:r>
      <w:r>
        <w:rPr>
          <w:rFonts w:hint="eastAsia"/>
          <w:color w:val="auto"/>
          <w:sz w:val="24"/>
          <w:szCs w:val="28"/>
        </w:rPr>
        <w:t>、</w:t>
      </w:r>
      <w:r>
        <w:rPr>
          <w:rFonts w:hint="eastAsia"/>
          <w:color w:val="auto"/>
          <w:sz w:val="24"/>
          <w:szCs w:val="28"/>
          <w:lang w:val="en-US" w:eastAsia="zh-CN"/>
        </w:rPr>
        <w:t>总磷</w:t>
      </w:r>
      <w:r>
        <w:rPr>
          <w:rFonts w:hint="eastAsia"/>
          <w:color w:val="auto"/>
          <w:sz w:val="24"/>
          <w:szCs w:val="28"/>
        </w:rPr>
        <w:t>：</w:t>
      </w:r>
      <w:r>
        <w:rPr>
          <w:rFonts w:hint="eastAsia"/>
          <w:color w:val="auto"/>
          <w:sz w:val="24"/>
          <w:szCs w:val="28"/>
          <w:lang w:val="en-US" w:eastAsia="zh-CN"/>
        </w:rPr>
        <w:t>0.42</w:t>
      </w:r>
      <w:r>
        <w:rPr>
          <w:color w:val="auto"/>
          <w:sz w:val="24"/>
          <w:szCs w:val="28"/>
        </w:rPr>
        <w:t>mg/L</w:t>
      </w:r>
      <w:r>
        <w:rPr>
          <w:rFonts w:hint="eastAsia"/>
          <w:color w:val="auto"/>
          <w:sz w:val="24"/>
          <w:szCs w:val="28"/>
        </w:rPr>
        <w:t>、</w:t>
      </w:r>
      <w:r>
        <w:rPr>
          <w:rFonts w:hint="eastAsia"/>
          <w:color w:val="auto"/>
          <w:sz w:val="24"/>
          <w:szCs w:val="28"/>
          <w:lang w:val="en-US" w:eastAsia="zh-CN"/>
        </w:rPr>
        <w:t>总氮：12.8</w:t>
      </w:r>
      <w:r>
        <w:rPr>
          <w:color w:val="auto"/>
          <w:sz w:val="24"/>
          <w:szCs w:val="28"/>
        </w:rPr>
        <w:t xml:space="preserve"> mg/L</w:t>
      </w:r>
      <w:r>
        <w:rPr>
          <w:rFonts w:hint="eastAsia"/>
          <w:color w:val="auto"/>
          <w:sz w:val="24"/>
          <w:szCs w:val="28"/>
        </w:rPr>
        <w:t>、石油类：</w:t>
      </w:r>
      <w:r>
        <w:rPr>
          <w:rFonts w:hint="eastAsia"/>
          <w:color w:val="auto"/>
          <w:sz w:val="24"/>
          <w:szCs w:val="28"/>
          <w:lang w:val="en-US" w:eastAsia="zh-CN"/>
        </w:rPr>
        <w:t>0.29</w:t>
      </w:r>
      <w:r>
        <w:rPr>
          <w:color w:val="auto"/>
          <w:sz w:val="24"/>
          <w:szCs w:val="28"/>
        </w:rPr>
        <w:t xml:space="preserve"> mg/L</w:t>
      </w:r>
      <w:r>
        <w:rPr>
          <w:rFonts w:hint="eastAsia"/>
          <w:color w:val="auto"/>
          <w:sz w:val="24"/>
          <w:szCs w:val="28"/>
          <w:lang w:eastAsia="zh-CN"/>
        </w:rPr>
        <w:t>、阴离子表面活性剂：</w:t>
      </w:r>
      <w:r>
        <w:rPr>
          <w:rFonts w:hint="eastAsia"/>
          <w:color w:val="auto"/>
          <w:sz w:val="24"/>
          <w:szCs w:val="28"/>
          <w:lang w:val="en-US" w:eastAsia="zh-CN"/>
        </w:rPr>
        <w:t>0.178</w:t>
      </w:r>
      <w:r>
        <w:rPr>
          <w:color w:val="auto"/>
          <w:sz w:val="24"/>
          <w:szCs w:val="28"/>
        </w:rPr>
        <w:t>mg/L</w:t>
      </w:r>
      <w:r>
        <w:rPr>
          <w:rFonts w:hint="eastAsia"/>
          <w:color w:val="auto"/>
          <w:sz w:val="24"/>
          <w:szCs w:val="28"/>
          <w:lang w:eastAsia="zh-CN"/>
        </w:rPr>
        <w:t>、氟化物：</w:t>
      </w:r>
      <w:r>
        <w:rPr>
          <w:rFonts w:hint="eastAsia"/>
          <w:color w:val="auto"/>
          <w:sz w:val="24"/>
          <w:szCs w:val="28"/>
          <w:lang w:val="en-US" w:eastAsia="zh-CN"/>
        </w:rPr>
        <w:t>1.12</w:t>
      </w:r>
      <w:r>
        <w:rPr>
          <w:color w:val="auto"/>
          <w:sz w:val="24"/>
          <w:szCs w:val="28"/>
        </w:rPr>
        <w:t>mg/L</w:t>
      </w:r>
      <w:r>
        <w:rPr>
          <w:rFonts w:hint="eastAsia"/>
          <w:color w:val="auto"/>
          <w:sz w:val="24"/>
          <w:szCs w:val="28"/>
          <w:lang w:eastAsia="zh-CN"/>
        </w:rPr>
        <w:t>。</w:t>
      </w:r>
      <w:r>
        <w:rPr>
          <w:rFonts w:hint="eastAsia"/>
          <w:color w:val="auto"/>
          <w:sz w:val="24"/>
          <w:szCs w:val="28"/>
        </w:rPr>
        <w:t>氨氮、总氮、总磷</w:t>
      </w:r>
      <w:r>
        <w:rPr>
          <w:rFonts w:hint="eastAsia"/>
          <w:color w:val="auto"/>
          <w:sz w:val="24"/>
          <w:szCs w:val="28"/>
          <w:lang w:val="en-US" w:eastAsia="zh-CN"/>
        </w:rPr>
        <w:t>满足《污水排入城镇下水道水质标准》（GB/T 31962-2015）表1 B级标准</w:t>
      </w:r>
      <w:r>
        <w:rPr>
          <w:rFonts w:hint="eastAsia"/>
          <w:color w:val="auto"/>
          <w:sz w:val="24"/>
          <w:szCs w:val="28"/>
          <w:lang w:eastAsia="zh-CN"/>
        </w:rPr>
        <w:t>，</w:t>
      </w:r>
      <w:r>
        <w:rPr>
          <w:rFonts w:hint="eastAsia"/>
          <w:color w:val="auto"/>
          <w:sz w:val="24"/>
          <w:szCs w:val="28"/>
        </w:rPr>
        <w:t>其余监测项目</w:t>
      </w:r>
      <w:r>
        <w:rPr>
          <w:rFonts w:hint="eastAsia"/>
          <w:color w:val="auto"/>
          <w:sz w:val="24"/>
          <w:szCs w:val="28"/>
          <w:lang w:val="en-US" w:eastAsia="zh-CN"/>
        </w:rPr>
        <w:t>均满足</w:t>
      </w:r>
      <w:r>
        <w:rPr>
          <w:rFonts w:hint="eastAsia"/>
          <w:color w:val="auto"/>
          <w:sz w:val="24"/>
          <w:szCs w:val="28"/>
        </w:rPr>
        <w:t>《污水综合排放标准》（GB 8978-1996）表4</w:t>
      </w:r>
      <w:r>
        <w:rPr>
          <w:rFonts w:hint="eastAsia"/>
          <w:color w:val="auto"/>
          <w:sz w:val="24"/>
          <w:szCs w:val="28"/>
          <w:lang w:val="en-US" w:eastAsia="zh-CN"/>
        </w:rPr>
        <w:t xml:space="preserve"> </w:t>
      </w:r>
      <w:r>
        <w:rPr>
          <w:rFonts w:hint="eastAsia"/>
          <w:color w:val="auto"/>
          <w:sz w:val="24"/>
          <w:szCs w:val="28"/>
        </w:rPr>
        <w:t>三级标准，满足环评要求。</w:t>
      </w:r>
    </w:p>
    <w:p w14:paraId="41F5F3F5">
      <w:pPr>
        <w:pStyle w:val="4"/>
        <w:spacing w:before="0" w:after="0" w:line="490" w:lineRule="exact"/>
        <w:rPr>
          <w:sz w:val="24"/>
          <w:szCs w:val="24"/>
        </w:rPr>
      </w:pPr>
      <w:r>
        <w:rPr>
          <w:rFonts w:hint="eastAsia"/>
          <w:sz w:val="24"/>
          <w:szCs w:val="24"/>
        </w:rPr>
        <w:t>9</w:t>
      </w:r>
      <w:r>
        <w:rPr>
          <w:sz w:val="24"/>
          <w:szCs w:val="24"/>
        </w:rPr>
        <w:t>.2.1.2</w:t>
      </w:r>
      <w:r>
        <w:rPr>
          <w:rFonts w:hint="eastAsia"/>
          <w:sz w:val="24"/>
          <w:szCs w:val="24"/>
        </w:rPr>
        <w:t>废气治理设施</w:t>
      </w:r>
    </w:p>
    <w:p w14:paraId="5FC7C624">
      <w:pPr>
        <w:spacing w:line="490" w:lineRule="exact"/>
        <w:ind w:firstLine="480" w:firstLineChars="200"/>
        <w:rPr>
          <w:sz w:val="24"/>
          <w:szCs w:val="28"/>
        </w:rPr>
      </w:pPr>
      <w:r>
        <w:rPr>
          <w:rFonts w:hint="eastAsia"/>
          <w:sz w:val="24"/>
          <w:szCs w:val="28"/>
        </w:rPr>
        <w:t>（1）</w:t>
      </w:r>
      <w:r>
        <w:rPr>
          <w:rFonts w:hint="eastAsia"/>
          <w:sz w:val="24"/>
          <w:szCs w:val="28"/>
          <w:lang w:val="en-US" w:eastAsia="zh-CN"/>
        </w:rPr>
        <w:t>有机废气</w:t>
      </w:r>
    </w:p>
    <w:p w14:paraId="087F1B9B">
      <w:pPr>
        <w:spacing w:line="490" w:lineRule="exact"/>
        <w:ind w:firstLine="480" w:firstLineChars="200"/>
        <w:rPr>
          <w:sz w:val="24"/>
          <w:szCs w:val="28"/>
        </w:rPr>
      </w:pPr>
      <w:r>
        <w:rPr>
          <w:rFonts w:hint="eastAsia"/>
          <w:sz w:val="24"/>
          <w:szCs w:val="28"/>
          <w:lang w:val="en-US" w:eastAsia="zh-CN"/>
        </w:rPr>
        <w:t>项目光刻胶涂抹及其后烘干工序有机废气、油墨喷涂及其后烘烤工序有机废气、装配工序胶水挥发有机废气其主要成分均为非甲烷总烃。有机废气通过风管进入两级活性炭吸附处理装置处理达标后经20m排气筒（DA008）排放</w:t>
      </w:r>
      <w:r>
        <w:rPr>
          <w:rFonts w:hint="eastAsia"/>
          <w:sz w:val="24"/>
          <w:szCs w:val="28"/>
        </w:rPr>
        <w:t>。非甲烷总烃最大排放浓度为</w:t>
      </w:r>
      <w:r>
        <w:rPr>
          <w:rFonts w:hint="eastAsia"/>
          <w:sz w:val="24"/>
          <w:szCs w:val="28"/>
          <w:lang w:val="en-US" w:eastAsia="zh-CN"/>
        </w:rPr>
        <w:t>1.64</w:t>
      </w:r>
      <w:r>
        <w:rPr>
          <w:rFonts w:hint="eastAsia"/>
          <w:sz w:val="24"/>
          <w:szCs w:val="28"/>
        </w:rPr>
        <w:t>mg/m</w:t>
      </w:r>
      <w:r>
        <w:rPr>
          <w:rFonts w:hint="eastAsia"/>
          <w:sz w:val="24"/>
          <w:szCs w:val="28"/>
          <w:vertAlign w:val="superscript"/>
        </w:rPr>
        <w:t>3</w:t>
      </w:r>
      <w:r>
        <w:rPr>
          <w:rFonts w:hint="eastAsia"/>
          <w:sz w:val="24"/>
          <w:szCs w:val="28"/>
        </w:rPr>
        <w:t>，最大排放速率为</w:t>
      </w:r>
      <w:r>
        <w:rPr>
          <w:sz w:val="24"/>
          <w:szCs w:val="28"/>
        </w:rPr>
        <w:t>1.49×10</w:t>
      </w:r>
      <w:r>
        <w:rPr>
          <w:sz w:val="24"/>
          <w:szCs w:val="28"/>
          <w:vertAlign w:val="superscript"/>
        </w:rPr>
        <w:t>-2</w:t>
      </w:r>
      <w:r>
        <w:t xml:space="preserve"> </w:t>
      </w:r>
      <w:r>
        <w:rPr>
          <w:sz w:val="24"/>
          <w:szCs w:val="28"/>
        </w:rPr>
        <w:t>kg/h</w:t>
      </w:r>
      <w:r>
        <w:rPr>
          <w:rFonts w:hint="eastAsia"/>
          <w:sz w:val="24"/>
          <w:szCs w:val="28"/>
        </w:rPr>
        <w:t>，满足《包装印刷业大气污染物排放标准》（DB 50/758-2017）表2 主城区限值</w:t>
      </w:r>
      <w:r>
        <w:rPr>
          <w:rFonts w:hint="eastAsia"/>
          <w:sz w:val="24"/>
          <w:szCs w:val="28"/>
          <w:lang w:val="en-US" w:eastAsia="zh-CN"/>
        </w:rPr>
        <w:t>要求</w:t>
      </w:r>
      <w:r>
        <w:rPr>
          <w:rFonts w:hint="eastAsia"/>
          <w:sz w:val="24"/>
          <w:szCs w:val="28"/>
        </w:rPr>
        <w:t>。</w:t>
      </w:r>
    </w:p>
    <w:p w14:paraId="0F52BA77">
      <w:pPr>
        <w:spacing w:line="490" w:lineRule="exact"/>
        <w:ind w:firstLine="480" w:firstLineChars="200"/>
        <w:rPr>
          <w:sz w:val="24"/>
          <w:szCs w:val="28"/>
        </w:rPr>
      </w:pPr>
      <w:r>
        <w:rPr>
          <w:rFonts w:hint="eastAsia"/>
          <w:sz w:val="24"/>
          <w:szCs w:val="28"/>
        </w:rPr>
        <w:t>（2）</w:t>
      </w:r>
      <w:r>
        <w:rPr>
          <w:rFonts w:hint="default" w:ascii="Times New Roman" w:hAnsi="Times New Roman" w:eastAsia="宋体" w:cs="Times New Roman"/>
          <w:bCs/>
          <w:color w:val="auto"/>
          <w:sz w:val="24"/>
          <w:lang w:val="en-US" w:eastAsia="zh-CN"/>
        </w:rPr>
        <w:t>AG蚀刻线蒙砂废气、化抛废气</w:t>
      </w:r>
    </w:p>
    <w:p w14:paraId="22DFCC0A">
      <w:pPr>
        <w:topLinePunct/>
        <w:autoSpaceDE w:val="0"/>
        <w:spacing w:line="490" w:lineRule="exact"/>
        <w:ind w:firstLine="480" w:firstLineChars="200"/>
        <w:rPr>
          <w:sz w:val="24"/>
          <w:szCs w:val="28"/>
        </w:rPr>
      </w:pPr>
      <w:r>
        <w:rPr>
          <w:rFonts w:hint="default" w:ascii="Times New Roman" w:hAnsi="Times New Roman" w:eastAsia="宋体" w:cs="Times New Roman"/>
          <w:bCs/>
          <w:color w:val="auto"/>
          <w:sz w:val="24"/>
          <w:lang w:val="en-US" w:eastAsia="zh-CN"/>
        </w:rPr>
        <w:t>项目在密闭罐内使用蒙砂液和水按4</w:t>
      </w:r>
      <w:r>
        <w:rPr>
          <w:rFonts w:hint="eastAsia" w:cs="Times New Roman"/>
          <w:bCs/>
          <w:color w:val="auto"/>
          <w:sz w:val="24"/>
          <w:lang w:val="en-US" w:eastAsia="zh-CN"/>
        </w:rPr>
        <w:t>:</w:t>
      </w:r>
      <w:r>
        <w:rPr>
          <w:rFonts w:hint="default" w:ascii="Times New Roman" w:hAnsi="Times New Roman" w:eastAsia="宋体" w:cs="Times New Roman"/>
          <w:bCs/>
          <w:color w:val="auto"/>
          <w:sz w:val="24"/>
          <w:lang w:val="en-US" w:eastAsia="zh-CN"/>
        </w:rPr>
        <w:t>1配制蒙砂液，待生产时经泵沿管打入蒙砂线中暂存池内</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蒙砂、化抛蚀刻的槽体均密闭，采取槽边及槽顶负压的方式捕集生产线产生的酸性气体</w:t>
      </w:r>
      <w:r>
        <w:rPr>
          <w:rFonts w:hint="default" w:ascii="Times New Roman" w:hAnsi="Times New Roman" w:eastAsia="宋体" w:cs="Times New Roman"/>
          <w:bCs/>
          <w:color w:val="auto"/>
          <w:sz w:val="24"/>
          <w:lang w:val="en-US" w:eastAsia="zh-CN"/>
        </w:rPr>
        <w:t>，</w:t>
      </w:r>
      <w:r>
        <w:rPr>
          <w:rFonts w:hint="default" w:ascii="Times New Roman" w:hAnsi="Times New Roman" w:eastAsia="宋体" w:cs="Times New Roman"/>
          <w:color w:val="auto"/>
          <w:sz w:val="24"/>
          <w:lang w:val="en-US" w:eastAsia="zh-CN"/>
        </w:rPr>
        <w:t>收集后汇至1套碱液喷淋塔</w:t>
      </w:r>
      <w:r>
        <w:rPr>
          <w:rFonts w:hint="eastAsia" w:ascii="Times New Roman" w:hAnsi="Times New Roman" w:eastAsia="宋体" w:cs="Times New Roman"/>
          <w:color w:val="auto"/>
          <w:sz w:val="24"/>
          <w:lang w:val="en-US" w:eastAsia="zh-CN"/>
        </w:rPr>
        <w:t>处理设施</w:t>
      </w:r>
      <w:r>
        <w:rPr>
          <w:rFonts w:hint="default" w:ascii="Times New Roman" w:hAnsi="Times New Roman" w:eastAsia="宋体" w:cs="Times New Roman"/>
          <w:color w:val="auto"/>
          <w:sz w:val="24"/>
          <w:highlight w:val="none"/>
          <w:lang w:val="en-US" w:eastAsia="zh-CN"/>
        </w:rPr>
        <w:t>处理后由1根20m高的排气筒排放（DA010）</w:t>
      </w:r>
      <w:r>
        <w:rPr>
          <w:rFonts w:hint="eastAsia"/>
          <w:sz w:val="24"/>
          <w:szCs w:val="28"/>
        </w:rPr>
        <w:t>。有组织废气氟化物最大排放浓度为</w:t>
      </w:r>
      <w:r>
        <w:rPr>
          <w:rFonts w:hint="eastAsia"/>
          <w:sz w:val="24"/>
          <w:szCs w:val="28"/>
          <w:lang w:val="en-US" w:eastAsia="zh-CN"/>
        </w:rPr>
        <w:t>0.968</w:t>
      </w:r>
      <w:r>
        <w:rPr>
          <w:rFonts w:hint="eastAsia"/>
          <w:sz w:val="24"/>
          <w:szCs w:val="28"/>
        </w:rPr>
        <w:t>mg/m</w:t>
      </w:r>
      <w:r>
        <w:rPr>
          <w:rFonts w:hint="eastAsia"/>
          <w:sz w:val="24"/>
          <w:szCs w:val="28"/>
          <w:vertAlign w:val="superscript"/>
        </w:rPr>
        <w:t>3</w:t>
      </w:r>
      <w:r>
        <w:rPr>
          <w:rFonts w:hint="eastAsia"/>
          <w:sz w:val="24"/>
          <w:szCs w:val="28"/>
        </w:rPr>
        <w:t>，最大排放速率为6.63</w:t>
      </w:r>
      <w:r>
        <w:rPr>
          <w:rFonts w:hint="default" w:ascii="Times New Roman" w:hAnsi="Times New Roman" w:cs="Times New Roman"/>
          <w:sz w:val="24"/>
          <w:szCs w:val="28"/>
        </w:rPr>
        <w:t>×</w:t>
      </w:r>
      <w:r>
        <w:rPr>
          <w:rFonts w:hint="eastAsia"/>
          <w:sz w:val="24"/>
          <w:szCs w:val="28"/>
        </w:rPr>
        <w:t>10</w:t>
      </w:r>
      <w:r>
        <w:rPr>
          <w:rFonts w:hint="eastAsia"/>
          <w:sz w:val="24"/>
          <w:szCs w:val="28"/>
          <w:vertAlign w:val="superscript"/>
        </w:rPr>
        <w:t>-3</w:t>
      </w:r>
      <w:r>
        <w:rPr>
          <w:sz w:val="24"/>
          <w:szCs w:val="28"/>
        </w:rPr>
        <w:t>kg/h</w:t>
      </w:r>
      <w:r>
        <w:rPr>
          <w:rFonts w:hint="eastAsia"/>
          <w:sz w:val="24"/>
          <w:szCs w:val="28"/>
          <w:lang w:eastAsia="zh-CN"/>
        </w:rPr>
        <w:t>；硫酸雾</w:t>
      </w:r>
      <w:r>
        <w:rPr>
          <w:rFonts w:hint="eastAsia"/>
          <w:sz w:val="24"/>
          <w:szCs w:val="28"/>
        </w:rPr>
        <w:t>最大排放浓度为</w:t>
      </w:r>
      <w:r>
        <w:rPr>
          <w:rFonts w:hint="eastAsia"/>
          <w:sz w:val="24"/>
          <w:szCs w:val="28"/>
          <w:lang w:val="en-US" w:eastAsia="zh-CN"/>
        </w:rPr>
        <w:t>0.63</w:t>
      </w:r>
      <w:r>
        <w:rPr>
          <w:rFonts w:hint="eastAsia"/>
          <w:sz w:val="24"/>
          <w:szCs w:val="28"/>
        </w:rPr>
        <w:t>mg/m</w:t>
      </w:r>
      <w:r>
        <w:rPr>
          <w:rFonts w:hint="eastAsia"/>
          <w:sz w:val="24"/>
          <w:szCs w:val="28"/>
          <w:vertAlign w:val="superscript"/>
        </w:rPr>
        <w:t>3</w:t>
      </w:r>
      <w:r>
        <w:rPr>
          <w:rFonts w:hint="eastAsia"/>
          <w:sz w:val="24"/>
          <w:szCs w:val="28"/>
        </w:rPr>
        <w:t>，最大排放速率为4.25</w:t>
      </w:r>
      <w:r>
        <w:rPr>
          <w:rFonts w:hint="default" w:ascii="Times New Roman" w:hAnsi="Times New Roman" w:cs="Times New Roman"/>
          <w:sz w:val="24"/>
          <w:szCs w:val="28"/>
        </w:rPr>
        <w:t>×</w:t>
      </w:r>
      <w:r>
        <w:rPr>
          <w:rFonts w:hint="eastAsia"/>
          <w:sz w:val="24"/>
          <w:szCs w:val="28"/>
        </w:rPr>
        <w:t>10</w:t>
      </w:r>
      <w:r>
        <w:rPr>
          <w:rFonts w:hint="eastAsia"/>
          <w:sz w:val="24"/>
          <w:szCs w:val="28"/>
          <w:vertAlign w:val="superscript"/>
        </w:rPr>
        <w:t>-3</w:t>
      </w:r>
      <w:r>
        <w:rPr>
          <w:sz w:val="24"/>
          <w:szCs w:val="28"/>
        </w:rPr>
        <w:t>kg/h</w:t>
      </w:r>
      <w:r>
        <w:rPr>
          <w:rFonts w:hint="eastAsia"/>
          <w:sz w:val="24"/>
          <w:szCs w:val="28"/>
          <w:lang w:eastAsia="zh-CN"/>
        </w:rPr>
        <w:t>；</w:t>
      </w:r>
      <w:r>
        <w:rPr>
          <w:rFonts w:hint="eastAsia"/>
          <w:sz w:val="24"/>
          <w:szCs w:val="28"/>
          <w:lang w:val="en-US" w:eastAsia="zh-CN"/>
        </w:rPr>
        <w:t>氯化氢未检出，以上均</w:t>
      </w:r>
      <w:r>
        <w:rPr>
          <w:rFonts w:hint="eastAsia"/>
          <w:sz w:val="24"/>
          <w:szCs w:val="28"/>
        </w:rPr>
        <w:t>满足《大气污染物综合排放标准》（DB 50/418-2016）表1限值要求。</w:t>
      </w:r>
    </w:p>
    <w:p w14:paraId="42B3ED12">
      <w:pPr>
        <w:spacing w:line="490" w:lineRule="exact"/>
        <w:ind w:firstLine="480" w:firstLineChars="200"/>
        <w:rPr>
          <w:rFonts w:hint="eastAsia" w:eastAsia="宋体"/>
          <w:sz w:val="24"/>
          <w:szCs w:val="28"/>
          <w:lang w:val="en-US" w:eastAsia="zh-CN"/>
        </w:rPr>
      </w:pPr>
      <w:r>
        <w:rPr>
          <w:rFonts w:hint="eastAsia"/>
          <w:sz w:val="24"/>
          <w:szCs w:val="28"/>
        </w:rPr>
        <w:t>（</w:t>
      </w:r>
      <w:r>
        <w:rPr>
          <w:rFonts w:hint="eastAsia"/>
          <w:sz w:val="24"/>
          <w:szCs w:val="28"/>
          <w:lang w:val="en-US" w:eastAsia="zh-CN"/>
        </w:rPr>
        <w:t>3</w:t>
      </w:r>
      <w:r>
        <w:rPr>
          <w:rFonts w:hint="eastAsia"/>
          <w:sz w:val="24"/>
          <w:szCs w:val="28"/>
        </w:rPr>
        <w:t>）无组织</w:t>
      </w:r>
      <w:r>
        <w:rPr>
          <w:rFonts w:hint="eastAsia"/>
          <w:sz w:val="24"/>
          <w:szCs w:val="28"/>
          <w:lang w:val="en-US" w:eastAsia="zh-CN"/>
        </w:rPr>
        <w:t>废气</w:t>
      </w:r>
    </w:p>
    <w:p w14:paraId="25FFB765">
      <w:pPr>
        <w:spacing w:line="490" w:lineRule="exact"/>
        <w:ind w:firstLine="420"/>
        <w:rPr>
          <w:sz w:val="24"/>
          <w:szCs w:val="24"/>
        </w:rPr>
      </w:pPr>
      <w:r>
        <w:rPr>
          <w:rFonts w:hint="default" w:ascii="Times New Roman" w:hAnsi="Times New Roman" w:cs="Times New Roman"/>
          <w:sz w:val="24"/>
          <w:szCs w:val="28"/>
        </w:rPr>
        <w:t>项目</w:t>
      </w:r>
      <w:r>
        <w:rPr>
          <w:rFonts w:hint="default" w:ascii="Times New Roman" w:hAnsi="Times New Roman" w:cs="Times New Roman"/>
          <w:sz w:val="24"/>
          <w:szCs w:val="28"/>
          <w:lang w:val="en-US" w:eastAsia="zh-CN"/>
        </w:rPr>
        <w:t>在上下风向各</w:t>
      </w:r>
      <w:r>
        <w:rPr>
          <w:rFonts w:hint="default" w:ascii="Times New Roman" w:hAnsi="Times New Roman" w:cs="Times New Roman"/>
          <w:sz w:val="24"/>
          <w:szCs w:val="28"/>
        </w:rPr>
        <w:t>设置</w:t>
      </w:r>
      <w:r>
        <w:rPr>
          <w:rFonts w:hint="default" w:ascii="Times New Roman" w:hAnsi="Times New Roman" w:cs="Times New Roman"/>
          <w:sz w:val="24"/>
          <w:szCs w:val="28"/>
          <w:lang w:val="en-US" w:eastAsia="zh-CN"/>
        </w:rPr>
        <w:t>1</w:t>
      </w:r>
      <w:r>
        <w:rPr>
          <w:rFonts w:hint="default" w:ascii="Times New Roman" w:hAnsi="Times New Roman" w:cs="Times New Roman"/>
          <w:sz w:val="24"/>
          <w:szCs w:val="28"/>
        </w:rPr>
        <w:t>个无组织监测点</w:t>
      </w:r>
      <w:r>
        <w:rPr>
          <w:rFonts w:hint="eastAsia" w:ascii="Times New Roman" w:hAnsi="Times New Roman" w:cs="Times New Roman"/>
          <w:sz w:val="24"/>
          <w:szCs w:val="28"/>
          <w:lang w:val="en-US" w:eastAsia="zh-CN"/>
        </w:rPr>
        <w:t>以</w:t>
      </w:r>
      <w:r>
        <w:rPr>
          <w:rFonts w:hint="default" w:ascii="Times New Roman" w:hAnsi="Times New Roman" w:cs="Times New Roman"/>
          <w:sz w:val="24"/>
          <w:szCs w:val="28"/>
        </w:rPr>
        <w:t>及厂房外</w:t>
      </w:r>
      <w:r>
        <w:rPr>
          <w:rFonts w:hint="eastAsia" w:ascii="Times New Roman" w:hAnsi="Times New Roman" w:cs="Times New Roman"/>
          <w:sz w:val="24"/>
          <w:szCs w:val="28"/>
          <w:lang w:val="en-US" w:eastAsia="zh-CN"/>
        </w:rPr>
        <w:t>设置1个</w:t>
      </w:r>
      <w:r>
        <w:rPr>
          <w:rFonts w:hint="default" w:ascii="Times New Roman" w:hAnsi="Times New Roman" w:cs="Times New Roman"/>
          <w:sz w:val="24"/>
          <w:szCs w:val="28"/>
        </w:rPr>
        <w:t>监控点。无组织废气</w:t>
      </w:r>
      <w:r>
        <w:rPr>
          <w:rFonts w:hint="default" w:ascii="Times New Roman" w:hAnsi="Times New Roman" w:cs="Times New Roman"/>
          <w:sz w:val="24"/>
          <w:szCs w:val="28"/>
          <w:lang w:val="en-US" w:eastAsia="zh-CN"/>
        </w:rPr>
        <w:t>非甲烷总烃</w:t>
      </w:r>
      <w:r>
        <w:rPr>
          <w:rFonts w:hint="default" w:ascii="Times New Roman" w:hAnsi="Times New Roman" w:cs="Times New Roman"/>
          <w:sz w:val="24"/>
          <w:szCs w:val="28"/>
        </w:rPr>
        <w:t>最大浓度为</w:t>
      </w:r>
      <w:r>
        <w:rPr>
          <w:rFonts w:hint="default" w:ascii="Times New Roman" w:hAnsi="Times New Roman" w:cs="Times New Roman"/>
          <w:sz w:val="24"/>
          <w:szCs w:val="28"/>
          <w:lang w:val="en-US" w:eastAsia="zh-CN"/>
        </w:rPr>
        <w:t>1.02</w:t>
      </w:r>
      <w:r>
        <w:rPr>
          <w:rFonts w:hint="default" w:ascii="Times New Roman" w:hAnsi="Times New Roman" w:cs="Times New Roman"/>
          <w:sz w:val="24"/>
          <w:szCs w:val="28"/>
        </w:rPr>
        <w:t>mg/m</w:t>
      </w:r>
      <w:r>
        <w:rPr>
          <w:rFonts w:hint="default" w:ascii="Times New Roman" w:hAnsi="Times New Roman" w:cs="Times New Roman"/>
          <w:sz w:val="24"/>
          <w:szCs w:val="28"/>
          <w:vertAlign w:val="superscript"/>
        </w:rPr>
        <w:t>3</w:t>
      </w:r>
      <w:r>
        <w:rPr>
          <w:rFonts w:hint="eastAsia" w:cs="Times New Roman"/>
          <w:sz w:val="24"/>
          <w:szCs w:val="28"/>
          <w:vertAlign w:val="baseline"/>
          <w:lang w:eastAsia="zh-CN"/>
        </w:rPr>
        <w:t>，</w:t>
      </w:r>
      <w:r>
        <w:rPr>
          <w:rFonts w:hint="eastAsia" w:cs="Times New Roman"/>
          <w:sz w:val="24"/>
          <w:szCs w:val="28"/>
          <w:vertAlign w:val="baseline"/>
          <w:lang w:val="en-US" w:eastAsia="zh-CN"/>
        </w:rPr>
        <w:t>满足</w:t>
      </w:r>
      <w:r>
        <w:rPr>
          <w:rFonts w:hint="eastAsia"/>
          <w:sz w:val="24"/>
          <w:szCs w:val="28"/>
        </w:rPr>
        <w:t>《包装印刷业大气污染物排放标准》（DB 50/758-2017）表</w:t>
      </w:r>
      <w:r>
        <w:rPr>
          <w:rFonts w:hint="eastAsia"/>
          <w:sz w:val="24"/>
          <w:szCs w:val="28"/>
          <w:lang w:val="en-US" w:eastAsia="zh-CN"/>
        </w:rPr>
        <w:t>4限值要求</w:t>
      </w:r>
      <w:r>
        <w:rPr>
          <w:rFonts w:hint="eastAsia" w:cs="Times New Roman"/>
          <w:sz w:val="24"/>
          <w:szCs w:val="28"/>
          <w:lang w:val="en-US" w:eastAsia="zh-CN"/>
        </w:rPr>
        <w:t>；</w:t>
      </w:r>
      <w:r>
        <w:rPr>
          <w:rFonts w:hint="default" w:ascii="Times New Roman" w:hAnsi="Times New Roman" w:cs="Times New Roman"/>
          <w:sz w:val="24"/>
          <w:szCs w:val="28"/>
          <w:lang w:val="en-US" w:eastAsia="zh-CN"/>
        </w:rPr>
        <w:t>氯化氢未检出</w:t>
      </w:r>
      <w:r>
        <w:rPr>
          <w:rFonts w:hint="eastAsia" w:cs="Times New Roman"/>
          <w:sz w:val="24"/>
          <w:szCs w:val="28"/>
          <w:lang w:val="en-US" w:eastAsia="zh-CN"/>
        </w:rPr>
        <w:t>，</w:t>
      </w:r>
      <w:r>
        <w:rPr>
          <w:rFonts w:hint="default" w:ascii="Times New Roman" w:hAnsi="Times New Roman" w:cs="Times New Roman"/>
          <w:sz w:val="24"/>
          <w:szCs w:val="28"/>
          <w:lang w:val="en-US" w:eastAsia="zh-CN"/>
        </w:rPr>
        <w:t>硫酸雾最大浓度为0.112</w:t>
      </w:r>
      <w:r>
        <w:rPr>
          <w:rFonts w:hint="default" w:ascii="Times New Roman" w:hAnsi="Times New Roman" w:cs="Times New Roman"/>
          <w:sz w:val="24"/>
          <w:szCs w:val="28"/>
        </w:rPr>
        <w:t>mg/m</w:t>
      </w:r>
      <w:r>
        <w:rPr>
          <w:rFonts w:hint="default" w:ascii="Times New Roman" w:hAnsi="Times New Roman" w:cs="Times New Roman"/>
          <w:sz w:val="24"/>
          <w:szCs w:val="28"/>
          <w:vertAlign w:val="superscript"/>
        </w:rPr>
        <w:t>3</w:t>
      </w:r>
      <w:r>
        <w:rPr>
          <w:rFonts w:hint="eastAsia" w:cs="Times New Roman"/>
          <w:sz w:val="24"/>
          <w:szCs w:val="28"/>
          <w:vertAlign w:val="baseline"/>
          <w:lang w:eastAsia="zh-CN"/>
        </w:rPr>
        <w:t>，</w:t>
      </w:r>
      <w:r>
        <w:rPr>
          <w:rFonts w:hint="default" w:ascii="Times New Roman" w:hAnsi="Times New Roman" w:cs="Times New Roman"/>
          <w:sz w:val="24"/>
          <w:szCs w:val="28"/>
          <w:vertAlign w:val="baseline"/>
          <w:lang w:val="en-US" w:eastAsia="zh-CN"/>
        </w:rPr>
        <w:t>氟化物最大浓度为</w:t>
      </w:r>
      <w:r>
        <w:rPr>
          <w:rFonts w:hint="default" w:ascii="Times New Roman" w:hAnsi="Times New Roman" w:eastAsia="宋体" w:cs="Times New Roman"/>
          <w:color w:val="000000"/>
          <w:spacing w:val="0"/>
          <w:kern w:val="2"/>
          <w:sz w:val="24"/>
          <w:szCs w:val="24"/>
          <w:lang w:val="en-US" w:eastAsia="zh-CN" w:bidi="ar-SA"/>
        </w:rPr>
        <w:t>3.77×10</w:t>
      </w:r>
      <w:r>
        <w:rPr>
          <w:rFonts w:hint="default" w:ascii="Times New Roman" w:hAnsi="Times New Roman" w:eastAsia="宋体" w:cs="Times New Roman"/>
          <w:color w:val="000000"/>
          <w:spacing w:val="0"/>
          <w:kern w:val="2"/>
          <w:sz w:val="24"/>
          <w:szCs w:val="24"/>
          <w:vertAlign w:val="superscript"/>
          <w:lang w:val="en-US" w:eastAsia="zh-CN" w:bidi="ar-SA"/>
        </w:rPr>
        <w:t>-3</w:t>
      </w:r>
      <w:r>
        <w:rPr>
          <w:rFonts w:hint="default" w:ascii="Times New Roman" w:hAnsi="Times New Roman" w:cs="Times New Roman"/>
          <w:sz w:val="24"/>
          <w:szCs w:val="28"/>
        </w:rPr>
        <w:t>mg/m</w:t>
      </w:r>
      <w:r>
        <w:rPr>
          <w:rFonts w:hint="default" w:ascii="Times New Roman" w:hAnsi="Times New Roman" w:cs="Times New Roman"/>
          <w:sz w:val="24"/>
          <w:szCs w:val="28"/>
          <w:vertAlign w:val="superscript"/>
        </w:rPr>
        <w:t>3</w:t>
      </w:r>
      <w:r>
        <w:rPr>
          <w:rFonts w:hint="default" w:ascii="Times New Roman" w:hAnsi="Times New Roman" w:cs="Times New Roman"/>
          <w:sz w:val="24"/>
          <w:szCs w:val="28"/>
          <w:vertAlign w:val="baseline"/>
          <w:lang w:eastAsia="zh-CN"/>
        </w:rPr>
        <w:t>，</w:t>
      </w:r>
      <w:r>
        <w:rPr>
          <w:rFonts w:hint="eastAsia" w:ascii="Times New Roman" w:hAnsi="Times New Roman" w:cs="Times New Roman"/>
          <w:sz w:val="24"/>
          <w:szCs w:val="28"/>
          <w:vertAlign w:val="baseline"/>
          <w:lang w:val="en-US" w:eastAsia="zh-CN"/>
        </w:rPr>
        <w:t>均</w:t>
      </w:r>
      <w:r>
        <w:rPr>
          <w:rFonts w:hint="default" w:ascii="Times New Roman" w:hAnsi="Times New Roman" w:cs="Times New Roman"/>
          <w:sz w:val="24"/>
          <w:szCs w:val="28"/>
        </w:rPr>
        <w:t>满足《大气污染物综合排放标准》（DB 50/418-2016）表1限值</w:t>
      </w:r>
      <w:r>
        <w:rPr>
          <w:rFonts w:hint="eastAsia" w:ascii="Times New Roman" w:hAnsi="Times New Roman" w:cs="Times New Roman"/>
          <w:sz w:val="24"/>
          <w:szCs w:val="28"/>
          <w:lang w:val="en-US" w:eastAsia="zh-CN"/>
        </w:rPr>
        <w:t>要求</w:t>
      </w:r>
      <w:r>
        <w:rPr>
          <w:rFonts w:hint="default" w:ascii="Times New Roman" w:hAnsi="Times New Roman" w:cs="Times New Roman"/>
          <w:sz w:val="24"/>
          <w:szCs w:val="28"/>
        </w:rPr>
        <w:t>；</w:t>
      </w:r>
      <w:r>
        <w:rPr>
          <w:rFonts w:hint="eastAsia"/>
          <w:color w:val="auto"/>
          <w:sz w:val="24"/>
          <w:szCs w:val="24"/>
          <w:lang w:val="en-US" w:eastAsia="zh-CN"/>
        </w:rPr>
        <w:t>厂区内监控点</w:t>
      </w:r>
      <w:r>
        <w:rPr>
          <w:rFonts w:hint="default" w:ascii="Times New Roman" w:hAnsi="Times New Roman" w:cs="Times New Roman"/>
          <w:sz w:val="24"/>
          <w:szCs w:val="28"/>
        </w:rPr>
        <w:t>非甲烷总烃最大浓度为</w:t>
      </w:r>
      <w:r>
        <w:rPr>
          <w:rFonts w:hint="default" w:ascii="Times New Roman" w:hAnsi="Times New Roman" w:cs="Times New Roman"/>
          <w:sz w:val="24"/>
          <w:szCs w:val="28"/>
          <w:lang w:val="en-US" w:eastAsia="zh-CN"/>
        </w:rPr>
        <w:t>1.2</w:t>
      </w:r>
      <w:r>
        <w:rPr>
          <w:rFonts w:hint="eastAsia" w:ascii="Times New Roman" w:hAnsi="Times New Roman" w:cs="Times New Roman"/>
          <w:sz w:val="24"/>
          <w:szCs w:val="28"/>
          <w:lang w:val="en-US" w:eastAsia="zh-CN"/>
        </w:rPr>
        <w:t>6</w:t>
      </w:r>
      <w:r>
        <w:rPr>
          <w:rFonts w:hint="default" w:ascii="Times New Roman" w:hAnsi="Times New Roman" w:cs="Times New Roman"/>
          <w:sz w:val="24"/>
          <w:szCs w:val="28"/>
        </w:rPr>
        <w:t>mg/m</w:t>
      </w:r>
      <w:r>
        <w:rPr>
          <w:rFonts w:hint="default" w:ascii="Times New Roman" w:hAnsi="Times New Roman" w:cs="Times New Roman"/>
          <w:sz w:val="24"/>
          <w:szCs w:val="28"/>
          <w:vertAlign w:val="superscript"/>
        </w:rPr>
        <w:t>3</w:t>
      </w:r>
      <w:r>
        <w:rPr>
          <w:rFonts w:hint="default" w:ascii="Times New Roman" w:hAnsi="Times New Roman" w:cs="Times New Roman"/>
          <w:sz w:val="24"/>
          <w:szCs w:val="28"/>
        </w:rPr>
        <w:t>，满足</w:t>
      </w:r>
      <w:r>
        <w:rPr>
          <w:rFonts w:hint="default" w:ascii="Times New Roman" w:hAnsi="Times New Roman" w:cs="Times New Roman"/>
          <w:sz w:val="24"/>
          <w:szCs w:val="24"/>
        </w:rPr>
        <w:t>《挥发性</w:t>
      </w:r>
      <w:r>
        <w:rPr>
          <w:rFonts w:hint="eastAsia"/>
          <w:sz w:val="24"/>
          <w:szCs w:val="24"/>
        </w:rPr>
        <w:t>有机物无组织排放控制标准》（GB 37822-2019）表A.1</w:t>
      </w:r>
      <w:r>
        <w:rPr>
          <w:rFonts w:hint="eastAsia"/>
          <w:sz w:val="24"/>
          <w:szCs w:val="24"/>
          <w:lang w:val="en-US" w:eastAsia="zh-CN"/>
        </w:rPr>
        <w:t>限值</w:t>
      </w:r>
      <w:r>
        <w:rPr>
          <w:rFonts w:hint="eastAsia"/>
          <w:sz w:val="24"/>
          <w:szCs w:val="24"/>
        </w:rPr>
        <w:t>要求。</w:t>
      </w:r>
    </w:p>
    <w:p w14:paraId="55EAF7C1">
      <w:pPr>
        <w:pStyle w:val="4"/>
        <w:spacing w:before="0" w:after="0" w:line="490" w:lineRule="exact"/>
        <w:rPr>
          <w:sz w:val="24"/>
          <w:szCs w:val="24"/>
        </w:rPr>
      </w:pPr>
      <w:r>
        <w:rPr>
          <w:rFonts w:hint="eastAsia"/>
          <w:sz w:val="24"/>
          <w:szCs w:val="24"/>
        </w:rPr>
        <w:t>9</w:t>
      </w:r>
      <w:r>
        <w:rPr>
          <w:sz w:val="24"/>
          <w:szCs w:val="24"/>
        </w:rPr>
        <w:t>.2.1.3</w:t>
      </w:r>
      <w:r>
        <w:rPr>
          <w:rFonts w:hint="eastAsia"/>
          <w:sz w:val="24"/>
          <w:szCs w:val="24"/>
        </w:rPr>
        <w:t>噪声治理设施</w:t>
      </w:r>
    </w:p>
    <w:p w14:paraId="097483A5">
      <w:pPr>
        <w:spacing w:line="490" w:lineRule="exact"/>
        <w:ind w:firstLine="480" w:firstLineChars="200"/>
        <w:rPr>
          <w:sz w:val="24"/>
          <w:szCs w:val="28"/>
        </w:rPr>
      </w:pPr>
      <w:r>
        <w:rPr>
          <w:rFonts w:hint="eastAsia"/>
          <w:sz w:val="24"/>
          <w:szCs w:val="28"/>
        </w:rPr>
        <w:t>本项目在采取合理布局、基础减振、厂房隔声、风机设置隔声罩等措施后，根据监测报告，本项目厂界四周昼间最大值为</w:t>
      </w:r>
      <w:r>
        <w:rPr>
          <w:rFonts w:hint="eastAsia"/>
          <w:sz w:val="24"/>
          <w:szCs w:val="28"/>
          <w:lang w:val="en-US" w:eastAsia="zh-CN"/>
        </w:rPr>
        <w:t>62</w:t>
      </w:r>
      <w:r>
        <w:rPr>
          <w:rFonts w:hint="eastAsia"/>
          <w:sz w:val="24"/>
          <w:szCs w:val="28"/>
        </w:rPr>
        <w:t xml:space="preserve"> </w:t>
      </w:r>
      <w:r>
        <w:rPr>
          <w:sz w:val="24"/>
          <w:szCs w:val="28"/>
        </w:rPr>
        <w:t>dB</w:t>
      </w:r>
      <w:r>
        <w:rPr>
          <w:rFonts w:hint="eastAsia"/>
          <w:sz w:val="24"/>
          <w:szCs w:val="28"/>
        </w:rPr>
        <w:t>（</w:t>
      </w:r>
      <w:r>
        <w:rPr>
          <w:sz w:val="24"/>
          <w:szCs w:val="28"/>
        </w:rPr>
        <w:t>A</w:t>
      </w:r>
      <w:r>
        <w:rPr>
          <w:rFonts w:hint="eastAsia"/>
          <w:sz w:val="24"/>
          <w:szCs w:val="28"/>
        </w:rPr>
        <w:t xml:space="preserve">），夜间噪声最大值为 </w:t>
      </w:r>
      <w:r>
        <w:rPr>
          <w:rFonts w:hint="eastAsia"/>
          <w:sz w:val="24"/>
          <w:szCs w:val="28"/>
          <w:lang w:val="en-US" w:eastAsia="zh-CN"/>
        </w:rPr>
        <w:t>54</w:t>
      </w:r>
      <w:r>
        <w:rPr>
          <w:sz w:val="24"/>
          <w:szCs w:val="28"/>
        </w:rPr>
        <w:t xml:space="preserve"> dB</w:t>
      </w:r>
      <w:r>
        <w:rPr>
          <w:rFonts w:hint="eastAsia"/>
          <w:sz w:val="24"/>
          <w:szCs w:val="28"/>
        </w:rPr>
        <w:t>（</w:t>
      </w:r>
      <w:r>
        <w:rPr>
          <w:sz w:val="24"/>
          <w:szCs w:val="28"/>
        </w:rPr>
        <w:t>A</w:t>
      </w:r>
      <w:r>
        <w:rPr>
          <w:rFonts w:hint="eastAsia"/>
          <w:sz w:val="24"/>
          <w:szCs w:val="28"/>
        </w:rPr>
        <w:t>），夜间</w:t>
      </w:r>
      <w:r>
        <w:rPr>
          <w:sz w:val="24"/>
          <w:szCs w:val="28"/>
        </w:rPr>
        <w:t>L</w:t>
      </w:r>
      <w:r>
        <w:rPr>
          <w:sz w:val="24"/>
          <w:szCs w:val="28"/>
          <w:vertAlign w:val="subscript"/>
        </w:rPr>
        <w:t>max</w:t>
      </w:r>
      <w:r>
        <w:rPr>
          <w:rFonts w:hint="eastAsia"/>
          <w:sz w:val="24"/>
          <w:szCs w:val="28"/>
        </w:rPr>
        <w:t>为6</w:t>
      </w:r>
      <w:r>
        <w:rPr>
          <w:rFonts w:hint="eastAsia"/>
          <w:sz w:val="24"/>
          <w:szCs w:val="28"/>
          <w:lang w:val="en-US" w:eastAsia="zh-CN"/>
        </w:rPr>
        <w:t>7.8</w:t>
      </w:r>
      <w:r>
        <w:rPr>
          <w:sz w:val="24"/>
          <w:szCs w:val="28"/>
        </w:rPr>
        <w:t xml:space="preserve"> dB</w:t>
      </w:r>
      <w:r>
        <w:rPr>
          <w:rFonts w:hint="eastAsia"/>
          <w:sz w:val="24"/>
          <w:szCs w:val="28"/>
        </w:rPr>
        <w:t>（</w:t>
      </w:r>
      <w:r>
        <w:rPr>
          <w:sz w:val="24"/>
          <w:szCs w:val="28"/>
        </w:rPr>
        <w:t>A</w:t>
      </w:r>
      <w:r>
        <w:rPr>
          <w:rFonts w:hint="eastAsia"/>
          <w:sz w:val="24"/>
          <w:szCs w:val="28"/>
        </w:rPr>
        <w:t>）</w:t>
      </w:r>
      <w:r>
        <w:rPr>
          <w:rFonts w:hint="eastAsia"/>
          <w:sz w:val="24"/>
          <w:szCs w:val="28"/>
          <w:lang w:eastAsia="zh-CN"/>
        </w:rPr>
        <w:t>，</w:t>
      </w:r>
      <w:r>
        <w:rPr>
          <w:rFonts w:hint="eastAsia"/>
          <w:sz w:val="24"/>
          <w:szCs w:val="28"/>
        </w:rPr>
        <w:t>满足《工业企业厂界环境噪声排放标准》（GB 12348-2008）表1中3类标准要求。</w:t>
      </w:r>
    </w:p>
    <w:p w14:paraId="49D167D1">
      <w:pPr>
        <w:pStyle w:val="4"/>
        <w:spacing w:before="0" w:after="0" w:line="490" w:lineRule="exact"/>
        <w:rPr>
          <w:sz w:val="24"/>
          <w:szCs w:val="24"/>
        </w:rPr>
      </w:pPr>
      <w:r>
        <w:rPr>
          <w:rFonts w:hint="eastAsia"/>
          <w:sz w:val="24"/>
          <w:szCs w:val="24"/>
        </w:rPr>
        <w:t>9</w:t>
      </w:r>
      <w:r>
        <w:rPr>
          <w:sz w:val="24"/>
          <w:szCs w:val="24"/>
        </w:rPr>
        <w:t>.2.1.4</w:t>
      </w:r>
      <w:r>
        <w:rPr>
          <w:rFonts w:hint="eastAsia"/>
          <w:sz w:val="24"/>
          <w:szCs w:val="24"/>
        </w:rPr>
        <w:t>固体废物治理设施</w:t>
      </w:r>
    </w:p>
    <w:p w14:paraId="53B109CA">
      <w:pPr>
        <w:spacing w:line="49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本项目产生的固废主要为一般工业固废、危险废物、生活垃圾等。厂区内设置危废暂存间，建筑面积9m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，暂存废活性炭、漆渣和废漆料容器等，危险废物暂存间已按照《危险废物贮存污染控制标准》（GB 18597-2023）的要求进行防风、防晒、防雨、防漏、防渗、防腐等处理，危险废物分类存放，已与</w:t>
      </w:r>
      <w:r>
        <w:rPr>
          <w:rFonts w:hint="default" w:ascii="Times New Roman" w:hAnsi="Times New Roman" w:eastAsia="宋体" w:cs="Times New Roman"/>
          <w:sz w:val="24"/>
          <w:szCs w:val="24"/>
          <w:lang w:eastAsia="zh-CN"/>
        </w:rPr>
        <w:t>重庆创绿环境保护有限公司</w:t>
      </w:r>
      <w:r>
        <w:rPr>
          <w:rFonts w:hint="default" w:ascii="Times New Roman" w:hAnsi="Times New Roman" w:eastAsia="宋体" w:cs="Times New Roman"/>
          <w:sz w:val="24"/>
          <w:szCs w:val="24"/>
        </w:rPr>
        <w:t>签订处置协议；厂区内设置一般固废暂存间，建筑面积100 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，暂存废边角料、包装废弃物以及采用干式过滤除尘器收集的粉尘等一般工业固废，定期交物资公司回收；厂区内设置垃圾桶，收集生活垃圾，交环卫部门处理。</w:t>
      </w:r>
    </w:p>
    <w:p w14:paraId="0283CA97">
      <w:pPr>
        <w:spacing w:line="49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本项目固体废物采取以上环保措施后，满足环评要求。</w:t>
      </w:r>
    </w:p>
    <w:p w14:paraId="32859710">
      <w:pPr>
        <w:pStyle w:val="4"/>
        <w:spacing w:before="0" w:after="0" w:line="490" w:lineRule="exact"/>
        <w:rPr>
          <w:sz w:val="24"/>
          <w:szCs w:val="24"/>
        </w:rPr>
      </w:pPr>
      <w:r>
        <w:rPr>
          <w:sz w:val="24"/>
          <w:szCs w:val="24"/>
        </w:rPr>
        <w:t>9.2.2污染物排放监测结果</w:t>
      </w:r>
      <w:bookmarkEnd w:id="216"/>
      <w:bookmarkEnd w:id="217"/>
    </w:p>
    <w:p w14:paraId="4A012152">
      <w:pPr>
        <w:pStyle w:val="4"/>
        <w:spacing w:before="0" w:after="0" w:line="490" w:lineRule="exact"/>
        <w:rPr>
          <w:sz w:val="24"/>
          <w:szCs w:val="24"/>
        </w:rPr>
      </w:pPr>
      <w:r>
        <w:rPr>
          <w:sz w:val="24"/>
          <w:szCs w:val="24"/>
        </w:rPr>
        <w:t>9.2.2.1废水监测结果</w:t>
      </w:r>
    </w:p>
    <w:p w14:paraId="639CAF9F">
      <w:pPr>
        <w:spacing w:before="156" w:beforeLines="50"/>
        <w:jc w:val="center"/>
        <w:rPr>
          <w:b/>
          <w:bCs/>
          <w:sz w:val="24"/>
          <w:szCs w:val="24"/>
        </w:rPr>
      </w:pPr>
      <w:r>
        <w:rPr>
          <w:b/>
          <w:bCs/>
          <w:sz w:val="24"/>
          <w:szCs w:val="24"/>
        </w:rPr>
        <w:t xml:space="preserve">表9-1  </w:t>
      </w:r>
      <w:r>
        <w:rPr>
          <w:rFonts w:hint="eastAsia"/>
          <w:b/>
          <w:bCs/>
          <w:sz w:val="24"/>
          <w:szCs w:val="24"/>
        </w:rPr>
        <w:t>厂区生产废水处理站排放口WS1（DW002）</w:t>
      </w:r>
      <w:r>
        <w:rPr>
          <w:b/>
          <w:bCs/>
          <w:sz w:val="24"/>
          <w:szCs w:val="24"/>
        </w:rPr>
        <w:t>监测结果一览表</w:t>
      </w:r>
    </w:p>
    <w:tbl>
      <w:tblPr>
        <w:tblStyle w:val="35"/>
        <w:tblW w:w="900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303"/>
        <w:gridCol w:w="851"/>
        <w:gridCol w:w="1169"/>
        <w:gridCol w:w="1170"/>
        <w:gridCol w:w="1169"/>
        <w:gridCol w:w="1170"/>
        <w:gridCol w:w="747"/>
        <w:gridCol w:w="734"/>
      </w:tblGrid>
      <w:tr w14:paraId="0D05CF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5" w:type="dxa"/>
            <w:vMerge w:val="restart"/>
            <w:vAlign w:val="center"/>
          </w:tcPr>
          <w:p w14:paraId="4781E81A">
            <w:pPr>
              <w:jc w:val="center"/>
            </w:pPr>
            <w:bookmarkStart w:id="218" w:name="_Hlk138943366"/>
            <w:r>
              <w:t>监测日期</w:t>
            </w:r>
          </w:p>
        </w:tc>
        <w:tc>
          <w:tcPr>
            <w:tcW w:w="1303" w:type="dxa"/>
            <w:vMerge w:val="restart"/>
            <w:vAlign w:val="center"/>
          </w:tcPr>
          <w:p w14:paraId="5DB217C4">
            <w:pPr>
              <w:jc w:val="center"/>
            </w:pPr>
            <w:r>
              <w:t>项目</w:t>
            </w:r>
          </w:p>
        </w:tc>
        <w:tc>
          <w:tcPr>
            <w:tcW w:w="851" w:type="dxa"/>
            <w:vMerge w:val="restart"/>
            <w:vAlign w:val="center"/>
          </w:tcPr>
          <w:p w14:paraId="1446B0BE">
            <w:pPr>
              <w:jc w:val="center"/>
            </w:pPr>
            <w:r>
              <w:t>单位</w:t>
            </w:r>
          </w:p>
        </w:tc>
        <w:tc>
          <w:tcPr>
            <w:tcW w:w="4678" w:type="dxa"/>
            <w:gridSpan w:val="4"/>
            <w:vAlign w:val="center"/>
          </w:tcPr>
          <w:p w14:paraId="76F72A22">
            <w:pPr>
              <w:jc w:val="center"/>
            </w:pPr>
            <w:r>
              <w:t>监测点位及编号</w:t>
            </w:r>
          </w:p>
        </w:tc>
        <w:tc>
          <w:tcPr>
            <w:tcW w:w="747" w:type="dxa"/>
            <w:vMerge w:val="restart"/>
            <w:vAlign w:val="center"/>
          </w:tcPr>
          <w:p w14:paraId="031854A3">
            <w:pPr>
              <w:jc w:val="center"/>
            </w:pPr>
            <w:r>
              <w:t>平均值</w:t>
            </w:r>
          </w:p>
        </w:tc>
        <w:tc>
          <w:tcPr>
            <w:tcW w:w="734" w:type="dxa"/>
            <w:vMerge w:val="restart"/>
            <w:vAlign w:val="center"/>
          </w:tcPr>
          <w:p w14:paraId="5773B579">
            <w:pPr>
              <w:jc w:val="center"/>
            </w:pPr>
            <w:r>
              <w:t>排放限值</w:t>
            </w:r>
          </w:p>
        </w:tc>
      </w:tr>
      <w:tr w14:paraId="4CF361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5" w:type="dxa"/>
            <w:vMerge w:val="continue"/>
            <w:vAlign w:val="center"/>
          </w:tcPr>
          <w:p w14:paraId="32E3475C">
            <w:pPr>
              <w:jc w:val="center"/>
            </w:pPr>
          </w:p>
        </w:tc>
        <w:tc>
          <w:tcPr>
            <w:tcW w:w="1303" w:type="dxa"/>
            <w:vMerge w:val="continue"/>
            <w:vAlign w:val="center"/>
          </w:tcPr>
          <w:p w14:paraId="543560C6">
            <w:pPr>
              <w:jc w:val="center"/>
            </w:pPr>
          </w:p>
        </w:tc>
        <w:tc>
          <w:tcPr>
            <w:tcW w:w="851" w:type="dxa"/>
            <w:vMerge w:val="continue"/>
            <w:vAlign w:val="center"/>
          </w:tcPr>
          <w:p w14:paraId="1ECE694B">
            <w:pPr>
              <w:jc w:val="center"/>
            </w:pPr>
          </w:p>
        </w:tc>
        <w:tc>
          <w:tcPr>
            <w:tcW w:w="1169" w:type="dxa"/>
            <w:vAlign w:val="center"/>
          </w:tcPr>
          <w:p w14:paraId="6FAA2228">
            <w:pPr>
              <w:jc w:val="center"/>
            </w:pPr>
            <w:r>
              <w:t>25HY0004WS1-1-1</w:t>
            </w:r>
          </w:p>
        </w:tc>
        <w:tc>
          <w:tcPr>
            <w:tcW w:w="1170" w:type="dxa"/>
            <w:vAlign w:val="center"/>
          </w:tcPr>
          <w:p w14:paraId="6CED5669">
            <w:pPr>
              <w:jc w:val="center"/>
            </w:pPr>
            <w:r>
              <w:t>25HY0004WS1-1-2</w:t>
            </w:r>
          </w:p>
        </w:tc>
        <w:tc>
          <w:tcPr>
            <w:tcW w:w="1169" w:type="dxa"/>
            <w:vAlign w:val="center"/>
          </w:tcPr>
          <w:p w14:paraId="6818D9FA">
            <w:pPr>
              <w:jc w:val="center"/>
            </w:pPr>
            <w:r>
              <w:t>25HY0004WS1-1-3</w:t>
            </w:r>
          </w:p>
        </w:tc>
        <w:tc>
          <w:tcPr>
            <w:tcW w:w="1170" w:type="dxa"/>
            <w:vAlign w:val="center"/>
          </w:tcPr>
          <w:p w14:paraId="1C6F31F3">
            <w:pPr>
              <w:jc w:val="center"/>
            </w:pPr>
            <w:r>
              <w:t>25HY0004WS1-1-4</w:t>
            </w:r>
          </w:p>
        </w:tc>
        <w:tc>
          <w:tcPr>
            <w:tcW w:w="747" w:type="dxa"/>
            <w:vMerge w:val="continue"/>
            <w:vAlign w:val="center"/>
          </w:tcPr>
          <w:p w14:paraId="70DC00DB">
            <w:pPr>
              <w:jc w:val="center"/>
            </w:pPr>
          </w:p>
        </w:tc>
        <w:tc>
          <w:tcPr>
            <w:tcW w:w="734" w:type="dxa"/>
            <w:vMerge w:val="continue"/>
            <w:vAlign w:val="center"/>
          </w:tcPr>
          <w:p w14:paraId="4319B9A2">
            <w:pPr>
              <w:jc w:val="center"/>
            </w:pPr>
          </w:p>
        </w:tc>
      </w:tr>
      <w:tr w14:paraId="657D3A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5" w:type="dxa"/>
            <w:vMerge w:val="restart"/>
            <w:vAlign w:val="center"/>
          </w:tcPr>
          <w:p w14:paraId="2FE5E50F">
            <w:pPr>
              <w:jc w:val="center"/>
            </w:pPr>
            <w:r>
              <w:t>20250424</w:t>
            </w:r>
          </w:p>
        </w:tc>
        <w:tc>
          <w:tcPr>
            <w:tcW w:w="1303" w:type="dxa"/>
            <w:vAlign w:val="center"/>
          </w:tcPr>
          <w:p w14:paraId="21913503">
            <w:pPr>
              <w:jc w:val="center"/>
              <w:rPr>
                <w:kern w:val="0"/>
              </w:rPr>
            </w:pPr>
            <w:r>
              <w:rPr>
                <w:bCs/>
              </w:rPr>
              <w:t>pH值</w:t>
            </w:r>
          </w:p>
        </w:tc>
        <w:tc>
          <w:tcPr>
            <w:tcW w:w="851" w:type="dxa"/>
            <w:vAlign w:val="center"/>
          </w:tcPr>
          <w:p w14:paraId="5AAB6F48">
            <w:pPr>
              <w:jc w:val="center"/>
            </w:pPr>
            <w:r>
              <w:t>无量纲</w:t>
            </w:r>
          </w:p>
        </w:tc>
        <w:tc>
          <w:tcPr>
            <w:tcW w:w="1169" w:type="dxa"/>
            <w:vAlign w:val="center"/>
          </w:tcPr>
          <w:p w14:paraId="7DD90A06">
            <w:pPr>
              <w:jc w:val="center"/>
            </w:pPr>
            <w:r>
              <w:rPr>
                <w:rFonts w:hint="eastAsia"/>
              </w:rPr>
              <w:t>8.2</w:t>
            </w:r>
          </w:p>
        </w:tc>
        <w:tc>
          <w:tcPr>
            <w:tcW w:w="1170" w:type="dxa"/>
            <w:vAlign w:val="center"/>
          </w:tcPr>
          <w:p w14:paraId="0A628577">
            <w:pPr>
              <w:jc w:val="center"/>
            </w:pPr>
            <w:r>
              <w:rPr>
                <w:rFonts w:hint="eastAsia"/>
              </w:rPr>
              <w:t>8.5</w:t>
            </w:r>
          </w:p>
        </w:tc>
        <w:tc>
          <w:tcPr>
            <w:tcW w:w="1169" w:type="dxa"/>
            <w:vAlign w:val="center"/>
          </w:tcPr>
          <w:p w14:paraId="00A6CE52">
            <w:pPr>
              <w:jc w:val="center"/>
            </w:pPr>
            <w:r>
              <w:rPr>
                <w:rFonts w:hint="eastAsia"/>
              </w:rPr>
              <w:t>8.4</w:t>
            </w:r>
          </w:p>
        </w:tc>
        <w:tc>
          <w:tcPr>
            <w:tcW w:w="1170" w:type="dxa"/>
            <w:vAlign w:val="center"/>
          </w:tcPr>
          <w:p w14:paraId="1A45DA16">
            <w:pPr>
              <w:jc w:val="center"/>
            </w:pPr>
            <w:r>
              <w:rPr>
                <w:rFonts w:hint="eastAsia"/>
              </w:rPr>
              <w:t>8.0</w:t>
            </w:r>
          </w:p>
        </w:tc>
        <w:tc>
          <w:tcPr>
            <w:tcW w:w="747" w:type="dxa"/>
            <w:vAlign w:val="center"/>
          </w:tcPr>
          <w:p w14:paraId="04CC3D9D">
            <w:pPr>
              <w:jc w:val="center"/>
            </w:pPr>
            <w:r>
              <w:rPr>
                <w:rFonts w:hint="eastAsia"/>
              </w:rPr>
              <w:t>/</w:t>
            </w:r>
          </w:p>
        </w:tc>
        <w:tc>
          <w:tcPr>
            <w:tcW w:w="734" w:type="dxa"/>
            <w:vAlign w:val="center"/>
          </w:tcPr>
          <w:p w14:paraId="2A6450D1">
            <w:pPr>
              <w:jc w:val="center"/>
            </w:pPr>
            <w:r>
              <w:t>6~9</w:t>
            </w:r>
          </w:p>
        </w:tc>
      </w:tr>
      <w:tr w14:paraId="68BF02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5" w:type="dxa"/>
            <w:vMerge w:val="continue"/>
            <w:vAlign w:val="center"/>
          </w:tcPr>
          <w:p w14:paraId="103B3203">
            <w:pPr>
              <w:jc w:val="center"/>
            </w:pPr>
          </w:p>
        </w:tc>
        <w:tc>
          <w:tcPr>
            <w:tcW w:w="1303" w:type="dxa"/>
            <w:vAlign w:val="center"/>
          </w:tcPr>
          <w:p w14:paraId="49FA5A88">
            <w:pPr>
              <w:jc w:val="center"/>
              <w:rPr>
                <w:kern w:val="0"/>
              </w:rPr>
            </w:pPr>
            <w:r>
              <w:rPr>
                <w:rFonts w:hint="eastAsia"/>
              </w:rPr>
              <w:t>化学需氧量</w:t>
            </w:r>
          </w:p>
        </w:tc>
        <w:tc>
          <w:tcPr>
            <w:tcW w:w="851" w:type="dxa"/>
            <w:vAlign w:val="center"/>
          </w:tcPr>
          <w:p w14:paraId="246FEB26">
            <w:pPr>
              <w:jc w:val="center"/>
            </w:pPr>
            <w:r>
              <w:t>mg/L</w:t>
            </w:r>
          </w:p>
        </w:tc>
        <w:tc>
          <w:tcPr>
            <w:tcW w:w="1169" w:type="dxa"/>
            <w:vAlign w:val="center"/>
          </w:tcPr>
          <w:p w14:paraId="749CDF2D">
            <w:pPr>
              <w:jc w:val="center"/>
            </w:pPr>
            <w:r>
              <w:rPr>
                <w:rFonts w:hint="eastAsia"/>
              </w:rPr>
              <w:t>62</w:t>
            </w:r>
          </w:p>
        </w:tc>
        <w:tc>
          <w:tcPr>
            <w:tcW w:w="1170" w:type="dxa"/>
            <w:vAlign w:val="center"/>
          </w:tcPr>
          <w:p w14:paraId="412AC166">
            <w:pPr>
              <w:jc w:val="center"/>
            </w:pPr>
            <w:r>
              <w:rPr>
                <w:rFonts w:hint="eastAsia"/>
              </w:rPr>
              <w:t>68</w:t>
            </w:r>
          </w:p>
        </w:tc>
        <w:tc>
          <w:tcPr>
            <w:tcW w:w="1169" w:type="dxa"/>
            <w:vAlign w:val="center"/>
          </w:tcPr>
          <w:p w14:paraId="204A503B">
            <w:pPr>
              <w:jc w:val="center"/>
            </w:pPr>
            <w:r>
              <w:rPr>
                <w:rFonts w:hint="eastAsia"/>
              </w:rPr>
              <w:t>71</w:t>
            </w:r>
          </w:p>
        </w:tc>
        <w:tc>
          <w:tcPr>
            <w:tcW w:w="1170" w:type="dxa"/>
            <w:vAlign w:val="center"/>
          </w:tcPr>
          <w:p w14:paraId="5DF4A9AB">
            <w:pPr>
              <w:jc w:val="center"/>
            </w:pPr>
            <w:r>
              <w:rPr>
                <w:rFonts w:hint="eastAsia"/>
              </w:rPr>
              <w:t>72</w:t>
            </w:r>
          </w:p>
        </w:tc>
        <w:tc>
          <w:tcPr>
            <w:tcW w:w="747" w:type="dxa"/>
            <w:vAlign w:val="center"/>
          </w:tcPr>
          <w:p w14:paraId="0E1DF4D8">
            <w:pPr>
              <w:jc w:val="center"/>
            </w:pPr>
            <w:r>
              <w:rPr>
                <w:rFonts w:hint="eastAsia"/>
              </w:rPr>
              <w:t>68</w:t>
            </w:r>
          </w:p>
        </w:tc>
        <w:tc>
          <w:tcPr>
            <w:tcW w:w="734" w:type="dxa"/>
            <w:vAlign w:val="center"/>
          </w:tcPr>
          <w:p w14:paraId="2E46AF47">
            <w:pPr>
              <w:jc w:val="center"/>
            </w:pPr>
            <w:r>
              <w:rPr>
                <w:rFonts w:hint="eastAsia"/>
                <w:bCs/>
              </w:rPr>
              <w:t>500</w:t>
            </w:r>
          </w:p>
        </w:tc>
      </w:tr>
      <w:tr w14:paraId="42F3DF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5" w:type="dxa"/>
            <w:vMerge w:val="continue"/>
            <w:vAlign w:val="center"/>
          </w:tcPr>
          <w:p w14:paraId="02C0419E">
            <w:pPr>
              <w:jc w:val="center"/>
            </w:pPr>
          </w:p>
        </w:tc>
        <w:tc>
          <w:tcPr>
            <w:tcW w:w="1303" w:type="dxa"/>
            <w:vAlign w:val="center"/>
          </w:tcPr>
          <w:p w14:paraId="24A1F748">
            <w:pPr>
              <w:jc w:val="center"/>
              <w:rPr>
                <w:bCs/>
              </w:rPr>
            </w:pPr>
            <w:r>
              <w:rPr>
                <w:rFonts w:hint="eastAsia"/>
              </w:rPr>
              <w:t>氨氮</w:t>
            </w:r>
          </w:p>
        </w:tc>
        <w:tc>
          <w:tcPr>
            <w:tcW w:w="851" w:type="dxa"/>
            <w:vAlign w:val="center"/>
          </w:tcPr>
          <w:p w14:paraId="7498576D">
            <w:pPr>
              <w:jc w:val="center"/>
            </w:pPr>
            <w:r>
              <w:t>mg/L</w:t>
            </w:r>
          </w:p>
        </w:tc>
        <w:tc>
          <w:tcPr>
            <w:tcW w:w="1169" w:type="dxa"/>
            <w:vAlign w:val="center"/>
          </w:tcPr>
          <w:p w14:paraId="135EF260">
            <w:pPr>
              <w:jc w:val="center"/>
            </w:pPr>
            <w:r>
              <w:rPr>
                <w:rFonts w:hint="eastAsia"/>
              </w:rPr>
              <w:t>4.22</w:t>
            </w:r>
          </w:p>
        </w:tc>
        <w:tc>
          <w:tcPr>
            <w:tcW w:w="1170" w:type="dxa"/>
            <w:vAlign w:val="center"/>
          </w:tcPr>
          <w:p w14:paraId="3C85176E">
            <w:pPr>
              <w:jc w:val="center"/>
            </w:pPr>
            <w:r>
              <w:rPr>
                <w:rFonts w:hint="eastAsia"/>
              </w:rPr>
              <w:t>4.39</w:t>
            </w:r>
          </w:p>
        </w:tc>
        <w:tc>
          <w:tcPr>
            <w:tcW w:w="1169" w:type="dxa"/>
            <w:vAlign w:val="center"/>
          </w:tcPr>
          <w:p w14:paraId="58E0A689">
            <w:pPr>
              <w:jc w:val="center"/>
            </w:pPr>
            <w:r>
              <w:rPr>
                <w:rFonts w:hint="eastAsia"/>
              </w:rPr>
              <w:t>4.54</w:t>
            </w:r>
          </w:p>
        </w:tc>
        <w:tc>
          <w:tcPr>
            <w:tcW w:w="1170" w:type="dxa"/>
            <w:vAlign w:val="center"/>
          </w:tcPr>
          <w:p w14:paraId="3D61ABDD">
            <w:pPr>
              <w:jc w:val="center"/>
            </w:pPr>
            <w:r>
              <w:rPr>
                <w:rFonts w:hint="eastAsia"/>
              </w:rPr>
              <w:t>4.75</w:t>
            </w:r>
          </w:p>
        </w:tc>
        <w:tc>
          <w:tcPr>
            <w:tcW w:w="747" w:type="dxa"/>
            <w:vAlign w:val="center"/>
          </w:tcPr>
          <w:p w14:paraId="670B0BCF">
            <w:pPr>
              <w:jc w:val="center"/>
            </w:pPr>
            <w:r>
              <w:rPr>
                <w:rFonts w:hint="eastAsia"/>
              </w:rPr>
              <w:t>4.48</w:t>
            </w:r>
          </w:p>
        </w:tc>
        <w:tc>
          <w:tcPr>
            <w:tcW w:w="734" w:type="dxa"/>
            <w:vAlign w:val="center"/>
          </w:tcPr>
          <w:p w14:paraId="2DD0EBD4">
            <w:pPr>
              <w:jc w:val="center"/>
              <w:rPr>
                <w:bCs/>
              </w:rPr>
            </w:pPr>
            <w:r>
              <w:rPr>
                <w:rFonts w:hint="eastAsia"/>
                <w:bCs/>
              </w:rPr>
              <w:t>45</w:t>
            </w:r>
          </w:p>
        </w:tc>
      </w:tr>
      <w:tr w14:paraId="2F797B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5" w:type="dxa"/>
            <w:vMerge w:val="continue"/>
            <w:vAlign w:val="center"/>
          </w:tcPr>
          <w:p w14:paraId="20D2609C">
            <w:pPr>
              <w:jc w:val="center"/>
            </w:pPr>
          </w:p>
        </w:tc>
        <w:tc>
          <w:tcPr>
            <w:tcW w:w="1303" w:type="dxa"/>
            <w:vAlign w:val="center"/>
          </w:tcPr>
          <w:p w14:paraId="41D1071B">
            <w:pPr>
              <w:jc w:val="center"/>
              <w:rPr>
                <w:bCs/>
              </w:rPr>
            </w:pPr>
            <w:r>
              <w:rPr>
                <w:rFonts w:hint="eastAsia"/>
              </w:rPr>
              <w:t>悬浮物</w:t>
            </w:r>
          </w:p>
        </w:tc>
        <w:tc>
          <w:tcPr>
            <w:tcW w:w="851" w:type="dxa"/>
            <w:vAlign w:val="center"/>
          </w:tcPr>
          <w:p w14:paraId="0B0A66C3">
            <w:pPr>
              <w:jc w:val="center"/>
            </w:pPr>
            <w:r>
              <w:t>mg/L</w:t>
            </w:r>
          </w:p>
        </w:tc>
        <w:tc>
          <w:tcPr>
            <w:tcW w:w="1169" w:type="dxa"/>
            <w:vAlign w:val="center"/>
          </w:tcPr>
          <w:p w14:paraId="2914F30D">
            <w:pPr>
              <w:jc w:val="center"/>
            </w:pPr>
            <w:r>
              <w:rPr>
                <w:rFonts w:hint="eastAsia"/>
              </w:rPr>
              <w:t>31</w:t>
            </w:r>
          </w:p>
        </w:tc>
        <w:tc>
          <w:tcPr>
            <w:tcW w:w="1170" w:type="dxa"/>
            <w:vAlign w:val="center"/>
          </w:tcPr>
          <w:p w14:paraId="23BCF3A5">
            <w:pPr>
              <w:jc w:val="center"/>
            </w:pPr>
            <w:r>
              <w:rPr>
                <w:rFonts w:hint="eastAsia"/>
              </w:rPr>
              <w:t>38</w:t>
            </w:r>
          </w:p>
        </w:tc>
        <w:tc>
          <w:tcPr>
            <w:tcW w:w="1169" w:type="dxa"/>
            <w:vAlign w:val="center"/>
          </w:tcPr>
          <w:p w14:paraId="22DBC414">
            <w:pPr>
              <w:jc w:val="center"/>
            </w:pPr>
            <w:r>
              <w:rPr>
                <w:rFonts w:hint="eastAsia"/>
              </w:rPr>
              <w:t>48</w:t>
            </w:r>
          </w:p>
        </w:tc>
        <w:tc>
          <w:tcPr>
            <w:tcW w:w="1170" w:type="dxa"/>
            <w:vAlign w:val="center"/>
          </w:tcPr>
          <w:p w14:paraId="63FE0383">
            <w:pPr>
              <w:jc w:val="center"/>
            </w:pPr>
            <w:r>
              <w:rPr>
                <w:rFonts w:hint="eastAsia"/>
              </w:rPr>
              <w:t>36</w:t>
            </w:r>
          </w:p>
        </w:tc>
        <w:tc>
          <w:tcPr>
            <w:tcW w:w="747" w:type="dxa"/>
            <w:vAlign w:val="center"/>
          </w:tcPr>
          <w:p w14:paraId="22D9A709">
            <w:pPr>
              <w:jc w:val="center"/>
            </w:pPr>
            <w:r>
              <w:rPr>
                <w:rFonts w:hint="eastAsia"/>
              </w:rPr>
              <w:t>38</w:t>
            </w:r>
          </w:p>
        </w:tc>
        <w:tc>
          <w:tcPr>
            <w:tcW w:w="734" w:type="dxa"/>
            <w:vAlign w:val="center"/>
          </w:tcPr>
          <w:p w14:paraId="12E9D412">
            <w:pPr>
              <w:jc w:val="center"/>
              <w:rPr>
                <w:bCs/>
              </w:rPr>
            </w:pPr>
            <w:r>
              <w:rPr>
                <w:rFonts w:hint="eastAsia"/>
                <w:bCs/>
              </w:rPr>
              <w:t>400</w:t>
            </w:r>
          </w:p>
        </w:tc>
      </w:tr>
      <w:tr w14:paraId="74603C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5" w:type="dxa"/>
            <w:vMerge w:val="continue"/>
            <w:vAlign w:val="center"/>
          </w:tcPr>
          <w:p w14:paraId="62772F82">
            <w:pPr>
              <w:jc w:val="center"/>
            </w:pPr>
          </w:p>
        </w:tc>
        <w:tc>
          <w:tcPr>
            <w:tcW w:w="1303" w:type="dxa"/>
            <w:vAlign w:val="center"/>
          </w:tcPr>
          <w:p w14:paraId="116676FB">
            <w:pPr>
              <w:jc w:val="center"/>
              <w:rPr>
                <w:bCs/>
              </w:rPr>
            </w:pPr>
            <w:r>
              <w:rPr>
                <w:rFonts w:hint="eastAsia"/>
              </w:rPr>
              <w:t>五日生化需氧量</w:t>
            </w:r>
          </w:p>
        </w:tc>
        <w:tc>
          <w:tcPr>
            <w:tcW w:w="851" w:type="dxa"/>
            <w:vAlign w:val="center"/>
          </w:tcPr>
          <w:p w14:paraId="22EF2C1D">
            <w:pPr>
              <w:jc w:val="center"/>
            </w:pPr>
            <w:r>
              <w:t>mg/L</w:t>
            </w:r>
          </w:p>
        </w:tc>
        <w:tc>
          <w:tcPr>
            <w:tcW w:w="1169" w:type="dxa"/>
            <w:vAlign w:val="center"/>
          </w:tcPr>
          <w:p w14:paraId="4C7C1F77">
            <w:pPr>
              <w:jc w:val="center"/>
            </w:pPr>
            <w:r>
              <w:rPr>
                <w:rFonts w:hint="eastAsia"/>
              </w:rPr>
              <w:t>17.7</w:t>
            </w:r>
          </w:p>
        </w:tc>
        <w:tc>
          <w:tcPr>
            <w:tcW w:w="1170" w:type="dxa"/>
            <w:vAlign w:val="center"/>
          </w:tcPr>
          <w:p w14:paraId="50CFE448">
            <w:pPr>
              <w:jc w:val="center"/>
            </w:pPr>
            <w:r>
              <w:rPr>
                <w:rFonts w:hint="eastAsia"/>
              </w:rPr>
              <w:t>16.8</w:t>
            </w:r>
          </w:p>
        </w:tc>
        <w:tc>
          <w:tcPr>
            <w:tcW w:w="1169" w:type="dxa"/>
            <w:vAlign w:val="center"/>
          </w:tcPr>
          <w:p w14:paraId="52758602">
            <w:pPr>
              <w:jc w:val="center"/>
            </w:pPr>
            <w:r>
              <w:rPr>
                <w:rFonts w:hint="eastAsia"/>
              </w:rPr>
              <w:t>17.4</w:t>
            </w:r>
          </w:p>
        </w:tc>
        <w:tc>
          <w:tcPr>
            <w:tcW w:w="1170" w:type="dxa"/>
            <w:vAlign w:val="center"/>
          </w:tcPr>
          <w:p w14:paraId="01A2CB21">
            <w:pPr>
              <w:jc w:val="center"/>
            </w:pPr>
            <w:r>
              <w:rPr>
                <w:rFonts w:hint="eastAsia"/>
              </w:rPr>
              <w:t>17.4</w:t>
            </w:r>
          </w:p>
        </w:tc>
        <w:tc>
          <w:tcPr>
            <w:tcW w:w="747" w:type="dxa"/>
            <w:vAlign w:val="center"/>
          </w:tcPr>
          <w:p w14:paraId="5D5760A4">
            <w:pPr>
              <w:jc w:val="center"/>
            </w:pPr>
            <w:r>
              <w:rPr>
                <w:rFonts w:hint="eastAsia"/>
              </w:rPr>
              <w:t>17.3</w:t>
            </w:r>
          </w:p>
        </w:tc>
        <w:tc>
          <w:tcPr>
            <w:tcW w:w="734" w:type="dxa"/>
            <w:vAlign w:val="center"/>
          </w:tcPr>
          <w:p w14:paraId="7C23617F">
            <w:pPr>
              <w:jc w:val="center"/>
              <w:rPr>
                <w:bCs/>
              </w:rPr>
            </w:pPr>
            <w:r>
              <w:rPr>
                <w:rFonts w:hint="eastAsia"/>
                <w:bCs/>
              </w:rPr>
              <w:t>3</w:t>
            </w:r>
            <w:r>
              <w:rPr>
                <w:bCs/>
              </w:rPr>
              <w:t>00</w:t>
            </w:r>
          </w:p>
        </w:tc>
      </w:tr>
      <w:tr w14:paraId="7B268C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5" w:type="dxa"/>
            <w:vMerge w:val="continue"/>
            <w:vAlign w:val="center"/>
          </w:tcPr>
          <w:p w14:paraId="2AF7FBDF">
            <w:pPr>
              <w:jc w:val="center"/>
            </w:pPr>
          </w:p>
        </w:tc>
        <w:tc>
          <w:tcPr>
            <w:tcW w:w="1303" w:type="dxa"/>
            <w:vAlign w:val="center"/>
          </w:tcPr>
          <w:p w14:paraId="06867641">
            <w:pPr>
              <w:jc w:val="center"/>
              <w:rPr>
                <w:bCs/>
              </w:rPr>
            </w:pPr>
            <w:r>
              <w:rPr>
                <w:rFonts w:hint="eastAsia"/>
              </w:rPr>
              <w:t>总磷</w:t>
            </w:r>
          </w:p>
        </w:tc>
        <w:tc>
          <w:tcPr>
            <w:tcW w:w="851" w:type="dxa"/>
            <w:vAlign w:val="center"/>
          </w:tcPr>
          <w:p w14:paraId="6F733FBA">
            <w:pPr>
              <w:jc w:val="center"/>
            </w:pPr>
            <w:r>
              <w:t>mg/L</w:t>
            </w:r>
          </w:p>
        </w:tc>
        <w:tc>
          <w:tcPr>
            <w:tcW w:w="1169" w:type="dxa"/>
            <w:vAlign w:val="center"/>
          </w:tcPr>
          <w:p w14:paraId="3360B18A">
            <w:pPr>
              <w:jc w:val="center"/>
            </w:pPr>
            <w:r>
              <w:rPr>
                <w:rFonts w:hint="eastAsia"/>
              </w:rPr>
              <w:t>0.38</w:t>
            </w:r>
          </w:p>
        </w:tc>
        <w:tc>
          <w:tcPr>
            <w:tcW w:w="1170" w:type="dxa"/>
            <w:vAlign w:val="center"/>
          </w:tcPr>
          <w:p w14:paraId="1F87D56C">
            <w:pPr>
              <w:jc w:val="center"/>
            </w:pPr>
            <w:r>
              <w:rPr>
                <w:rFonts w:hint="eastAsia"/>
              </w:rPr>
              <w:t>0.34</w:t>
            </w:r>
          </w:p>
        </w:tc>
        <w:tc>
          <w:tcPr>
            <w:tcW w:w="1169" w:type="dxa"/>
            <w:vAlign w:val="center"/>
          </w:tcPr>
          <w:p w14:paraId="3913655B">
            <w:pPr>
              <w:jc w:val="center"/>
            </w:pPr>
            <w:r>
              <w:rPr>
                <w:rFonts w:hint="eastAsia"/>
              </w:rPr>
              <w:t>0.31</w:t>
            </w:r>
          </w:p>
        </w:tc>
        <w:tc>
          <w:tcPr>
            <w:tcW w:w="1170" w:type="dxa"/>
            <w:vAlign w:val="center"/>
          </w:tcPr>
          <w:p w14:paraId="382414B9">
            <w:pPr>
              <w:jc w:val="center"/>
            </w:pPr>
            <w:r>
              <w:rPr>
                <w:rFonts w:hint="eastAsia"/>
              </w:rPr>
              <w:t>0.36</w:t>
            </w:r>
          </w:p>
        </w:tc>
        <w:tc>
          <w:tcPr>
            <w:tcW w:w="747" w:type="dxa"/>
            <w:vAlign w:val="center"/>
          </w:tcPr>
          <w:p w14:paraId="5B3BCDAE">
            <w:pPr>
              <w:jc w:val="center"/>
            </w:pPr>
            <w:r>
              <w:rPr>
                <w:rFonts w:hint="eastAsia"/>
              </w:rPr>
              <w:t>0.35</w:t>
            </w:r>
          </w:p>
        </w:tc>
        <w:tc>
          <w:tcPr>
            <w:tcW w:w="734" w:type="dxa"/>
            <w:vAlign w:val="center"/>
          </w:tcPr>
          <w:p w14:paraId="204E6933">
            <w:pPr>
              <w:jc w:val="center"/>
              <w:rPr>
                <w:bCs/>
              </w:rPr>
            </w:pPr>
            <w:r>
              <w:rPr>
                <w:rFonts w:hint="eastAsia"/>
                <w:bCs/>
              </w:rPr>
              <w:t>8</w:t>
            </w:r>
          </w:p>
        </w:tc>
      </w:tr>
      <w:tr w14:paraId="05A3C3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5" w:type="dxa"/>
            <w:vMerge w:val="continue"/>
            <w:vAlign w:val="center"/>
          </w:tcPr>
          <w:p w14:paraId="10FAA57E">
            <w:pPr>
              <w:jc w:val="center"/>
            </w:pPr>
          </w:p>
        </w:tc>
        <w:tc>
          <w:tcPr>
            <w:tcW w:w="1303" w:type="dxa"/>
            <w:vAlign w:val="center"/>
          </w:tcPr>
          <w:p w14:paraId="7AAB8A71">
            <w:pPr>
              <w:jc w:val="center"/>
            </w:pPr>
            <w:r>
              <w:rPr>
                <w:rFonts w:hint="eastAsia"/>
              </w:rPr>
              <w:t>总氮</w:t>
            </w:r>
          </w:p>
        </w:tc>
        <w:tc>
          <w:tcPr>
            <w:tcW w:w="851" w:type="dxa"/>
            <w:vAlign w:val="center"/>
          </w:tcPr>
          <w:p w14:paraId="21EB0FAF">
            <w:pPr>
              <w:jc w:val="center"/>
            </w:pPr>
            <w:r>
              <w:t>mg/L</w:t>
            </w:r>
          </w:p>
        </w:tc>
        <w:tc>
          <w:tcPr>
            <w:tcW w:w="1169" w:type="dxa"/>
            <w:vAlign w:val="center"/>
          </w:tcPr>
          <w:p w14:paraId="51C55F26">
            <w:pPr>
              <w:jc w:val="center"/>
            </w:pPr>
            <w:r>
              <w:rPr>
                <w:rFonts w:hint="eastAsia"/>
              </w:rPr>
              <w:t>11.9</w:t>
            </w:r>
          </w:p>
        </w:tc>
        <w:tc>
          <w:tcPr>
            <w:tcW w:w="1170" w:type="dxa"/>
            <w:vAlign w:val="center"/>
          </w:tcPr>
          <w:p w14:paraId="1BE025F3">
            <w:pPr>
              <w:jc w:val="center"/>
            </w:pPr>
            <w:r>
              <w:rPr>
                <w:rFonts w:hint="eastAsia"/>
              </w:rPr>
              <w:t>12.6</w:t>
            </w:r>
          </w:p>
        </w:tc>
        <w:tc>
          <w:tcPr>
            <w:tcW w:w="1169" w:type="dxa"/>
            <w:vAlign w:val="center"/>
          </w:tcPr>
          <w:p w14:paraId="011C9966">
            <w:pPr>
              <w:jc w:val="center"/>
            </w:pPr>
            <w:r>
              <w:rPr>
                <w:rFonts w:hint="eastAsia"/>
              </w:rPr>
              <w:t>12.8</w:t>
            </w:r>
          </w:p>
        </w:tc>
        <w:tc>
          <w:tcPr>
            <w:tcW w:w="1170" w:type="dxa"/>
            <w:vAlign w:val="center"/>
          </w:tcPr>
          <w:p w14:paraId="4135816C">
            <w:pPr>
              <w:jc w:val="center"/>
            </w:pPr>
            <w:r>
              <w:rPr>
                <w:rFonts w:hint="eastAsia"/>
              </w:rPr>
              <w:t>12.8</w:t>
            </w:r>
          </w:p>
        </w:tc>
        <w:tc>
          <w:tcPr>
            <w:tcW w:w="747" w:type="dxa"/>
            <w:vAlign w:val="center"/>
          </w:tcPr>
          <w:p w14:paraId="3CB2DBE3">
            <w:pPr>
              <w:jc w:val="center"/>
            </w:pPr>
            <w:r>
              <w:rPr>
                <w:rFonts w:hint="eastAsia"/>
              </w:rPr>
              <w:t>12.5</w:t>
            </w:r>
          </w:p>
        </w:tc>
        <w:tc>
          <w:tcPr>
            <w:tcW w:w="734" w:type="dxa"/>
            <w:vAlign w:val="center"/>
          </w:tcPr>
          <w:p w14:paraId="34AA55A1">
            <w:pPr>
              <w:jc w:val="center"/>
              <w:rPr>
                <w:bCs/>
              </w:rPr>
            </w:pPr>
            <w:r>
              <w:rPr>
                <w:rFonts w:hint="eastAsia"/>
                <w:bCs/>
              </w:rPr>
              <w:t>70</w:t>
            </w:r>
          </w:p>
        </w:tc>
      </w:tr>
      <w:tr w14:paraId="02A557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5" w:type="dxa"/>
            <w:vMerge w:val="continue"/>
            <w:vAlign w:val="center"/>
          </w:tcPr>
          <w:p w14:paraId="769E3FAA">
            <w:pPr>
              <w:jc w:val="center"/>
            </w:pPr>
          </w:p>
        </w:tc>
        <w:tc>
          <w:tcPr>
            <w:tcW w:w="1303" w:type="dxa"/>
            <w:vAlign w:val="center"/>
          </w:tcPr>
          <w:p w14:paraId="2FFD4E0D">
            <w:pPr>
              <w:jc w:val="center"/>
            </w:pPr>
            <w:r>
              <w:rPr>
                <w:rFonts w:hint="eastAsia"/>
              </w:rPr>
              <w:t>石油类</w:t>
            </w:r>
          </w:p>
        </w:tc>
        <w:tc>
          <w:tcPr>
            <w:tcW w:w="851" w:type="dxa"/>
            <w:vAlign w:val="center"/>
          </w:tcPr>
          <w:p w14:paraId="23A814C7">
            <w:pPr>
              <w:jc w:val="center"/>
            </w:pPr>
            <w:r>
              <w:t>mg/L</w:t>
            </w:r>
          </w:p>
        </w:tc>
        <w:tc>
          <w:tcPr>
            <w:tcW w:w="1169" w:type="dxa"/>
            <w:vAlign w:val="center"/>
          </w:tcPr>
          <w:p w14:paraId="0231D7C9">
            <w:pPr>
              <w:jc w:val="center"/>
            </w:pPr>
            <w:r>
              <w:rPr>
                <w:rFonts w:hint="eastAsia"/>
              </w:rPr>
              <w:t>0.29</w:t>
            </w:r>
          </w:p>
        </w:tc>
        <w:tc>
          <w:tcPr>
            <w:tcW w:w="1170" w:type="dxa"/>
            <w:vAlign w:val="center"/>
          </w:tcPr>
          <w:p w14:paraId="4D2FE40E">
            <w:pPr>
              <w:jc w:val="center"/>
            </w:pPr>
            <w:r>
              <w:rPr>
                <w:rFonts w:hint="eastAsia"/>
              </w:rPr>
              <w:t>0.06</w:t>
            </w:r>
          </w:p>
        </w:tc>
        <w:tc>
          <w:tcPr>
            <w:tcW w:w="1169" w:type="dxa"/>
            <w:vAlign w:val="center"/>
          </w:tcPr>
          <w:p w14:paraId="414CC31B">
            <w:pPr>
              <w:jc w:val="center"/>
            </w:pPr>
            <w:r>
              <w:rPr>
                <w:rFonts w:hint="eastAsia"/>
              </w:rPr>
              <w:t>0.07</w:t>
            </w:r>
          </w:p>
        </w:tc>
        <w:tc>
          <w:tcPr>
            <w:tcW w:w="1170" w:type="dxa"/>
            <w:vAlign w:val="center"/>
          </w:tcPr>
          <w:p w14:paraId="38E5C15E">
            <w:pPr>
              <w:jc w:val="center"/>
            </w:pPr>
            <w:r>
              <w:rPr>
                <w:rFonts w:hint="eastAsia"/>
              </w:rPr>
              <w:t>0.13</w:t>
            </w:r>
          </w:p>
        </w:tc>
        <w:tc>
          <w:tcPr>
            <w:tcW w:w="747" w:type="dxa"/>
            <w:vAlign w:val="center"/>
          </w:tcPr>
          <w:p w14:paraId="613815D4">
            <w:pPr>
              <w:jc w:val="center"/>
            </w:pPr>
            <w:r>
              <w:rPr>
                <w:rFonts w:hint="eastAsia"/>
              </w:rPr>
              <w:t>0.14</w:t>
            </w:r>
          </w:p>
        </w:tc>
        <w:tc>
          <w:tcPr>
            <w:tcW w:w="734" w:type="dxa"/>
            <w:vAlign w:val="center"/>
          </w:tcPr>
          <w:p w14:paraId="3FAA4852">
            <w:pPr>
              <w:jc w:val="center"/>
              <w:rPr>
                <w:bCs/>
              </w:rPr>
            </w:pPr>
            <w:r>
              <w:rPr>
                <w:rFonts w:hint="eastAsia"/>
                <w:bCs/>
              </w:rPr>
              <w:t>20</w:t>
            </w:r>
          </w:p>
        </w:tc>
      </w:tr>
      <w:tr w14:paraId="25CE8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5" w:type="dxa"/>
            <w:vMerge w:val="continue"/>
            <w:vAlign w:val="center"/>
          </w:tcPr>
          <w:p w14:paraId="1C1F1C78">
            <w:pPr>
              <w:jc w:val="center"/>
            </w:pPr>
          </w:p>
        </w:tc>
        <w:tc>
          <w:tcPr>
            <w:tcW w:w="1303" w:type="dxa"/>
            <w:vAlign w:val="center"/>
          </w:tcPr>
          <w:p w14:paraId="7093F9CA">
            <w:pPr>
              <w:jc w:val="center"/>
            </w:pPr>
            <w:r>
              <w:rPr>
                <w:rFonts w:hint="eastAsia"/>
              </w:rPr>
              <w:t>阴离子表面活性剂</w:t>
            </w:r>
          </w:p>
        </w:tc>
        <w:tc>
          <w:tcPr>
            <w:tcW w:w="851" w:type="dxa"/>
            <w:vAlign w:val="center"/>
          </w:tcPr>
          <w:p w14:paraId="77E2B530">
            <w:pPr>
              <w:jc w:val="center"/>
            </w:pPr>
            <w:r>
              <w:t>mg/L</w:t>
            </w:r>
          </w:p>
        </w:tc>
        <w:tc>
          <w:tcPr>
            <w:tcW w:w="1169" w:type="dxa"/>
            <w:vAlign w:val="center"/>
          </w:tcPr>
          <w:p w14:paraId="4F4DE78D">
            <w:pPr>
              <w:jc w:val="center"/>
            </w:pPr>
            <w:r>
              <w:rPr>
                <w:rFonts w:hint="eastAsia"/>
              </w:rPr>
              <w:t>0.116</w:t>
            </w:r>
          </w:p>
        </w:tc>
        <w:tc>
          <w:tcPr>
            <w:tcW w:w="1170" w:type="dxa"/>
            <w:vAlign w:val="center"/>
          </w:tcPr>
          <w:p w14:paraId="7AB8E276">
            <w:pPr>
              <w:jc w:val="center"/>
            </w:pPr>
            <w:r>
              <w:rPr>
                <w:rFonts w:hint="eastAsia"/>
              </w:rPr>
              <w:t>0.143</w:t>
            </w:r>
          </w:p>
        </w:tc>
        <w:tc>
          <w:tcPr>
            <w:tcW w:w="1169" w:type="dxa"/>
            <w:vAlign w:val="center"/>
          </w:tcPr>
          <w:p w14:paraId="21D4CBB2">
            <w:pPr>
              <w:jc w:val="center"/>
            </w:pPr>
            <w:r>
              <w:rPr>
                <w:rFonts w:hint="eastAsia"/>
              </w:rPr>
              <w:t>0.152</w:t>
            </w:r>
          </w:p>
        </w:tc>
        <w:tc>
          <w:tcPr>
            <w:tcW w:w="1170" w:type="dxa"/>
            <w:vAlign w:val="center"/>
          </w:tcPr>
          <w:p w14:paraId="7B9724D5">
            <w:pPr>
              <w:jc w:val="center"/>
            </w:pPr>
            <w:r>
              <w:rPr>
                <w:rFonts w:hint="eastAsia"/>
              </w:rPr>
              <w:t>0.130</w:t>
            </w:r>
          </w:p>
        </w:tc>
        <w:tc>
          <w:tcPr>
            <w:tcW w:w="747" w:type="dxa"/>
            <w:vAlign w:val="center"/>
          </w:tcPr>
          <w:p w14:paraId="706CEFEB">
            <w:pPr>
              <w:jc w:val="center"/>
            </w:pPr>
            <w:r>
              <w:rPr>
                <w:rFonts w:hint="eastAsia"/>
              </w:rPr>
              <w:t>0.135</w:t>
            </w:r>
          </w:p>
        </w:tc>
        <w:tc>
          <w:tcPr>
            <w:tcW w:w="734" w:type="dxa"/>
            <w:vAlign w:val="center"/>
          </w:tcPr>
          <w:p w14:paraId="1E3D03FB">
            <w:pPr>
              <w:jc w:val="center"/>
              <w:rPr>
                <w:bCs/>
              </w:rPr>
            </w:pPr>
            <w:r>
              <w:rPr>
                <w:rFonts w:hint="eastAsia"/>
                <w:bCs/>
              </w:rPr>
              <w:t>20</w:t>
            </w:r>
          </w:p>
        </w:tc>
      </w:tr>
      <w:tr w14:paraId="07BC25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5" w:type="dxa"/>
            <w:vMerge w:val="continue"/>
            <w:vAlign w:val="center"/>
          </w:tcPr>
          <w:p w14:paraId="7F0BDAC8">
            <w:pPr>
              <w:jc w:val="center"/>
            </w:pPr>
          </w:p>
        </w:tc>
        <w:tc>
          <w:tcPr>
            <w:tcW w:w="1303" w:type="dxa"/>
            <w:vAlign w:val="center"/>
          </w:tcPr>
          <w:p w14:paraId="04D52086">
            <w:pPr>
              <w:jc w:val="center"/>
            </w:pPr>
            <w:r>
              <w:rPr>
                <w:rFonts w:hint="eastAsia"/>
              </w:rPr>
              <w:t>氟化物</w:t>
            </w:r>
          </w:p>
        </w:tc>
        <w:tc>
          <w:tcPr>
            <w:tcW w:w="851" w:type="dxa"/>
            <w:vAlign w:val="center"/>
          </w:tcPr>
          <w:p w14:paraId="7F4D5D83">
            <w:pPr>
              <w:jc w:val="center"/>
            </w:pPr>
            <w:r>
              <w:t>mg/L</w:t>
            </w:r>
          </w:p>
        </w:tc>
        <w:tc>
          <w:tcPr>
            <w:tcW w:w="1169" w:type="dxa"/>
            <w:vAlign w:val="center"/>
          </w:tcPr>
          <w:p w14:paraId="56096A91">
            <w:pPr>
              <w:jc w:val="center"/>
            </w:pPr>
            <w:r>
              <w:rPr>
                <w:rFonts w:hint="eastAsia"/>
              </w:rPr>
              <w:t>1.12</w:t>
            </w:r>
          </w:p>
        </w:tc>
        <w:tc>
          <w:tcPr>
            <w:tcW w:w="1170" w:type="dxa"/>
            <w:vAlign w:val="center"/>
          </w:tcPr>
          <w:p w14:paraId="424A1FCE">
            <w:pPr>
              <w:jc w:val="center"/>
            </w:pPr>
            <w:r>
              <w:rPr>
                <w:rFonts w:hint="eastAsia"/>
              </w:rPr>
              <w:t>0.926</w:t>
            </w:r>
          </w:p>
        </w:tc>
        <w:tc>
          <w:tcPr>
            <w:tcW w:w="1169" w:type="dxa"/>
            <w:vAlign w:val="center"/>
          </w:tcPr>
          <w:p w14:paraId="30B30797">
            <w:pPr>
              <w:jc w:val="center"/>
            </w:pPr>
            <w:r>
              <w:rPr>
                <w:rFonts w:hint="eastAsia"/>
              </w:rPr>
              <w:t>0.841</w:t>
            </w:r>
          </w:p>
        </w:tc>
        <w:tc>
          <w:tcPr>
            <w:tcW w:w="1170" w:type="dxa"/>
            <w:vAlign w:val="center"/>
          </w:tcPr>
          <w:p w14:paraId="5F36F8F5">
            <w:pPr>
              <w:jc w:val="center"/>
            </w:pPr>
            <w:r>
              <w:rPr>
                <w:rFonts w:hint="eastAsia"/>
              </w:rPr>
              <w:t>0.749</w:t>
            </w:r>
          </w:p>
        </w:tc>
        <w:tc>
          <w:tcPr>
            <w:tcW w:w="747" w:type="dxa"/>
            <w:vAlign w:val="center"/>
          </w:tcPr>
          <w:p w14:paraId="5AF9A552">
            <w:pPr>
              <w:jc w:val="center"/>
            </w:pPr>
            <w:r>
              <w:rPr>
                <w:rFonts w:hint="eastAsia"/>
              </w:rPr>
              <w:t>0.909</w:t>
            </w:r>
          </w:p>
        </w:tc>
        <w:tc>
          <w:tcPr>
            <w:tcW w:w="734" w:type="dxa"/>
            <w:vAlign w:val="center"/>
          </w:tcPr>
          <w:p w14:paraId="36481E38">
            <w:pPr>
              <w:jc w:val="center"/>
              <w:rPr>
                <w:bCs/>
              </w:rPr>
            </w:pPr>
            <w:r>
              <w:rPr>
                <w:rFonts w:hint="eastAsia"/>
                <w:bCs/>
              </w:rPr>
              <w:t>20</w:t>
            </w:r>
          </w:p>
        </w:tc>
      </w:tr>
      <w:tr w14:paraId="1E213C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2849" w:type="dxa"/>
            <w:gridSpan w:val="3"/>
            <w:vAlign w:val="center"/>
          </w:tcPr>
          <w:p w14:paraId="57FB8E4A">
            <w:pPr>
              <w:jc w:val="center"/>
            </w:pPr>
            <w:r>
              <w:t>表观描述</w:t>
            </w:r>
          </w:p>
        </w:tc>
        <w:tc>
          <w:tcPr>
            <w:tcW w:w="1169" w:type="dxa"/>
            <w:vAlign w:val="center"/>
          </w:tcPr>
          <w:p w14:paraId="688E84B2">
            <w:pPr>
              <w:jc w:val="center"/>
            </w:pPr>
            <w:r>
              <w:rPr>
                <w:rFonts w:hint="eastAsia"/>
              </w:rPr>
              <w:t>无色、无味、较清</w:t>
            </w:r>
          </w:p>
        </w:tc>
        <w:tc>
          <w:tcPr>
            <w:tcW w:w="1170" w:type="dxa"/>
            <w:vAlign w:val="center"/>
          </w:tcPr>
          <w:p w14:paraId="3E859C5F">
            <w:pPr>
              <w:jc w:val="center"/>
            </w:pPr>
            <w:r>
              <w:rPr>
                <w:rFonts w:hint="eastAsia"/>
              </w:rPr>
              <w:t>无色、无味、较清</w:t>
            </w:r>
          </w:p>
        </w:tc>
        <w:tc>
          <w:tcPr>
            <w:tcW w:w="1169" w:type="dxa"/>
            <w:vAlign w:val="center"/>
          </w:tcPr>
          <w:p w14:paraId="26CCBE15">
            <w:pPr>
              <w:jc w:val="center"/>
            </w:pPr>
            <w:r>
              <w:rPr>
                <w:rFonts w:hint="eastAsia"/>
              </w:rPr>
              <w:t>无色、无味、较清</w:t>
            </w:r>
          </w:p>
        </w:tc>
        <w:tc>
          <w:tcPr>
            <w:tcW w:w="1170" w:type="dxa"/>
            <w:vAlign w:val="center"/>
          </w:tcPr>
          <w:p w14:paraId="17A4EFBE">
            <w:pPr>
              <w:jc w:val="center"/>
            </w:pPr>
            <w:r>
              <w:rPr>
                <w:rFonts w:hint="eastAsia"/>
              </w:rPr>
              <w:t>无色、无味、较清</w:t>
            </w:r>
          </w:p>
        </w:tc>
        <w:tc>
          <w:tcPr>
            <w:tcW w:w="747" w:type="dxa"/>
            <w:vAlign w:val="center"/>
          </w:tcPr>
          <w:p w14:paraId="2D8E03C6">
            <w:pPr>
              <w:jc w:val="center"/>
            </w:pPr>
            <w:r>
              <w:rPr>
                <w:rFonts w:hint="eastAsia"/>
              </w:rPr>
              <w:t>/</w:t>
            </w:r>
          </w:p>
        </w:tc>
        <w:tc>
          <w:tcPr>
            <w:tcW w:w="734" w:type="dxa"/>
            <w:vAlign w:val="center"/>
          </w:tcPr>
          <w:p w14:paraId="3C337BCD">
            <w:pPr>
              <w:jc w:val="center"/>
              <w:rPr>
                <w:bCs/>
              </w:rPr>
            </w:pPr>
            <w:r>
              <w:rPr>
                <w:rFonts w:hint="eastAsia"/>
                <w:bCs/>
              </w:rPr>
              <w:t>/</w:t>
            </w:r>
          </w:p>
        </w:tc>
      </w:tr>
      <w:tr w14:paraId="52989D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5" w:type="dxa"/>
            <w:vMerge w:val="restart"/>
            <w:vAlign w:val="center"/>
          </w:tcPr>
          <w:p w14:paraId="7C0D14A8">
            <w:pPr>
              <w:jc w:val="center"/>
            </w:pPr>
            <w:r>
              <w:t>监测日期</w:t>
            </w:r>
          </w:p>
        </w:tc>
        <w:tc>
          <w:tcPr>
            <w:tcW w:w="1303" w:type="dxa"/>
            <w:vMerge w:val="restart"/>
            <w:vAlign w:val="center"/>
          </w:tcPr>
          <w:p w14:paraId="1CDE5A3C">
            <w:pPr>
              <w:jc w:val="center"/>
            </w:pPr>
            <w:r>
              <w:t>项目</w:t>
            </w:r>
          </w:p>
        </w:tc>
        <w:tc>
          <w:tcPr>
            <w:tcW w:w="851" w:type="dxa"/>
            <w:vMerge w:val="restart"/>
            <w:vAlign w:val="center"/>
          </w:tcPr>
          <w:p w14:paraId="1938642D">
            <w:pPr>
              <w:jc w:val="center"/>
            </w:pPr>
            <w:r>
              <w:t>单位</w:t>
            </w:r>
          </w:p>
        </w:tc>
        <w:tc>
          <w:tcPr>
            <w:tcW w:w="4678" w:type="dxa"/>
            <w:gridSpan w:val="4"/>
            <w:vAlign w:val="center"/>
          </w:tcPr>
          <w:p w14:paraId="2367C48D">
            <w:pPr>
              <w:jc w:val="center"/>
            </w:pPr>
            <w:r>
              <w:t>监测点位及编号</w:t>
            </w:r>
          </w:p>
        </w:tc>
        <w:tc>
          <w:tcPr>
            <w:tcW w:w="747" w:type="dxa"/>
            <w:vMerge w:val="restart"/>
            <w:vAlign w:val="center"/>
          </w:tcPr>
          <w:p w14:paraId="5EEC2385">
            <w:pPr>
              <w:jc w:val="center"/>
            </w:pPr>
            <w:r>
              <w:t>平均值</w:t>
            </w:r>
          </w:p>
        </w:tc>
        <w:tc>
          <w:tcPr>
            <w:tcW w:w="734" w:type="dxa"/>
            <w:vMerge w:val="restart"/>
            <w:vAlign w:val="center"/>
          </w:tcPr>
          <w:p w14:paraId="241B9E67">
            <w:pPr>
              <w:jc w:val="center"/>
            </w:pPr>
            <w:r>
              <w:t>排放限值</w:t>
            </w:r>
          </w:p>
        </w:tc>
      </w:tr>
      <w:tr w14:paraId="393960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5" w:type="dxa"/>
            <w:vMerge w:val="continue"/>
            <w:vAlign w:val="center"/>
          </w:tcPr>
          <w:p w14:paraId="43D667B0">
            <w:pPr>
              <w:jc w:val="center"/>
            </w:pPr>
          </w:p>
        </w:tc>
        <w:tc>
          <w:tcPr>
            <w:tcW w:w="1303" w:type="dxa"/>
            <w:vMerge w:val="continue"/>
            <w:vAlign w:val="center"/>
          </w:tcPr>
          <w:p w14:paraId="13549BF0">
            <w:pPr>
              <w:jc w:val="center"/>
            </w:pPr>
          </w:p>
        </w:tc>
        <w:tc>
          <w:tcPr>
            <w:tcW w:w="851" w:type="dxa"/>
            <w:vMerge w:val="continue"/>
            <w:vAlign w:val="center"/>
          </w:tcPr>
          <w:p w14:paraId="2FEF073A">
            <w:pPr>
              <w:jc w:val="center"/>
            </w:pPr>
          </w:p>
        </w:tc>
        <w:tc>
          <w:tcPr>
            <w:tcW w:w="1169" w:type="dxa"/>
            <w:vAlign w:val="center"/>
          </w:tcPr>
          <w:p w14:paraId="7FF50905">
            <w:pPr>
              <w:jc w:val="center"/>
            </w:pPr>
            <w:r>
              <w:t>25HY0004WS1-2-1</w:t>
            </w:r>
          </w:p>
        </w:tc>
        <w:tc>
          <w:tcPr>
            <w:tcW w:w="1170" w:type="dxa"/>
            <w:vAlign w:val="center"/>
          </w:tcPr>
          <w:p w14:paraId="7667F38F">
            <w:pPr>
              <w:jc w:val="center"/>
            </w:pPr>
            <w:r>
              <w:t>25HY0004WS1-2-2</w:t>
            </w:r>
          </w:p>
        </w:tc>
        <w:tc>
          <w:tcPr>
            <w:tcW w:w="1169" w:type="dxa"/>
            <w:vAlign w:val="center"/>
          </w:tcPr>
          <w:p w14:paraId="0CF7A0C6">
            <w:pPr>
              <w:jc w:val="center"/>
            </w:pPr>
            <w:r>
              <w:t>25HY0004WS1-2-3</w:t>
            </w:r>
          </w:p>
        </w:tc>
        <w:tc>
          <w:tcPr>
            <w:tcW w:w="1170" w:type="dxa"/>
            <w:vAlign w:val="center"/>
          </w:tcPr>
          <w:p w14:paraId="12DF8E18">
            <w:pPr>
              <w:jc w:val="center"/>
            </w:pPr>
            <w:r>
              <w:t>25HY0004WS1-2-4</w:t>
            </w:r>
          </w:p>
        </w:tc>
        <w:tc>
          <w:tcPr>
            <w:tcW w:w="747" w:type="dxa"/>
            <w:vMerge w:val="continue"/>
            <w:vAlign w:val="center"/>
          </w:tcPr>
          <w:p w14:paraId="255AF11B">
            <w:pPr>
              <w:jc w:val="center"/>
            </w:pPr>
          </w:p>
        </w:tc>
        <w:tc>
          <w:tcPr>
            <w:tcW w:w="734" w:type="dxa"/>
            <w:vMerge w:val="continue"/>
            <w:vAlign w:val="center"/>
          </w:tcPr>
          <w:p w14:paraId="2CE0701A">
            <w:pPr>
              <w:jc w:val="center"/>
            </w:pPr>
          </w:p>
        </w:tc>
      </w:tr>
      <w:tr w14:paraId="23420A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5" w:type="dxa"/>
            <w:vMerge w:val="restart"/>
            <w:vAlign w:val="center"/>
          </w:tcPr>
          <w:p w14:paraId="69330EED">
            <w:pPr>
              <w:jc w:val="center"/>
            </w:pPr>
            <w:r>
              <w:t>20250425</w:t>
            </w:r>
          </w:p>
        </w:tc>
        <w:tc>
          <w:tcPr>
            <w:tcW w:w="1303" w:type="dxa"/>
            <w:vAlign w:val="center"/>
          </w:tcPr>
          <w:p w14:paraId="66D081F2">
            <w:pPr>
              <w:jc w:val="center"/>
              <w:rPr>
                <w:kern w:val="0"/>
              </w:rPr>
            </w:pPr>
            <w:r>
              <w:rPr>
                <w:bCs/>
              </w:rPr>
              <w:t>pH值</w:t>
            </w:r>
          </w:p>
        </w:tc>
        <w:tc>
          <w:tcPr>
            <w:tcW w:w="851" w:type="dxa"/>
            <w:vAlign w:val="center"/>
          </w:tcPr>
          <w:p w14:paraId="681617AC">
            <w:pPr>
              <w:jc w:val="center"/>
            </w:pPr>
            <w:r>
              <w:t>无量纲</w:t>
            </w:r>
          </w:p>
        </w:tc>
        <w:tc>
          <w:tcPr>
            <w:tcW w:w="1169" w:type="dxa"/>
            <w:vAlign w:val="center"/>
          </w:tcPr>
          <w:p w14:paraId="32971DDE">
            <w:pPr>
              <w:jc w:val="center"/>
            </w:pPr>
            <w:r>
              <w:rPr>
                <w:rFonts w:hint="eastAsia"/>
              </w:rPr>
              <w:t>8.1</w:t>
            </w:r>
          </w:p>
        </w:tc>
        <w:tc>
          <w:tcPr>
            <w:tcW w:w="1170" w:type="dxa"/>
            <w:vAlign w:val="center"/>
          </w:tcPr>
          <w:p w14:paraId="6A619534">
            <w:pPr>
              <w:jc w:val="center"/>
            </w:pPr>
            <w:r>
              <w:rPr>
                <w:rFonts w:hint="eastAsia"/>
              </w:rPr>
              <w:t>8.2</w:t>
            </w:r>
          </w:p>
        </w:tc>
        <w:tc>
          <w:tcPr>
            <w:tcW w:w="1169" w:type="dxa"/>
            <w:vAlign w:val="center"/>
          </w:tcPr>
          <w:p w14:paraId="3CA5D7A3">
            <w:pPr>
              <w:jc w:val="center"/>
            </w:pPr>
            <w:r>
              <w:rPr>
                <w:rFonts w:hint="eastAsia"/>
              </w:rPr>
              <w:t>8.0</w:t>
            </w:r>
          </w:p>
        </w:tc>
        <w:tc>
          <w:tcPr>
            <w:tcW w:w="1170" w:type="dxa"/>
            <w:vAlign w:val="center"/>
          </w:tcPr>
          <w:p w14:paraId="414E69B2">
            <w:pPr>
              <w:jc w:val="center"/>
            </w:pPr>
            <w:r>
              <w:rPr>
                <w:rFonts w:hint="eastAsia"/>
              </w:rPr>
              <w:t>8.1</w:t>
            </w:r>
          </w:p>
        </w:tc>
        <w:tc>
          <w:tcPr>
            <w:tcW w:w="747" w:type="dxa"/>
            <w:vAlign w:val="center"/>
          </w:tcPr>
          <w:p w14:paraId="7839B790">
            <w:pPr>
              <w:jc w:val="center"/>
            </w:pPr>
            <w:r>
              <w:rPr>
                <w:rFonts w:hint="eastAsia"/>
              </w:rPr>
              <w:t>/</w:t>
            </w:r>
          </w:p>
        </w:tc>
        <w:tc>
          <w:tcPr>
            <w:tcW w:w="734" w:type="dxa"/>
            <w:vAlign w:val="center"/>
          </w:tcPr>
          <w:p w14:paraId="594410B6">
            <w:pPr>
              <w:jc w:val="center"/>
            </w:pPr>
            <w:r>
              <w:t>6~9</w:t>
            </w:r>
          </w:p>
        </w:tc>
      </w:tr>
      <w:tr w14:paraId="09540B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5" w:type="dxa"/>
            <w:vMerge w:val="continue"/>
            <w:vAlign w:val="center"/>
          </w:tcPr>
          <w:p w14:paraId="379EADA3">
            <w:pPr>
              <w:jc w:val="center"/>
            </w:pPr>
          </w:p>
        </w:tc>
        <w:tc>
          <w:tcPr>
            <w:tcW w:w="1303" w:type="dxa"/>
            <w:vAlign w:val="center"/>
          </w:tcPr>
          <w:p w14:paraId="5D781650">
            <w:pPr>
              <w:jc w:val="center"/>
              <w:rPr>
                <w:kern w:val="0"/>
              </w:rPr>
            </w:pPr>
            <w:r>
              <w:rPr>
                <w:rFonts w:hint="eastAsia"/>
              </w:rPr>
              <w:t>化学需氧量</w:t>
            </w:r>
          </w:p>
        </w:tc>
        <w:tc>
          <w:tcPr>
            <w:tcW w:w="851" w:type="dxa"/>
            <w:vAlign w:val="center"/>
          </w:tcPr>
          <w:p w14:paraId="62FCDB91">
            <w:pPr>
              <w:jc w:val="center"/>
            </w:pPr>
            <w:r>
              <w:t>mg/L</w:t>
            </w:r>
          </w:p>
        </w:tc>
        <w:tc>
          <w:tcPr>
            <w:tcW w:w="1169" w:type="dxa"/>
            <w:vAlign w:val="center"/>
          </w:tcPr>
          <w:p w14:paraId="19804815">
            <w:pPr>
              <w:jc w:val="center"/>
            </w:pPr>
            <w:r>
              <w:rPr>
                <w:rFonts w:hint="eastAsia"/>
              </w:rPr>
              <w:t>59</w:t>
            </w:r>
          </w:p>
        </w:tc>
        <w:tc>
          <w:tcPr>
            <w:tcW w:w="1170" w:type="dxa"/>
            <w:vAlign w:val="center"/>
          </w:tcPr>
          <w:p w14:paraId="695A1183">
            <w:pPr>
              <w:jc w:val="center"/>
            </w:pPr>
            <w:r>
              <w:rPr>
                <w:rFonts w:hint="eastAsia"/>
              </w:rPr>
              <w:t>65</w:t>
            </w:r>
          </w:p>
        </w:tc>
        <w:tc>
          <w:tcPr>
            <w:tcW w:w="1169" w:type="dxa"/>
            <w:vAlign w:val="center"/>
          </w:tcPr>
          <w:p w14:paraId="3F5EBE29">
            <w:pPr>
              <w:jc w:val="center"/>
            </w:pPr>
            <w:r>
              <w:rPr>
                <w:rFonts w:hint="eastAsia"/>
              </w:rPr>
              <w:t>68</w:t>
            </w:r>
          </w:p>
        </w:tc>
        <w:tc>
          <w:tcPr>
            <w:tcW w:w="1170" w:type="dxa"/>
            <w:vAlign w:val="center"/>
          </w:tcPr>
          <w:p w14:paraId="30B1F021">
            <w:pPr>
              <w:jc w:val="center"/>
            </w:pPr>
            <w:r>
              <w:rPr>
                <w:rFonts w:hint="eastAsia"/>
              </w:rPr>
              <w:t>74</w:t>
            </w:r>
          </w:p>
        </w:tc>
        <w:tc>
          <w:tcPr>
            <w:tcW w:w="747" w:type="dxa"/>
            <w:vAlign w:val="center"/>
          </w:tcPr>
          <w:p w14:paraId="3555F589">
            <w:pPr>
              <w:jc w:val="center"/>
            </w:pPr>
            <w:r>
              <w:rPr>
                <w:rFonts w:hint="eastAsia"/>
              </w:rPr>
              <w:t>66</w:t>
            </w:r>
          </w:p>
        </w:tc>
        <w:tc>
          <w:tcPr>
            <w:tcW w:w="734" w:type="dxa"/>
            <w:vAlign w:val="center"/>
          </w:tcPr>
          <w:p w14:paraId="3DB9508D">
            <w:pPr>
              <w:jc w:val="center"/>
            </w:pPr>
            <w:r>
              <w:rPr>
                <w:rFonts w:hint="eastAsia"/>
                <w:bCs/>
              </w:rPr>
              <w:t>500</w:t>
            </w:r>
          </w:p>
        </w:tc>
      </w:tr>
      <w:tr w14:paraId="2E6587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5" w:type="dxa"/>
            <w:vMerge w:val="continue"/>
            <w:vAlign w:val="center"/>
          </w:tcPr>
          <w:p w14:paraId="784A75B5">
            <w:pPr>
              <w:jc w:val="center"/>
            </w:pPr>
          </w:p>
        </w:tc>
        <w:tc>
          <w:tcPr>
            <w:tcW w:w="1303" w:type="dxa"/>
            <w:vAlign w:val="center"/>
          </w:tcPr>
          <w:p w14:paraId="5B9287C7">
            <w:pPr>
              <w:jc w:val="center"/>
              <w:rPr>
                <w:bCs/>
              </w:rPr>
            </w:pPr>
            <w:r>
              <w:rPr>
                <w:rFonts w:hint="eastAsia"/>
              </w:rPr>
              <w:t>氨氮</w:t>
            </w:r>
          </w:p>
        </w:tc>
        <w:tc>
          <w:tcPr>
            <w:tcW w:w="851" w:type="dxa"/>
            <w:vAlign w:val="center"/>
          </w:tcPr>
          <w:p w14:paraId="1F6FD435">
            <w:pPr>
              <w:jc w:val="center"/>
            </w:pPr>
            <w:r>
              <w:t>mg/L</w:t>
            </w:r>
          </w:p>
        </w:tc>
        <w:tc>
          <w:tcPr>
            <w:tcW w:w="1169" w:type="dxa"/>
            <w:vAlign w:val="center"/>
          </w:tcPr>
          <w:p w14:paraId="202CB2D9">
            <w:pPr>
              <w:jc w:val="center"/>
            </w:pPr>
            <w:r>
              <w:rPr>
                <w:rFonts w:hint="eastAsia"/>
              </w:rPr>
              <w:t>4.91</w:t>
            </w:r>
          </w:p>
        </w:tc>
        <w:tc>
          <w:tcPr>
            <w:tcW w:w="1170" w:type="dxa"/>
            <w:vAlign w:val="center"/>
          </w:tcPr>
          <w:p w14:paraId="6DD5EE25">
            <w:pPr>
              <w:jc w:val="center"/>
            </w:pPr>
            <w:r>
              <w:rPr>
                <w:rFonts w:hint="eastAsia"/>
              </w:rPr>
              <w:t>5.08</w:t>
            </w:r>
          </w:p>
        </w:tc>
        <w:tc>
          <w:tcPr>
            <w:tcW w:w="1169" w:type="dxa"/>
            <w:vAlign w:val="center"/>
          </w:tcPr>
          <w:p w14:paraId="431DEDF0">
            <w:pPr>
              <w:jc w:val="center"/>
            </w:pPr>
            <w:r>
              <w:rPr>
                <w:rFonts w:hint="eastAsia"/>
              </w:rPr>
              <w:t>4.95</w:t>
            </w:r>
          </w:p>
        </w:tc>
        <w:tc>
          <w:tcPr>
            <w:tcW w:w="1170" w:type="dxa"/>
            <w:vAlign w:val="center"/>
          </w:tcPr>
          <w:p w14:paraId="6E3DEAA0">
            <w:pPr>
              <w:jc w:val="center"/>
            </w:pPr>
            <w:r>
              <w:rPr>
                <w:rFonts w:hint="eastAsia"/>
              </w:rPr>
              <w:t>4.53</w:t>
            </w:r>
          </w:p>
        </w:tc>
        <w:tc>
          <w:tcPr>
            <w:tcW w:w="747" w:type="dxa"/>
            <w:vAlign w:val="center"/>
          </w:tcPr>
          <w:p w14:paraId="585EDF2E">
            <w:pPr>
              <w:jc w:val="center"/>
            </w:pPr>
            <w:r>
              <w:rPr>
                <w:rFonts w:hint="eastAsia"/>
              </w:rPr>
              <w:t>4.87</w:t>
            </w:r>
          </w:p>
        </w:tc>
        <w:tc>
          <w:tcPr>
            <w:tcW w:w="734" w:type="dxa"/>
            <w:vAlign w:val="center"/>
          </w:tcPr>
          <w:p w14:paraId="4AA4C6A5">
            <w:pPr>
              <w:jc w:val="center"/>
              <w:rPr>
                <w:bCs/>
              </w:rPr>
            </w:pPr>
            <w:r>
              <w:rPr>
                <w:rFonts w:hint="eastAsia"/>
                <w:bCs/>
              </w:rPr>
              <w:t>45</w:t>
            </w:r>
          </w:p>
        </w:tc>
      </w:tr>
      <w:tr w14:paraId="24740D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5" w:type="dxa"/>
            <w:vMerge w:val="continue"/>
            <w:vAlign w:val="center"/>
          </w:tcPr>
          <w:p w14:paraId="07FCBE26">
            <w:pPr>
              <w:jc w:val="center"/>
            </w:pPr>
          </w:p>
        </w:tc>
        <w:tc>
          <w:tcPr>
            <w:tcW w:w="1303" w:type="dxa"/>
            <w:vAlign w:val="center"/>
          </w:tcPr>
          <w:p w14:paraId="06177925">
            <w:pPr>
              <w:jc w:val="center"/>
              <w:rPr>
                <w:bCs/>
              </w:rPr>
            </w:pPr>
            <w:r>
              <w:rPr>
                <w:rFonts w:hint="eastAsia"/>
              </w:rPr>
              <w:t>悬浮物</w:t>
            </w:r>
          </w:p>
        </w:tc>
        <w:tc>
          <w:tcPr>
            <w:tcW w:w="851" w:type="dxa"/>
            <w:vAlign w:val="center"/>
          </w:tcPr>
          <w:p w14:paraId="4D8F42E7">
            <w:pPr>
              <w:jc w:val="center"/>
            </w:pPr>
            <w:r>
              <w:t>mg/L</w:t>
            </w:r>
          </w:p>
        </w:tc>
        <w:tc>
          <w:tcPr>
            <w:tcW w:w="1169" w:type="dxa"/>
            <w:vAlign w:val="center"/>
          </w:tcPr>
          <w:p w14:paraId="0C06762E">
            <w:pPr>
              <w:jc w:val="center"/>
            </w:pPr>
            <w:r>
              <w:rPr>
                <w:rFonts w:hint="eastAsia"/>
              </w:rPr>
              <w:t>28</w:t>
            </w:r>
          </w:p>
        </w:tc>
        <w:tc>
          <w:tcPr>
            <w:tcW w:w="1170" w:type="dxa"/>
            <w:vAlign w:val="center"/>
          </w:tcPr>
          <w:p w14:paraId="6EF08984">
            <w:pPr>
              <w:jc w:val="center"/>
            </w:pPr>
            <w:r>
              <w:rPr>
                <w:rFonts w:hint="eastAsia"/>
              </w:rPr>
              <w:t>34</w:t>
            </w:r>
          </w:p>
        </w:tc>
        <w:tc>
          <w:tcPr>
            <w:tcW w:w="1169" w:type="dxa"/>
            <w:vAlign w:val="center"/>
          </w:tcPr>
          <w:p w14:paraId="1CD87FBF">
            <w:pPr>
              <w:jc w:val="center"/>
            </w:pPr>
            <w:r>
              <w:rPr>
                <w:rFonts w:hint="eastAsia"/>
              </w:rPr>
              <w:t>36</w:t>
            </w:r>
          </w:p>
        </w:tc>
        <w:tc>
          <w:tcPr>
            <w:tcW w:w="1170" w:type="dxa"/>
            <w:vAlign w:val="center"/>
          </w:tcPr>
          <w:p w14:paraId="38A9805A">
            <w:pPr>
              <w:jc w:val="center"/>
            </w:pPr>
            <w:r>
              <w:rPr>
                <w:rFonts w:hint="eastAsia"/>
              </w:rPr>
              <w:t>31</w:t>
            </w:r>
          </w:p>
        </w:tc>
        <w:tc>
          <w:tcPr>
            <w:tcW w:w="747" w:type="dxa"/>
            <w:vAlign w:val="center"/>
          </w:tcPr>
          <w:p w14:paraId="59ADDEDA">
            <w:pPr>
              <w:jc w:val="center"/>
            </w:pPr>
            <w:r>
              <w:rPr>
                <w:rFonts w:hint="eastAsia"/>
              </w:rPr>
              <w:t>32</w:t>
            </w:r>
          </w:p>
        </w:tc>
        <w:tc>
          <w:tcPr>
            <w:tcW w:w="734" w:type="dxa"/>
            <w:vAlign w:val="center"/>
          </w:tcPr>
          <w:p w14:paraId="7E4B2915">
            <w:pPr>
              <w:jc w:val="center"/>
              <w:rPr>
                <w:bCs/>
              </w:rPr>
            </w:pPr>
            <w:r>
              <w:rPr>
                <w:rFonts w:hint="eastAsia"/>
                <w:bCs/>
              </w:rPr>
              <w:t>400</w:t>
            </w:r>
          </w:p>
        </w:tc>
      </w:tr>
      <w:tr w14:paraId="359A64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5" w:type="dxa"/>
            <w:vMerge w:val="continue"/>
            <w:vAlign w:val="center"/>
          </w:tcPr>
          <w:p w14:paraId="132F3AC9">
            <w:pPr>
              <w:jc w:val="center"/>
            </w:pPr>
          </w:p>
        </w:tc>
        <w:tc>
          <w:tcPr>
            <w:tcW w:w="1303" w:type="dxa"/>
            <w:vAlign w:val="center"/>
          </w:tcPr>
          <w:p w14:paraId="15EEF582">
            <w:pPr>
              <w:jc w:val="center"/>
              <w:rPr>
                <w:color w:val="000000"/>
              </w:rPr>
            </w:pPr>
            <w:r>
              <w:rPr>
                <w:rFonts w:hint="eastAsia"/>
              </w:rPr>
              <w:t>五日生化需氧量</w:t>
            </w:r>
          </w:p>
        </w:tc>
        <w:tc>
          <w:tcPr>
            <w:tcW w:w="851" w:type="dxa"/>
            <w:vAlign w:val="center"/>
          </w:tcPr>
          <w:p w14:paraId="0B4D3075">
            <w:pPr>
              <w:jc w:val="center"/>
            </w:pPr>
            <w:r>
              <w:t>mg/L</w:t>
            </w:r>
          </w:p>
        </w:tc>
        <w:tc>
          <w:tcPr>
            <w:tcW w:w="1169" w:type="dxa"/>
            <w:vAlign w:val="center"/>
          </w:tcPr>
          <w:p w14:paraId="2B489CC5">
            <w:pPr>
              <w:jc w:val="center"/>
            </w:pPr>
            <w:r>
              <w:rPr>
                <w:rFonts w:hint="eastAsia"/>
              </w:rPr>
              <w:t>16.9</w:t>
            </w:r>
          </w:p>
        </w:tc>
        <w:tc>
          <w:tcPr>
            <w:tcW w:w="1170" w:type="dxa"/>
            <w:vAlign w:val="center"/>
          </w:tcPr>
          <w:p w14:paraId="1BB3081C">
            <w:pPr>
              <w:jc w:val="center"/>
            </w:pPr>
            <w:r>
              <w:rPr>
                <w:rFonts w:hint="eastAsia"/>
              </w:rPr>
              <w:t>17.1</w:t>
            </w:r>
          </w:p>
        </w:tc>
        <w:tc>
          <w:tcPr>
            <w:tcW w:w="1169" w:type="dxa"/>
            <w:vAlign w:val="center"/>
          </w:tcPr>
          <w:p w14:paraId="3E4AEC25">
            <w:pPr>
              <w:jc w:val="center"/>
            </w:pPr>
            <w:r>
              <w:rPr>
                <w:rFonts w:hint="eastAsia"/>
              </w:rPr>
              <w:t>17.6</w:t>
            </w:r>
          </w:p>
        </w:tc>
        <w:tc>
          <w:tcPr>
            <w:tcW w:w="1170" w:type="dxa"/>
            <w:vAlign w:val="center"/>
          </w:tcPr>
          <w:p w14:paraId="5B521657">
            <w:pPr>
              <w:jc w:val="center"/>
            </w:pPr>
            <w:r>
              <w:rPr>
                <w:rFonts w:hint="eastAsia"/>
              </w:rPr>
              <w:t>18.1</w:t>
            </w:r>
          </w:p>
        </w:tc>
        <w:tc>
          <w:tcPr>
            <w:tcW w:w="747" w:type="dxa"/>
            <w:vAlign w:val="center"/>
          </w:tcPr>
          <w:p w14:paraId="772FEBB5">
            <w:pPr>
              <w:jc w:val="center"/>
            </w:pPr>
            <w:r>
              <w:rPr>
                <w:rFonts w:hint="eastAsia"/>
              </w:rPr>
              <w:t>17.4</w:t>
            </w:r>
          </w:p>
        </w:tc>
        <w:tc>
          <w:tcPr>
            <w:tcW w:w="734" w:type="dxa"/>
            <w:vAlign w:val="center"/>
          </w:tcPr>
          <w:p w14:paraId="0472725F">
            <w:pPr>
              <w:jc w:val="center"/>
              <w:rPr>
                <w:color w:val="000000"/>
              </w:rPr>
            </w:pPr>
            <w:r>
              <w:rPr>
                <w:rFonts w:hint="eastAsia"/>
                <w:bCs/>
              </w:rPr>
              <w:t>3</w:t>
            </w:r>
            <w:r>
              <w:rPr>
                <w:bCs/>
              </w:rPr>
              <w:t>00</w:t>
            </w:r>
          </w:p>
        </w:tc>
      </w:tr>
      <w:tr w14:paraId="62CA9C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5" w:type="dxa"/>
            <w:vMerge w:val="continue"/>
            <w:vAlign w:val="center"/>
          </w:tcPr>
          <w:p w14:paraId="7F0D7E79">
            <w:pPr>
              <w:jc w:val="center"/>
            </w:pPr>
          </w:p>
        </w:tc>
        <w:tc>
          <w:tcPr>
            <w:tcW w:w="1303" w:type="dxa"/>
            <w:vAlign w:val="center"/>
          </w:tcPr>
          <w:p w14:paraId="43B9E636">
            <w:pPr>
              <w:jc w:val="center"/>
              <w:rPr>
                <w:bCs/>
              </w:rPr>
            </w:pPr>
            <w:r>
              <w:rPr>
                <w:rFonts w:hint="eastAsia"/>
              </w:rPr>
              <w:t>总磷</w:t>
            </w:r>
          </w:p>
        </w:tc>
        <w:tc>
          <w:tcPr>
            <w:tcW w:w="851" w:type="dxa"/>
            <w:vAlign w:val="center"/>
          </w:tcPr>
          <w:p w14:paraId="4DC18201">
            <w:pPr>
              <w:jc w:val="center"/>
            </w:pPr>
            <w:r>
              <w:t>mg/L</w:t>
            </w:r>
          </w:p>
        </w:tc>
        <w:tc>
          <w:tcPr>
            <w:tcW w:w="1169" w:type="dxa"/>
            <w:vAlign w:val="center"/>
          </w:tcPr>
          <w:p w14:paraId="13A538C8">
            <w:pPr>
              <w:jc w:val="center"/>
            </w:pPr>
            <w:r>
              <w:rPr>
                <w:rFonts w:hint="eastAsia"/>
              </w:rPr>
              <w:t>0.40</w:t>
            </w:r>
          </w:p>
        </w:tc>
        <w:tc>
          <w:tcPr>
            <w:tcW w:w="1170" w:type="dxa"/>
            <w:vAlign w:val="center"/>
          </w:tcPr>
          <w:p w14:paraId="44801105">
            <w:pPr>
              <w:jc w:val="center"/>
            </w:pPr>
            <w:r>
              <w:rPr>
                <w:rFonts w:hint="eastAsia"/>
              </w:rPr>
              <w:t>0.42</w:t>
            </w:r>
          </w:p>
        </w:tc>
        <w:tc>
          <w:tcPr>
            <w:tcW w:w="1169" w:type="dxa"/>
            <w:vAlign w:val="center"/>
          </w:tcPr>
          <w:p w14:paraId="0019C7C9">
            <w:pPr>
              <w:jc w:val="center"/>
            </w:pPr>
            <w:r>
              <w:rPr>
                <w:rFonts w:hint="eastAsia"/>
              </w:rPr>
              <w:t>0.33</w:t>
            </w:r>
          </w:p>
        </w:tc>
        <w:tc>
          <w:tcPr>
            <w:tcW w:w="1170" w:type="dxa"/>
            <w:vAlign w:val="center"/>
          </w:tcPr>
          <w:p w14:paraId="78120AC3">
            <w:pPr>
              <w:jc w:val="center"/>
            </w:pPr>
            <w:r>
              <w:rPr>
                <w:rFonts w:hint="eastAsia"/>
              </w:rPr>
              <w:t>0.30</w:t>
            </w:r>
          </w:p>
        </w:tc>
        <w:tc>
          <w:tcPr>
            <w:tcW w:w="747" w:type="dxa"/>
            <w:vAlign w:val="center"/>
          </w:tcPr>
          <w:p w14:paraId="6733C324">
            <w:pPr>
              <w:jc w:val="center"/>
            </w:pPr>
            <w:r>
              <w:rPr>
                <w:rFonts w:hint="eastAsia"/>
              </w:rPr>
              <w:t>0.36</w:t>
            </w:r>
          </w:p>
        </w:tc>
        <w:tc>
          <w:tcPr>
            <w:tcW w:w="734" w:type="dxa"/>
            <w:vAlign w:val="center"/>
          </w:tcPr>
          <w:p w14:paraId="47D21DB6">
            <w:pPr>
              <w:jc w:val="center"/>
              <w:rPr>
                <w:bCs/>
              </w:rPr>
            </w:pPr>
            <w:r>
              <w:rPr>
                <w:rFonts w:hint="eastAsia"/>
                <w:bCs/>
              </w:rPr>
              <w:t>8</w:t>
            </w:r>
          </w:p>
        </w:tc>
      </w:tr>
      <w:tr w14:paraId="7082C8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5" w:type="dxa"/>
            <w:vMerge w:val="continue"/>
            <w:vAlign w:val="center"/>
          </w:tcPr>
          <w:p w14:paraId="11E64605">
            <w:pPr>
              <w:jc w:val="center"/>
            </w:pPr>
          </w:p>
        </w:tc>
        <w:tc>
          <w:tcPr>
            <w:tcW w:w="1303" w:type="dxa"/>
            <w:vAlign w:val="center"/>
          </w:tcPr>
          <w:p w14:paraId="4A18D647">
            <w:pPr>
              <w:jc w:val="center"/>
            </w:pPr>
            <w:r>
              <w:rPr>
                <w:rFonts w:hint="eastAsia"/>
              </w:rPr>
              <w:t>总氮</w:t>
            </w:r>
          </w:p>
        </w:tc>
        <w:tc>
          <w:tcPr>
            <w:tcW w:w="851" w:type="dxa"/>
            <w:vAlign w:val="center"/>
          </w:tcPr>
          <w:p w14:paraId="35E13EEE">
            <w:pPr>
              <w:jc w:val="center"/>
            </w:pPr>
            <w:r>
              <w:t>mg/L</w:t>
            </w:r>
          </w:p>
        </w:tc>
        <w:tc>
          <w:tcPr>
            <w:tcW w:w="1169" w:type="dxa"/>
            <w:vAlign w:val="center"/>
          </w:tcPr>
          <w:p w14:paraId="1D3801D6">
            <w:pPr>
              <w:jc w:val="center"/>
            </w:pPr>
            <w:r>
              <w:rPr>
                <w:rFonts w:hint="eastAsia"/>
              </w:rPr>
              <w:t>11.3</w:t>
            </w:r>
          </w:p>
        </w:tc>
        <w:tc>
          <w:tcPr>
            <w:tcW w:w="1170" w:type="dxa"/>
            <w:vAlign w:val="center"/>
          </w:tcPr>
          <w:p w14:paraId="08AB2C43">
            <w:pPr>
              <w:jc w:val="center"/>
            </w:pPr>
            <w:r>
              <w:rPr>
                <w:rFonts w:hint="eastAsia"/>
              </w:rPr>
              <w:t>11.3</w:t>
            </w:r>
          </w:p>
        </w:tc>
        <w:tc>
          <w:tcPr>
            <w:tcW w:w="1169" w:type="dxa"/>
            <w:vAlign w:val="center"/>
          </w:tcPr>
          <w:p w14:paraId="29CDBEB0">
            <w:pPr>
              <w:jc w:val="center"/>
            </w:pPr>
            <w:r>
              <w:rPr>
                <w:rFonts w:hint="eastAsia"/>
              </w:rPr>
              <w:t>12.0</w:t>
            </w:r>
          </w:p>
        </w:tc>
        <w:tc>
          <w:tcPr>
            <w:tcW w:w="1170" w:type="dxa"/>
            <w:vAlign w:val="center"/>
          </w:tcPr>
          <w:p w14:paraId="55193031">
            <w:pPr>
              <w:jc w:val="center"/>
            </w:pPr>
            <w:r>
              <w:rPr>
                <w:rFonts w:hint="eastAsia"/>
              </w:rPr>
              <w:t>12.8</w:t>
            </w:r>
          </w:p>
        </w:tc>
        <w:tc>
          <w:tcPr>
            <w:tcW w:w="747" w:type="dxa"/>
            <w:vAlign w:val="center"/>
          </w:tcPr>
          <w:p w14:paraId="425AA1DD">
            <w:pPr>
              <w:jc w:val="center"/>
            </w:pPr>
            <w:r>
              <w:rPr>
                <w:rFonts w:hint="eastAsia"/>
              </w:rPr>
              <w:t>11.8</w:t>
            </w:r>
          </w:p>
        </w:tc>
        <w:tc>
          <w:tcPr>
            <w:tcW w:w="734" w:type="dxa"/>
            <w:vAlign w:val="center"/>
          </w:tcPr>
          <w:p w14:paraId="2A0081DD">
            <w:pPr>
              <w:jc w:val="center"/>
              <w:rPr>
                <w:bCs/>
              </w:rPr>
            </w:pPr>
            <w:r>
              <w:rPr>
                <w:rFonts w:hint="eastAsia"/>
                <w:bCs/>
              </w:rPr>
              <w:t>70</w:t>
            </w:r>
          </w:p>
        </w:tc>
      </w:tr>
      <w:tr w14:paraId="63375A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5" w:type="dxa"/>
            <w:vMerge w:val="continue"/>
            <w:vAlign w:val="center"/>
          </w:tcPr>
          <w:p w14:paraId="644B7469">
            <w:pPr>
              <w:jc w:val="center"/>
            </w:pPr>
          </w:p>
        </w:tc>
        <w:tc>
          <w:tcPr>
            <w:tcW w:w="1303" w:type="dxa"/>
            <w:vAlign w:val="center"/>
          </w:tcPr>
          <w:p w14:paraId="3DBDC7C5">
            <w:pPr>
              <w:jc w:val="center"/>
            </w:pPr>
            <w:r>
              <w:rPr>
                <w:rFonts w:hint="eastAsia"/>
              </w:rPr>
              <w:t>石油类</w:t>
            </w:r>
          </w:p>
        </w:tc>
        <w:tc>
          <w:tcPr>
            <w:tcW w:w="851" w:type="dxa"/>
            <w:vAlign w:val="center"/>
          </w:tcPr>
          <w:p w14:paraId="34A5B26C">
            <w:pPr>
              <w:jc w:val="center"/>
            </w:pPr>
            <w:r>
              <w:t>mg/L</w:t>
            </w:r>
          </w:p>
        </w:tc>
        <w:tc>
          <w:tcPr>
            <w:tcW w:w="1169" w:type="dxa"/>
            <w:vAlign w:val="center"/>
          </w:tcPr>
          <w:p w14:paraId="53BABB9D">
            <w:pPr>
              <w:jc w:val="center"/>
            </w:pPr>
            <w:r>
              <w:rPr>
                <w:rFonts w:hint="eastAsia"/>
              </w:rPr>
              <w:t>0.06L</w:t>
            </w:r>
          </w:p>
        </w:tc>
        <w:tc>
          <w:tcPr>
            <w:tcW w:w="1170" w:type="dxa"/>
            <w:vAlign w:val="center"/>
          </w:tcPr>
          <w:p w14:paraId="3DBC62D5">
            <w:pPr>
              <w:jc w:val="center"/>
            </w:pPr>
            <w:r>
              <w:rPr>
                <w:rFonts w:hint="eastAsia"/>
              </w:rPr>
              <w:t>0.06L</w:t>
            </w:r>
          </w:p>
        </w:tc>
        <w:tc>
          <w:tcPr>
            <w:tcW w:w="1169" w:type="dxa"/>
            <w:vAlign w:val="center"/>
          </w:tcPr>
          <w:p w14:paraId="7F285553">
            <w:pPr>
              <w:jc w:val="center"/>
            </w:pPr>
            <w:r>
              <w:rPr>
                <w:rFonts w:hint="eastAsia"/>
              </w:rPr>
              <w:t>0.09</w:t>
            </w:r>
          </w:p>
        </w:tc>
        <w:tc>
          <w:tcPr>
            <w:tcW w:w="1170" w:type="dxa"/>
            <w:vAlign w:val="center"/>
          </w:tcPr>
          <w:p w14:paraId="495E4A16">
            <w:pPr>
              <w:jc w:val="center"/>
            </w:pPr>
            <w:r>
              <w:rPr>
                <w:rFonts w:hint="eastAsia"/>
              </w:rPr>
              <w:t>0.12</w:t>
            </w:r>
          </w:p>
        </w:tc>
        <w:tc>
          <w:tcPr>
            <w:tcW w:w="747" w:type="dxa"/>
            <w:vAlign w:val="center"/>
          </w:tcPr>
          <w:p w14:paraId="414D0E6D">
            <w:pPr>
              <w:jc w:val="center"/>
            </w:pPr>
            <w:r>
              <w:rPr>
                <w:rFonts w:hint="eastAsia"/>
              </w:rPr>
              <w:t>0.07</w:t>
            </w:r>
          </w:p>
        </w:tc>
        <w:tc>
          <w:tcPr>
            <w:tcW w:w="734" w:type="dxa"/>
            <w:vAlign w:val="center"/>
          </w:tcPr>
          <w:p w14:paraId="442F3CAC">
            <w:pPr>
              <w:jc w:val="center"/>
              <w:rPr>
                <w:bCs/>
              </w:rPr>
            </w:pPr>
            <w:r>
              <w:rPr>
                <w:rFonts w:hint="eastAsia"/>
                <w:bCs/>
              </w:rPr>
              <w:t>20</w:t>
            </w:r>
          </w:p>
        </w:tc>
      </w:tr>
      <w:tr w14:paraId="5EBCC2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5" w:type="dxa"/>
            <w:vMerge w:val="continue"/>
            <w:vAlign w:val="center"/>
          </w:tcPr>
          <w:p w14:paraId="5D975C9A">
            <w:pPr>
              <w:jc w:val="center"/>
            </w:pPr>
          </w:p>
        </w:tc>
        <w:tc>
          <w:tcPr>
            <w:tcW w:w="1303" w:type="dxa"/>
            <w:vAlign w:val="center"/>
          </w:tcPr>
          <w:p w14:paraId="12C86F11">
            <w:pPr>
              <w:jc w:val="center"/>
            </w:pPr>
            <w:r>
              <w:rPr>
                <w:rFonts w:hint="eastAsia"/>
              </w:rPr>
              <w:t>阴离子表面活性剂</w:t>
            </w:r>
          </w:p>
        </w:tc>
        <w:tc>
          <w:tcPr>
            <w:tcW w:w="851" w:type="dxa"/>
            <w:vAlign w:val="center"/>
          </w:tcPr>
          <w:p w14:paraId="2E59A0F7">
            <w:pPr>
              <w:jc w:val="center"/>
            </w:pPr>
            <w:r>
              <w:t>mg/L</w:t>
            </w:r>
          </w:p>
        </w:tc>
        <w:tc>
          <w:tcPr>
            <w:tcW w:w="1169" w:type="dxa"/>
            <w:vAlign w:val="center"/>
          </w:tcPr>
          <w:p w14:paraId="3F80E9A4">
            <w:pPr>
              <w:jc w:val="center"/>
            </w:pPr>
            <w:r>
              <w:rPr>
                <w:rFonts w:hint="eastAsia"/>
              </w:rPr>
              <w:t>0.178</w:t>
            </w:r>
          </w:p>
        </w:tc>
        <w:tc>
          <w:tcPr>
            <w:tcW w:w="1170" w:type="dxa"/>
            <w:vAlign w:val="center"/>
          </w:tcPr>
          <w:p w14:paraId="4F8FFE1C">
            <w:pPr>
              <w:jc w:val="center"/>
            </w:pPr>
            <w:r>
              <w:rPr>
                <w:rFonts w:hint="eastAsia"/>
              </w:rPr>
              <w:t>0.158</w:t>
            </w:r>
          </w:p>
        </w:tc>
        <w:tc>
          <w:tcPr>
            <w:tcW w:w="1169" w:type="dxa"/>
            <w:vAlign w:val="center"/>
          </w:tcPr>
          <w:p w14:paraId="62146797">
            <w:pPr>
              <w:jc w:val="center"/>
            </w:pPr>
            <w:r>
              <w:rPr>
                <w:rFonts w:hint="eastAsia"/>
              </w:rPr>
              <w:t>0.136</w:t>
            </w:r>
          </w:p>
        </w:tc>
        <w:tc>
          <w:tcPr>
            <w:tcW w:w="1170" w:type="dxa"/>
            <w:vAlign w:val="center"/>
          </w:tcPr>
          <w:p w14:paraId="43D6E984">
            <w:pPr>
              <w:jc w:val="center"/>
            </w:pPr>
            <w:r>
              <w:rPr>
                <w:rFonts w:hint="eastAsia"/>
              </w:rPr>
              <w:t>0.110</w:t>
            </w:r>
          </w:p>
        </w:tc>
        <w:tc>
          <w:tcPr>
            <w:tcW w:w="747" w:type="dxa"/>
            <w:vAlign w:val="center"/>
          </w:tcPr>
          <w:p w14:paraId="26C948BE">
            <w:pPr>
              <w:jc w:val="center"/>
            </w:pPr>
            <w:r>
              <w:rPr>
                <w:rFonts w:hint="eastAsia"/>
              </w:rPr>
              <w:t>0.146</w:t>
            </w:r>
          </w:p>
        </w:tc>
        <w:tc>
          <w:tcPr>
            <w:tcW w:w="734" w:type="dxa"/>
            <w:vAlign w:val="center"/>
          </w:tcPr>
          <w:p w14:paraId="12F8680F">
            <w:pPr>
              <w:jc w:val="center"/>
              <w:rPr>
                <w:bCs/>
              </w:rPr>
            </w:pPr>
            <w:r>
              <w:rPr>
                <w:rFonts w:hint="eastAsia"/>
                <w:bCs/>
              </w:rPr>
              <w:t>20</w:t>
            </w:r>
          </w:p>
        </w:tc>
      </w:tr>
      <w:tr w14:paraId="1541B1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5" w:type="dxa"/>
            <w:vMerge w:val="continue"/>
            <w:vAlign w:val="center"/>
          </w:tcPr>
          <w:p w14:paraId="0A7B5AD7">
            <w:pPr>
              <w:jc w:val="center"/>
            </w:pPr>
          </w:p>
        </w:tc>
        <w:tc>
          <w:tcPr>
            <w:tcW w:w="1303" w:type="dxa"/>
            <w:vAlign w:val="center"/>
          </w:tcPr>
          <w:p w14:paraId="3958A706">
            <w:pPr>
              <w:jc w:val="center"/>
            </w:pPr>
            <w:r>
              <w:rPr>
                <w:rFonts w:hint="eastAsia"/>
              </w:rPr>
              <w:t>氟化物</w:t>
            </w:r>
          </w:p>
        </w:tc>
        <w:tc>
          <w:tcPr>
            <w:tcW w:w="851" w:type="dxa"/>
            <w:vAlign w:val="center"/>
          </w:tcPr>
          <w:p w14:paraId="190C5E82">
            <w:pPr>
              <w:jc w:val="center"/>
            </w:pPr>
            <w:r>
              <w:t>mg/L</w:t>
            </w:r>
          </w:p>
        </w:tc>
        <w:tc>
          <w:tcPr>
            <w:tcW w:w="1169" w:type="dxa"/>
            <w:vAlign w:val="center"/>
          </w:tcPr>
          <w:p w14:paraId="0A926617">
            <w:pPr>
              <w:jc w:val="center"/>
            </w:pPr>
            <w:r>
              <w:rPr>
                <w:rFonts w:hint="eastAsia"/>
              </w:rPr>
              <w:t>0.747</w:t>
            </w:r>
          </w:p>
        </w:tc>
        <w:tc>
          <w:tcPr>
            <w:tcW w:w="1170" w:type="dxa"/>
            <w:vAlign w:val="center"/>
          </w:tcPr>
          <w:p w14:paraId="2D63310F">
            <w:pPr>
              <w:jc w:val="center"/>
            </w:pPr>
            <w:r>
              <w:rPr>
                <w:rFonts w:hint="eastAsia"/>
              </w:rPr>
              <w:t>0.726</w:t>
            </w:r>
          </w:p>
        </w:tc>
        <w:tc>
          <w:tcPr>
            <w:tcW w:w="1169" w:type="dxa"/>
            <w:vAlign w:val="center"/>
          </w:tcPr>
          <w:p w14:paraId="515DE8D6">
            <w:pPr>
              <w:jc w:val="center"/>
            </w:pPr>
            <w:r>
              <w:rPr>
                <w:rFonts w:hint="eastAsia"/>
              </w:rPr>
              <w:t>0.748</w:t>
            </w:r>
          </w:p>
        </w:tc>
        <w:tc>
          <w:tcPr>
            <w:tcW w:w="1170" w:type="dxa"/>
            <w:vAlign w:val="center"/>
          </w:tcPr>
          <w:p w14:paraId="1ABA3229">
            <w:pPr>
              <w:jc w:val="center"/>
            </w:pPr>
            <w:r>
              <w:rPr>
                <w:rFonts w:hint="eastAsia"/>
              </w:rPr>
              <w:t>0.668</w:t>
            </w:r>
          </w:p>
        </w:tc>
        <w:tc>
          <w:tcPr>
            <w:tcW w:w="747" w:type="dxa"/>
            <w:vAlign w:val="center"/>
          </w:tcPr>
          <w:p w14:paraId="74230F41">
            <w:pPr>
              <w:jc w:val="center"/>
            </w:pPr>
            <w:r>
              <w:rPr>
                <w:rFonts w:hint="eastAsia"/>
              </w:rPr>
              <w:t>0.722</w:t>
            </w:r>
          </w:p>
        </w:tc>
        <w:tc>
          <w:tcPr>
            <w:tcW w:w="734" w:type="dxa"/>
            <w:vAlign w:val="center"/>
          </w:tcPr>
          <w:p w14:paraId="000D31F2">
            <w:pPr>
              <w:jc w:val="center"/>
              <w:rPr>
                <w:bCs/>
              </w:rPr>
            </w:pPr>
            <w:r>
              <w:rPr>
                <w:rFonts w:hint="eastAsia"/>
                <w:bCs/>
              </w:rPr>
              <w:t>20</w:t>
            </w:r>
          </w:p>
        </w:tc>
      </w:tr>
      <w:tr w14:paraId="0FF71D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2849" w:type="dxa"/>
            <w:gridSpan w:val="3"/>
            <w:vAlign w:val="center"/>
          </w:tcPr>
          <w:p w14:paraId="144F2214">
            <w:pPr>
              <w:jc w:val="center"/>
            </w:pPr>
            <w:r>
              <w:t>表观描述</w:t>
            </w:r>
          </w:p>
        </w:tc>
        <w:tc>
          <w:tcPr>
            <w:tcW w:w="1169" w:type="dxa"/>
            <w:vAlign w:val="center"/>
          </w:tcPr>
          <w:p w14:paraId="3ADB0C29">
            <w:pPr>
              <w:jc w:val="center"/>
            </w:pPr>
            <w:r>
              <w:rPr>
                <w:rFonts w:hint="eastAsia"/>
              </w:rPr>
              <w:t>无色、无味、较清</w:t>
            </w:r>
          </w:p>
        </w:tc>
        <w:tc>
          <w:tcPr>
            <w:tcW w:w="1170" w:type="dxa"/>
            <w:vAlign w:val="center"/>
          </w:tcPr>
          <w:p w14:paraId="006E5FB4">
            <w:pPr>
              <w:jc w:val="center"/>
            </w:pPr>
            <w:r>
              <w:rPr>
                <w:rFonts w:hint="eastAsia"/>
              </w:rPr>
              <w:t>无色、无味、较清</w:t>
            </w:r>
          </w:p>
        </w:tc>
        <w:tc>
          <w:tcPr>
            <w:tcW w:w="1169" w:type="dxa"/>
            <w:vAlign w:val="center"/>
          </w:tcPr>
          <w:p w14:paraId="255A1F62">
            <w:pPr>
              <w:jc w:val="center"/>
            </w:pPr>
            <w:r>
              <w:rPr>
                <w:rFonts w:hint="eastAsia"/>
              </w:rPr>
              <w:t>无色、无味、较清</w:t>
            </w:r>
          </w:p>
        </w:tc>
        <w:tc>
          <w:tcPr>
            <w:tcW w:w="1170" w:type="dxa"/>
            <w:vAlign w:val="center"/>
          </w:tcPr>
          <w:p w14:paraId="0D72C5C7">
            <w:pPr>
              <w:jc w:val="center"/>
            </w:pPr>
            <w:r>
              <w:rPr>
                <w:rFonts w:hint="eastAsia"/>
              </w:rPr>
              <w:t>无色、无味、较清</w:t>
            </w:r>
          </w:p>
        </w:tc>
        <w:tc>
          <w:tcPr>
            <w:tcW w:w="747" w:type="dxa"/>
            <w:vAlign w:val="center"/>
          </w:tcPr>
          <w:p w14:paraId="071A13BD">
            <w:pPr>
              <w:jc w:val="center"/>
            </w:pPr>
            <w:r>
              <w:rPr>
                <w:rFonts w:hint="eastAsia"/>
              </w:rPr>
              <w:t>/</w:t>
            </w:r>
          </w:p>
        </w:tc>
        <w:tc>
          <w:tcPr>
            <w:tcW w:w="734" w:type="dxa"/>
            <w:vAlign w:val="center"/>
          </w:tcPr>
          <w:p w14:paraId="0E73EA7B">
            <w:pPr>
              <w:jc w:val="center"/>
              <w:rPr>
                <w:bCs/>
              </w:rPr>
            </w:pPr>
            <w:r>
              <w:rPr>
                <w:rFonts w:hint="eastAsia"/>
                <w:bCs/>
              </w:rPr>
              <w:t>/</w:t>
            </w:r>
          </w:p>
        </w:tc>
      </w:tr>
      <w:tr w14:paraId="23F41F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5" w:type="dxa"/>
            <w:vAlign w:val="center"/>
          </w:tcPr>
          <w:p w14:paraId="1645E53D">
            <w:pPr>
              <w:jc w:val="center"/>
            </w:pPr>
            <w:r>
              <w:t>评价依据</w:t>
            </w:r>
          </w:p>
        </w:tc>
        <w:tc>
          <w:tcPr>
            <w:tcW w:w="8313" w:type="dxa"/>
            <w:gridSpan w:val="8"/>
            <w:vAlign w:val="center"/>
          </w:tcPr>
          <w:p w14:paraId="12781617">
            <w:pPr>
              <w:rPr>
                <w:bCs/>
              </w:rPr>
            </w:pPr>
            <w:r>
              <w:rPr>
                <w:rFonts w:hint="eastAsia"/>
              </w:rPr>
              <w:t>氨氮、总氮、总磷执行《污水排入城镇下水道水质标准》（GB/T 31962-2015）表1 B级标准，其余监测项目执行《污水综合排放标准》（GB 8978-1996）表4三级标准</w:t>
            </w:r>
          </w:p>
        </w:tc>
      </w:tr>
      <w:tr w14:paraId="5373F3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5" w:type="dxa"/>
            <w:vAlign w:val="center"/>
          </w:tcPr>
          <w:p w14:paraId="676FEB3A">
            <w:pPr>
              <w:jc w:val="center"/>
            </w:pPr>
            <w:r>
              <w:t>监测结论</w:t>
            </w:r>
          </w:p>
        </w:tc>
        <w:tc>
          <w:tcPr>
            <w:tcW w:w="8313" w:type="dxa"/>
            <w:gridSpan w:val="8"/>
            <w:vAlign w:val="center"/>
          </w:tcPr>
          <w:p w14:paraId="4B9FFB2E">
            <w:pPr>
              <w:rPr>
                <w:bCs/>
              </w:rPr>
            </w:pPr>
            <w:r>
              <w:t>本次监测</w:t>
            </w:r>
            <w:r>
              <w:rPr>
                <w:rFonts w:hint="eastAsia"/>
                <w:kern w:val="0"/>
              </w:rPr>
              <w:t>厂区生产废水处理站排放口WS1（DW002）</w:t>
            </w:r>
            <w:r>
              <w:t>废水：pH值达标，</w:t>
            </w:r>
            <w:r>
              <w:rPr>
                <w:rFonts w:hint="eastAsia"/>
              </w:rPr>
              <w:t>化学需氧量、氨氮、悬浮物、五日生化需氧量、总磷、总氮、石油类、阴离子表面活性剂、氟化物</w:t>
            </w:r>
            <w:r>
              <w:t>排放浓度均达标</w:t>
            </w:r>
          </w:p>
        </w:tc>
      </w:tr>
      <w:tr w14:paraId="74CAC7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95" w:type="dxa"/>
            <w:vAlign w:val="center"/>
          </w:tcPr>
          <w:p w14:paraId="225021AE">
            <w:pPr>
              <w:jc w:val="center"/>
            </w:pPr>
            <w:r>
              <w:t>备注</w:t>
            </w:r>
          </w:p>
        </w:tc>
        <w:tc>
          <w:tcPr>
            <w:tcW w:w="8313" w:type="dxa"/>
            <w:gridSpan w:val="8"/>
            <w:vAlign w:val="center"/>
          </w:tcPr>
          <w:p w14:paraId="7728D6F1">
            <w:pPr>
              <w:rPr>
                <w:bCs/>
              </w:rPr>
            </w:pPr>
            <w:r>
              <w:t>4月24日、4月25日生产负荷均为77%；治理设施运行情况和企业生产情况由受检单位提供，污水处理量及用水量由企业提供</w:t>
            </w:r>
            <w:r>
              <w:rPr>
                <w:rFonts w:hint="eastAsia"/>
              </w:rPr>
              <w:t>；带“L”的数据表示未检出，报出结果以检出限加“L”表示</w:t>
            </w:r>
          </w:p>
        </w:tc>
      </w:tr>
      <w:bookmarkEnd w:id="218"/>
    </w:tbl>
    <w:p w14:paraId="12745262">
      <w:pPr>
        <w:spacing w:line="490" w:lineRule="exact"/>
        <w:ind w:firstLine="480" w:firstLineChars="200"/>
        <w:jc w:val="left"/>
        <w:rPr>
          <w:color w:val="auto"/>
        </w:rPr>
      </w:pPr>
      <w:r>
        <w:rPr>
          <w:color w:val="auto"/>
          <w:sz w:val="24"/>
        </w:rPr>
        <w:t>废水监测结论：验收监测期间，企业</w:t>
      </w:r>
      <w:r>
        <w:rPr>
          <w:rFonts w:hint="eastAsia"/>
          <w:color w:val="auto"/>
          <w:sz w:val="24"/>
        </w:rPr>
        <w:t>生产废水处理站排放口</w:t>
      </w:r>
      <w:r>
        <w:rPr>
          <w:rFonts w:hint="eastAsia"/>
          <w:color w:val="auto"/>
          <w:sz w:val="24"/>
          <w:lang w:val="en-US" w:eastAsia="zh-CN"/>
        </w:rPr>
        <w:t>WS1</w:t>
      </w:r>
      <w:r>
        <w:rPr>
          <w:rFonts w:hint="eastAsia"/>
          <w:color w:val="auto"/>
          <w:sz w:val="24"/>
        </w:rPr>
        <w:t>排放废水，</w:t>
      </w:r>
      <w:r>
        <w:rPr>
          <w:color w:val="auto"/>
          <w:sz w:val="24"/>
        </w:rPr>
        <w:t>pH值、</w:t>
      </w:r>
      <w:r>
        <w:rPr>
          <w:rFonts w:hint="eastAsia"/>
          <w:color w:val="auto"/>
          <w:sz w:val="24"/>
        </w:rPr>
        <w:t>化学需氧量、悬浮物、五日生化需氧量、石油类</w:t>
      </w:r>
      <w:r>
        <w:rPr>
          <w:rFonts w:hint="eastAsia"/>
          <w:color w:val="auto"/>
          <w:sz w:val="24"/>
          <w:lang w:eastAsia="zh-CN"/>
        </w:rPr>
        <w:t>、阴离子表面活性剂、氟化物</w:t>
      </w:r>
      <w:r>
        <w:rPr>
          <w:color w:val="auto"/>
          <w:sz w:val="24"/>
        </w:rPr>
        <w:t>的监测结果符合</w:t>
      </w:r>
      <w:r>
        <w:rPr>
          <w:rFonts w:hint="eastAsia"/>
          <w:color w:val="auto"/>
          <w:sz w:val="24"/>
        </w:rPr>
        <w:t>《污水综合排放标准》（GB 8978-1996）表4 三级标准限值要求</w:t>
      </w:r>
      <w:r>
        <w:rPr>
          <w:color w:val="auto"/>
          <w:sz w:val="24"/>
        </w:rPr>
        <w:t>；</w:t>
      </w:r>
      <w:r>
        <w:rPr>
          <w:rFonts w:hint="eastAsia"/>
          <w:color w:val="auto"/>
          <w:sz w:val="24"/>
        </w:rPr>
        <w:t>氨氮、总氮、总磷</w:t>
      </w:r>
      <w:r>
        <w:rPr>
          <w:rFonts w:hint="eastAsia"/>
          <w:color w:val="auto"/>
          <w:sz w:val="24"/>
          <w:lang w:val="en-US" w:eastAsia="zh-CN"/>
        </w:rPr>
        <w:t>符合《污水排入城镇下水道水质标准》（GB/T 31962-2015）表1 B级</w:t>
      </w:r>
      <w:r>
        <w:rPr>
          <w:rFonts w:hint="eastAsia"/>
          <w:color w:val="auto"/>
          <w:sz w:val="24"/>
        </w:rPr>
        <w:t>标准</w:t>
      </w:r>
      <w:r>
        <w:rPr>
          <w:color w:val="auto"/>
          <w:sz w:val="24"/>
        </w:rPr>
        <w:t>限值要求。</w:t>
      </w:r>
    </w:p>
    <w:p w14:paraId="047706B5">
      <w:pPr>
        <w:pStyle w:val="4"/>
        <w:spacing w:before="156" w:beforeLines="50" w:after="156" w:afterLines="50" w:line="360" w:lineRule="auto"/>
        <w:rPr>
          <w:sz w:val="24"/>
          <w:szCs w:val="24"/>
        </w:rPr>
      </w:pPr>
      <w:r>
        <w:rPr>
          <w:sz w:val="24"/>
          <w:szCs w:val="24"/>
        </w:rPr>
        <w:t>9.2.2.2废气监测结果</w:t>
      </w:r>
    </w:p>
    <w:p w14:paraId="6548FDB5">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sz w:val="24"/>
          <w:szCs w:val="24"/>
        </w:rPr>
      </w:pPr>
      <w:r>
        <w:rPr>
          <w:sz w:val="24"/>
          <w:szCs w:val="24"/>
        </w:rPr>
        <w:t>有组织废气</w:t>
      </w:r>
      <w:r>
        <w:rPr>
          <w:rFonts w:hint="eastAsia"/>
          <w:sz w:val="24"/>
          <w:szCs w:val="24"/>
        </w:rPr>
        <w:t>监测结果见表9</w:t>
      </w:r>
      <w:r>
        <w:rPr>
          <w:sz w:val="24"/>
          <w:szCs w:val="24"/>
        </w:rPr>
        <w:t>-</w:t>
      </w:r>
      <w:r>
        <w:rPr>
          <w:rFonts w:hint="eastAsia"/>
          <w:sz w:val="24"/>
          <w:szCs w:val="24"/>
        </w:rPr>
        <w:t>2至表9</w:t>
      </w:r>
      <w:r>
        <w:rPr>
          <w:sz w:val="24"/>
          <w:szCs w:val="24"/>
        </w:rPr>
        <w:t>-</w:t>
      </w:r>
      <w:r>
        <w:rPr>
          <w:rFonts w:hint="eastAsia"/>
          <w:sz w:val="24"/>
          <w:szCs w:val="24"/>
        </w:rPr>
        <w:t>4。</w:t>
      </w:r>
    </w:p>
    <w:p w14:paraId="204836F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sz w:val="24"/>
          <w:szCs w:val="24"/>
        </w:rPr>
      </w:pPr>
      <w:r>
        <w:rPr>
          <w:b/>
          <w:bCs/>
          <w:sz w:val="24"/>
          <w:szCs w:val="24"/>
        </w:rPr>
        <w:t xml:space="preserve">表9-2  </w:t>
      </w:r>
      <w:r>
        <w:rPr>
          <w:rFonts w:hint="eastAsia"/>
          <w:b/>
          <w:bCs/>
          <w:sz w:val="24"/>
          <w:szCs w:val="24"/>
        </w:rPr>
        <w:t>B03有机废气排放口（DA008）FQ1</w:t>
      </w:r>
      <w:r>
        <w:rPr>
          <w:b/>
          <w:bCs/>
          <w:sz w:val="24"/>
          <w:szCs w:val="24"/>
        </w:rPr>
        <w:t>监测结果表</w:t>
      </w:r>
    </w:p>
    <w:p w14:paraId="0D728977">
      <w:pPr>
        <w:jc w:val="center"/>
        <w:rPr>
          <w:vertAlign w:val="superscript"/>
        </w:rPr>
      </w:pPr>
      <w:r>
        <w:rPr>
          <w:szCs w:val="24"/>
        </w:rPr>
        <w:t>烟囱高度：</w:t>
      </w:r>
      <w:r>
        <w:rPr>
          <w:rFonts w:hint="eastAsia"/>
          <w:szCs w:val="24"/>
        </w:rPr>
        <w:t>20</w:t>
      </w:r>
      <w:r>
        <w:rPr>
          <w:szCs w:val="24"/>
        </w:rPr>
        <w:t xml:space="preserve">m </w:t>
      </w:r>
      <w:r>
        <w:rPr>
          <w:rFonts w:hint="eastAsia"/>
          <w:szCs w:val="24"/>
        </w:rPr>
        <w:t xml:space="preserve">            </w:t>
      </w:r>
      <w:r>
        <w:rPr>
          <w:szCs w:val="24"/>
        </w:rPr>
        <w:t xml:space="preserve"> 排气筒编号：</w:t>
      </w:r>
      <w:r>
        <w:rPr>
          <w:rFonts w:hint="eastAsia"/>
          <w:szCs w:val="24"/>
        </w:rPr>
        <w:t>DA008</w:t>
      </w:r>
      <w:r>
        <w:rPr>
          <w:szCs w:val="24"/>
        </w:rPr>
        <w:t xml:space="preserve">  </w:t>
      </w:r>
      <w:r>
        <w:rPr>
          <w:rFonts w:hint="eastAsia"/>
          <w:szCs w:val="24"/>
        </w:rPr>
        <w:t xml:space="preserve"> </w:t>
      </w:r>
      <w:r>
        <w:rPr>
          <w:szCs w:val="24"/>
        </w:rPr>
        <w:t xml:space="preserve">           采样断面截面积：</w:t>
      </w:r>
      <w:r>
        <w:rPr>
          <w:rFonts w:hint="eastAsia"/>
          <w:szCs w:val="24"/>
        </w:rPr>
        <w:t>0.5027m</w:t>
      </w:r>
      <w:r>
        <w:rPr>
          <w:szCs w:val="24"/>
          <w:vertAlign w:val="superscript"/>
        </w:rPr>
        <w:t>2</w:t>
      </w:r>
    </w:p>
    <w:tbl>
      <w:tblPr>
        <w:tblStyle w:val="35"/>
        <w:tblW w:w="874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9"/>
        <w:gridCol w:w="2175"/>
        <w:gridCol w:w="851"/>
        <w:gridCol w:w="1098"/>
        <w:gridCol w:w="1099"/>
        <w:gridCol w:w="1099"/>
        <w:gridCol w:w="1099"/>
        <w:gridCol w:w="679"/>
      </w:tblGrid>
      <w:tr w14:paraId="16B842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49" w:type="dxa"/>
            <w:vMerge w:val="restart"/>
            <w:vAlign w:val="center"/>
          </w:tcPr>
          <w:p w14:paraId="666F3E5B">
            <w:pPr>
              <w:jc w:val="center"/>
              <w:rPr>
                <w:szCs w:val="24"/>
              </w:rPr>
            </w:pPr>
            <w:r>
              <w:rPr>
                <w:rFonts w:hint="eastAsia"/>
                <w:szCs w:val="24"/>
              </w:rPr>
              <w:t>监测日期</w:t>
            </w:r>
          </w:p>
        </w:tc>
        <w:tc>
          <w:tcPr>
            <w:tcW w:w="2175" w:type="dxa"/>
            <w:vMerge w:val="restart"/>
            <w:vAlign w:val="center"/>
          </w:tcPr>
          <w:p w14:paraId="54B80B4A">
            <w:pPr>
              <w:jc w:val="center"/>
              <w:rPr>
                <w:szCs w:val="24"/>
              </w:rPr>
            </w:pPr>
            <w:r>
              <w:rPr>
                <w:szCs w:val="24"/>
              </w:rPr>
              <w:t>项目</w:t>
            </w:r>
          </w:p>
        </w:tc>
        <w:tc>
          <w:tcPr>
            <w:tcW w:w="851" w:type="dxa"/>
            <w:vMerge w:val="restart"/>
            <w:vAlign w:val="center"/>
          </w:tcPr>
          <w:p w14:paraId="3395F4BE">
            <w:pPr>
              <w:jc w:val="center"/>
              <w:rPr>
                <w:szCs w:val="24"/>
              </w:rPr>
            </w:pPr>
            <w:r>
              <w:rPr>
                <w:szCs w:val="24"/>
              </w:rPr>
              <w:t>单位</w:t>
            </w:r>
          </w:p>
        </w:tc>
        <w:tc>
          <w:tcPr>
            <w:tcW w:w="3296" w:type="dxa"/>
            <w:gridSpan w:val="3"/>
            <w:vAlign w:val="center"/>
          </w:tcPr>
          <w:p w14:paraId="1ADAF537">
            <w:pPr>
              <w:jc w:val="center"/>
              <w:rPr>
                <w:szCs w:val="24"/>
              </w:rPr>
            </w:pPr>
            <w:r>
              <w:rPr>
                <w:rFonts w:hint="eastAsia"/>
                <w:szCs w:val="24"/>
              </w:rPr>
              <w:t>监测点位及编号</w:t>
            </w:r>
          </w:p>
        </w:tc>
        <w:tc>
          <w:tcPr>
            <w:tcW w:w="1099" w:type="dxa"/>
            <w:vMerge w:val="restart"/>
            <w:vAlign w:val="center"/>
          </w:tcPr>
          <w:p w14:paraId="5CFE10CD">
            <w:pPr>
              <w:jc w:val="center"/>
              <w:rPr>
                <w:szCs w:val="24"/>
              </w:rPr>
            </w:pPr>
            <w:r>
              <w:rPr>
                <w:rFonts w:hint="eastAsia"/>
                <w:szCs w:val="24"/>
              </w:rPr>
              <w:t>平均值</w:t>
            </w:r>
          </w:p>
        </w:tc>
        <w:tc>
          <w:tcPr>
            <w:tcW w:w="679" w:type="dxa"/>
            <w:vMerge w:val="restart"/>
            <w:vAlign w:val="center"/>
          </w:tcPr>
          <w:p w14:paraId="19D76FCD">
            <w:pPr>
              <w:jc w:val="center"/>
              <w:rPr>
                <w:szCs w:val="24"/>
              </w:rPr>
            </w:pPr>
            <w:r>
              <w:rPr>
                <w:rFonts w:hint="eastAsia"/>
                <w:szCs w:val="24"/>
              </w:rPr>
              <w:t>排放</w:t>
            </w:r>
          </w:p>
          <w:p w14:paraId="78E8D174">
            <w:pPr>
              <w:jc w:val="center"/>
              <w:rPr>
                <w:szCs w:val="24"/>
              </w:rPr>
            </w:pPr>
            <w:r>
              <w:rPr>
                <w:rFonts w:hint="eastAsia"/>
                <w:szCs w:val="24"/>
              </w:rPr>
              <w:t>限值</w:t>
            </w:r>
          </w:p>
        </w:tc>
      </w:tr>
      <w:tr w14:paraId="309126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49" w:type="dxa"/>
            <w:vMerge w:val="continue"/>
            <w:vAlign w:val="center"/>
          </w:tcPr>
          <w:p w14:paraId="35C90BBD">
            <w:pPr>
              <w:jc w:val="center"/>
              <w:rPr>
                <w:szCs w:val="24"/>
              </w:rPr>
            </w:pPr>
          </w:p>
        </w:tc>
        <w:tc>
          <w:tcPr>
            <w:tcW w:w="2175" w:type="dxa"/>
            <w:vMerge w:val="continue"/>
            <w:vAlign w:val="center"/>
          </w:tcPr>
          <w:p w14:paraId="7CD4104C">
            <w:pPr>
              <w:jc w:val="center"/>
              <w:rPr>
                <w:szCs w:val="24"/>
              </w:rPr>
            </w:pPr>
          </w:p>
        </w:tc>
        <w:tc>
          <w:tcPr>
            <w:tcW w:w="851" w:type="dxa"/>
            <w:vMerge w:val="continue"/>
            <w:vAlign w:val="center"/>
          </w:tcPr>
          <w:p w14:paraId="6E822E1D">
            <w:pPr>
              <w:jc w:val="center"/>
              <w:rPr>
                <w:szCs w:val="24"/>
              </w:rPr>
            </w:pPr>
          </w:p>
        </w:tc>
        <w:tc>
          <w:tcPr>
            <w:tcW w:w="1098" w:type="dxa"/>
            <w:vAlign w:val="center"/>
          </w:tcPr>
          <w:p w14:paraId="13300E24">
            <w:pPr>
              <w:jc w:val="center"/>
              <w:rPr>
                <w:spacing w:val="-8"/>
              </w:rPr>
            </w:pPr>
            <w:r>
              <w:rPr>
                <w:spacing w:val="-8"/>
              </w:rPr>
              <w:t>25HY0004</w:t>
            </w:r>
            <w:r>
              <w:rPr>
                <w:rFonts w:hint="eastAsia"/>
                <w:spacing w:val="-8"/>
              </w:rPr>
              <w:t>FQ1</w:t>
            </w:r>
            <w:r>
              <w:rPr>
                <w:spacing w:val="-8"/>
              </w:rPr>
              <w:t>-1-1</w:t>
            </w:r>
          </w:p>
        </w:tc>
        <w:tc>
          <w:tcPr>
            <w:tcW w:w="1099" w:type="dxa"/>
            <w:vAlign w:val="center"/>
          </w:tcPr>
          <w:p w14:paraId="359B3B71">
            <w:pPr>
              <w:jc w:val="center"/>
              <w:rPr>
                <w:spacing w:val="-8"/>
              </w:rPr>
            </w:pPr>
            <w:r>
              <w:rPr>
                <w:spacing w:val="-8"/>
              </w:rPr>
              <w:t>25HY0004</w:t>
            </w:r>
            <w:r>
              <w:rPr>
                <w:rFonts w:hint="eastAsia"/>
                <w:spacing w:val="-8"/>
              </w:rPr>
              <w:t>FQ1</w:t>
            </w:r>
            <w:r>
              <w:rPr>
                <w:spacing w:val="-8"/>
              </w:rPr>
              <w:t>-1-</w:t>
            </w:r>
            <w:r>
              <w:rPr>
                <w:rFonts w:hint="eastAsia"/>
                <w:spacing w:val="-8"/>
              </w:rPr>
              <w:t>2</w:t>
            </w:r>
          </w:p>
        </w:tc>
        <w:tc>
          <w:tcPr>
            <w:tcW w:w="1099" w:type="dxa"/>
            <w:vAlign w:val="center"/>
          </w:tcPr>
          <w:p w14:paraId="1F443904">
            <w:pPr>
              <w:jc w:val="center"/>
              <w:rPr>
                <w:spacing w:val="-8"/>
              </w:rPr>
            </w:pPr>
            <w:r>
              <w:rPr>
                <w:spacing w:val="-8"/>
              </w:rPr>
              <w:t>25HY0004</w:t>
            </w:r>
            <w:r>
              <w:rPr>
                <w:rFonts w:hint="eastAsia"/>
                <w:spacing w:val="-8"/>
              </w:rPr>
              <w:t>FQ1</w:t>
            </w:r>
            <w:r>
              <w:rPr>
                <w:spacing w:val="-8"/>
              </w:rPr>
              <w:t>-1-</w:t>
            </w:r>
            <w:r>
              <w:rPr>
                <w:rFonts w:hint="eastAsia"/>
                <w:spacing w:val="-8"/>
              </w:rPr>
              <w:t>3</w:t>
            </w:r>
          </w:p>
        </w:tc>
        <w:tc>
          <w:tcPr>
            <w:tcW w:w="1099" w:type="dxa"/>
            <w:vMerge w:val="continue"/>
            <w:vAlign w:val="center"/>
          </w:tcPr>
          <w:p w14:paraId="174C1590">
            <w:pPr>
              <w:jc w:val="center"/>
              <w:rPr>
                <w:szCs w:val="24"/>
              </w:rPr>
            </w:pPr>
          </w:p>
        </w:tc>
        <w:tc>
          <w:tcPr>
            <w:tcW w:w="679" w:type="dxa"/>
            <w:vMerge w:val="continue"/>
            <w:vAlign w:val="center"/>
          </w:tcPr>
          <w:p w14:paraId="5CE3F73F">
            <w:pPr>
              <w:jc w:val="center"/>
              <w:rPr>
                <w:szCs w:val="24"/>
              </w:rPr>
            </w:pPr>
          </w:p>
        </w:tc>
      </w:tr>
      <w:tr w14:paraId="77BB9D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9" w:type="dxa"/>
            <w:vMerge w:val="restart"/>
            <w:vAlign w:val="center"/>
          </w:tcPr>
          <w:p w14:paraId="4B6F4A5F">
            <w:pPr>
              <w:jc w:val="center"/>
              <w:rPr>
                <w:szCs w:val="24"/>
              </w:rPr>
            </w:pPr>
            <w:r>
              <w:rPr>
                <w:rFonts w:hint="eastAsia"/>
                <w:szCs w:val="24"/>
              </w:rPr>
              <w:t>20250424</w:t>
            </w:r>
          </w:p>
        </w:tc>
        <w:tc>
          <w:tcPr>
            <w:tcW w:w="2175" w:type="dxa"/>
            <w:vAlign w:val="center"/>
          </w:tcPr>
          <w:p w14:paraId="07850EAF">
            <w:pPr>
              <w:jc w:val="center"/>
              <w:rPr>
                <w:szCs w:val="24"/>
              </w:rPr>
            </w:pPr>
            <w:r>
              <w:t>烟气流速</w:t>
            </w:r>
          </w:p>
        </w:tc>
        <w:tc>
          <w:tcPr>
            <w:tcW w:w="851" w:type="dxa"/>
            <w:vAlign w:val="center"/>
          </w:tcPr>
          <w:p w14:paraId="1690FFD5">
            <w:pPr>
              <w:jc w:val="center"/>
              <w:rPr>
                <w:szCs w:val="24"/>
              </w:rPr>
            </w:pPr>
            <w:r>
              <w:t>m/s</w:t>
            </w:r>
          </w:p>
        </w:tc>
        <w:tc>
          <w:tcPr>
            <w:tcW w:w="1098" w:type="dxa"/>
            <w:vAlign w:val="center"/>
          </w:tcPr>
          <w:p w14:paraId="53B340F4">
            <w:pPr>
              <w:jc w:val="center"/>
              <w:rPr>
                <w:szCs w:val="24"/>
              </w:rPr>
            </w:pPr>
            <w:r>
              <w:rPr>
                <w:rFonts w:hint="eastAsia"/>
                <w:szCs w:val="24"/>
              </w:rPr>
              <w:t>5.9</w:t>
            </w:r>
          </w:p>
        </w:tc>
        <w:tc>
          <w:tcPr>
            <w:tcW w:w="1099" w:type="dxa"/>
            <w:vAlign w:val="center"/>
          </w:tcPr>
          <w:p w14:paraId="1ECFC1C9">
            <w:pPr>
              <w:jc w:val="center"/>
              <w:rPr>
                <w:szCs w:val="24"/>
              </w:rPr>
            </w:pPr>
            <w:r>
              <w:rPr>
                <w:rFonts w:hint="eastAsia"/>
                <w:szCs w:val="24"/>
              </w:rPr>
              <w:t>5.6</w:t>
            </w:r>
          </w:p>
        </w:tc>
        <w:tc>
          <w:tcPr>
            <w:tcW w:w="1099" w:type="dxa"/>
            <w:vAlign w:val="center"/>
          </w:tcPr>
          <w:p w14:paraId="2349FA23">
            <w:pPr>
              <w:jc w:val="center"/>
              <w:rPr>
                <w:szCs w:val="24"/>
              </w:rPr>
            </w:pPr>
            <w:r>
              <w:rPr>
                <w:rFonts w:hint="eastAsia"/>
                <w:szCs w:val="24"/>
              </w:rPr>
              <w:t>6.0</w:t>
            </w:r>
          </w:p>
        </w:tc>
        <w:tc>
          <w:tcPr>
            <w:tcW w:w="1099" w:type="dxa"/>
            <w:vAlign w:val="center"/>
          </w:tcPr>
          <w:p w14:paraId="680DDA71">
            <w:pPr>
              <w:jc w:val="center"/>
              <w:rPr>
                <w:szCs w:val="24"/>
              </w:rPr>
            </w:pPr>
            <w:r>
              <w:rPr>
                <w:rFonts w:hint="eastAsia"/>
                <w:szCs w:val="24"/>
              </w:rPr>
              <w:t>/</w:t>
            </w:r>
          </w:p>
        </w:tc>
        <w:tc>
          <w:tcPr>
            <w:tcW w:w="679" w:type="dxa"/>
            <w:vAlign w:val="center"/>
          </w:tcPr>
          <w:p w14:paraId="7682170F">
            <w:pPr>
              <w:jc w:val="center"/>
              <w:rPr>
                <w:szCs w:val="24"/>
              </w:rPr>
            </w:pPr>
            <w:r>
              <w:rPr>
                <w:rFonts w:hint="eastAsia"/>
                <w:szCs w:val="24"/>
              </w:rPr>
              <w:t>/</w:t>
            </w:r>
          </w:p>
        </w:tc>
      </w:tr>
      <w:tr w14:paraId="64071F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9" w:type="dxa"/>
            <w:vMerge w:val="continue"/>
            <w:vAlign w:val="center"/>
          </w:tcPr>
          <w:p w14:paraId="73A464ED">
            <w:pPr>
              <w:jc w:val="center"/>
              <w:rPr>
                <w:szCs w:val="24"/>
              </w:rPr>
            </w:pPr>
          </w:p>
        </w:tc>
        <w:tc>
          <w:tcPr>
            <w:tcW w:w="2175" w:type="dxa"/>
            <w:vAlign w:val="center"/>
          </w:tcPr>
          <w:p w14:paraId="04C0CE1D">
            <w:pPr>
              <w:jc w:val="center"/>
              <w:rPr>
                <w:szCs w:val="24"/>
              </w:rPr>
            </w:pPr>
            <w:r>
              <w:t>烟气流量</w:t>
            </w:r>
            <w:r>
              <w:rPr>
                <w:rFonts w:hint="eastAsia"/>
              </w:rPr>
              <w:t>（</w:t>
            </w:r>
            <w:r>
              <w:t>标.干</w:t>
            </w:r>
            <w:r>
              <w:rPr>
                <w:rFonts w:hint="eastAsia"/>
              </w:rPr>
              <w:t>）</w:t>
            </w:r>
          </w:p>
        </w:tc>
        <w:tc>
          <w:tcPr>
            <w:tcW w:w="851" w:type="dxa"/>
            <w:vAlign w:val="center"/>
          </w:tcPr>
          <w:p w14:paraId="73AFE54E">
            <w:pPr>
              <w:jc w:val="center"/>
              <w:rPr>
                <w:szCs w:val="24"/>
              </w:rPr>
            </w:pPr>
            <w:r>
              <w:t>m</w:t>
            </w:r>
            <w:r>
              <w:rPr>
                <w:vertAlign w:val="superscript"/>
              </w:rPr>
              <w:t>3</w:t>
            </w:r>
            <w:r>
              <w:t>/h</w:t>
            </w:r>
          </w:p>
        </w:tc>
        <w:tc>
          <w:tcPr>
            <w:tcW w:w="1098" w:type="dxa"/>
            <w:vAlign w:val="center"/>
          </w:tcPr>
          <w:p w14:paraId="3DFCD912">
            <w:pPr>
              <w:jc w:val="center"/>
              <w:rPr>
                <w:szCs w:val="24"/>
              </w:rPr>
            </w:pPr>
            <w:r>
              <w:rPr>
                <w:rFonts w:hint="eastAsia"/>
                <w:szCs w:val="24"/>
              </w:rPr>
              <w:t>9.42</w:t>
            </w:r>
            <w:r>
              <w:t>×10</w:t>
            </w:r>
            <w:r>
              <w:rPr>
                <w:rFonts w:hint="eastAsia"/>
                <w:vertAlign w:val="superscript"/>
              </w:rPr>
              <w:t>3</w:t>
            </w:r>
          </w:p>
        </w:tc>
        <w:tc>
          <w:tcPr>
            <w:tcW w:w="1099" w:type="dxa"/>
            <w:vAlign w:val="center"/>
          </w:tcPr>
          <w:p w14:paraId="28206B92">
            <w:pPr>
              <w:jc w:val="center"/>
              <w:rPr>
                <w:szCs w:val="24"/>
              </w:rPr>
            </w:pPr>
            <w:r>
              <w:rPr>
                <w:rFonts w:hint="eastAsia"/>
                <w:szCs w:val="24"/>
              </w:rPr>
              <w:t>8.93</w:t>
            </w:r>
            <w:r>
              <w:t>×10</w:t>
            </w:r>
            <w:r>
              <w:rPr>
                <w:rFonts w:hint="eastAsia"/>
                <w:vertAlign w:val="superscript"/>
              </w:rPr>
              <w:t>3</w:t>
            </w:r>
          </w:p>
        </w:tc>
        <w:tc>
          <w:tcPr>
            <w:tcW w:w="1099" w:type="dxa"/>
            <w:vAlign w:val="center"/>
          </w:tcPr>
          <w:p w14:paraId="7ECB8651">
            <w:pPr>
              <w:jc w:val="center"/>
              <w:rPr>
                <w:szCs w:val="24"/>
              </w:rPr>
            </w:pPr>
            <w:r>
              <w:rPr>
                <w:rFonts w:hint="eastAsia"/>
                <w:szCs w:val="24"/>
              </w:rPr>
              <w:t>9.58</w:t>
            </w:r>
            <w:r>
              <w:t>×10</w:t>
            </w:r>
            <w:r>
              <w:rPr>
                <w:rFonts w:hint="eastAsia"/>
                <w:vertAlign w:val="superscript"/>
              </w:rPr>
              <w:t>3</w:t>
            </w:r>
          </w:p>
        </w:tc>
        <w:tc>
          <w:tcPr>
            <w:tcW w:w="1099" w:type="dxa"/>
            <w:vAlign w:val="center"/>
          </w:tcPr>
          <w:p w14:paraId="60ECE02A">
            <w:pPr>
              <w:jc w:val="center"/>
              <w:rPr>
                <w:szCs w:val="24"/>
              </w:rPr>
            </w:pPr>
            <w:r>
              <w:rPr>
                <w:rFonts w:hint="eastAsia"/>
                <w:szCs w:val="24"/>
              </w:rPr>
              <w:t>/</w:t>
            </w:r>
          </w:p>
        </w:tc>
        <w:tc>
          <w:tcPr>
            <w:tcW w:w="679" w:type="dxa"/>
            <w:vAlign w:val="center"/>
          </w:tcPr>
          <w:p w14:paraId="7A608625">
            <w:pPr>
              <w:jc w:val="center"/>
              <w:rPr>
                <w:szCs w:val="24"/>
              </w:rPr>
            </w:pPr>
            <w:r>
              <w:rPr>
                <w:rFonts w:hint="eastAsia"/>
                <w:szCs w:val="24"/>
              </w:rPr>
              <w:t>/</w:t>
            </w:r>
          </w:p>
        </w:tc>
      </w:tr>
      <w:tr w14:paraId="03E9A9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9" w:type="dxa"/>
            <w:vMerge w:val="continue"/>
            <w:vAlign w:val="center"/>
          </w:tcPr>
          <w:p w14:paraId="00614CFA">
            <w:pPr>
              <w:jc w:val="center"/>
              <w:rPr>
                <w:szCs w:val="24"/>
              </w:rPr>
            </w:pPr>
          </w:p>
        </w:tc>
        <w:tc>
          <w:tcPr>
            <w:tcW w:w="2175" w:type="dxa"/>
            <w:vAlign w:val="center"/>
          </w:tcPr>
          <w:p w14:paraId="2FD2BFEE">
            <w:pPr>
              <w:jc w:val="center"/>
              <w:rPr>
                <w:spacing w:val="-8"/>
              </w:rPr>
            </w:pPr>
            <w:r>
              <w:rPr>
                <w:rFonts w:hint="eastAsia"/>
                <w:spacing w:val="-8"/>
              </w:rPr>
              <w:t>非甲烷总烃</w:t>
            </w:r>
            <w:r>
              <w:rPr>
                <w:spacing w:val="-8"/>
              </w:rPr>
              <w:t>实测浓度</w:t>
            </w:r>
            <w:r>
              <w:rPr>
                <w:rFonts w:hint="eastAsia"/>
                <w:spacing w:val="-8"/>
              </w:rPr>
              <w:t>（</w:t>
            </w:r>
            <w:r>
              <w:rPr>
                <w:spacing w:val="-8"/>
              </w:rPr>
              <w:t>标.干</w:t>
            </w:r>
            <w:r>
              <w:rPr>
                <w:rFonts w:hint="eastAsia"/>
                <w:spacing w:val="-8"/>
              </w:rPr>
              <w:t>）</w:t>
            </w:r>
          </w:p>
        </w:tc>
        <w:tc>
          <w:tcPr>
            <w:tcW w:w="851" w:type="dxa"/>
            <w:vAlign w:val="center"/>
          </w:tcPr>
          <w:p w14:paraId="4319CE47">
            <w:pPr>
              <w:jc w:val="center"/>
            </w:pPr>
            <w:r>
              <w:t>mg/m</w:t>
            </w:r>
            <w:r>
              <w:rPr>
                <w:vertAlign w:val="superscript"/>
              </w:rPr>
              <w:t>3</w:t>
            </w:r>
          </w:p>
        </w:tc>
        <w:tc>
          <w:tcPr>
            <w:tcW w:w="1098" w:type="dxa"/>
            <w:vAlign w:val="center"/>
          </w:tcPr>
          <w:p w14:paraId="500B403A">
            <w:pPr>
              <w:jc w:val="center"/>
              <w:rPr>
                <w:szCs w:val="24"/>
              </w:rPr>
            </w:pPr>
            <w:r>
              <w:rPr>
                <w:rFonts w:hint="eastAsia"/>
                <w:szCs w:val="24"/>
              </w:rPr>
              <w:t>1.32</w:t>
            </w:r>
          </w:p>
        </w:tc>
        <w:tc>
          <w:tcPr>
            <w:tcW w:w="1099" w:type="dxa"/>
            <w:vAlign w:val="center"/>
          </w:tcPr>
          <w:p w14:paraId="5AABC104">
            <w:pPr>
              <w:jc w:val="center"/>
              <w:rPr>
                <w:szCs w:val="24"/>
              </w:rPr>
            </w:pPr>
            <w:r>
              <w:rPr>
                <w:rFonts w:hint="eastAsia"/>
                <w:szCs w:val="24"/>
              </w:rPr>
              <w:t>1.58</w:t>
            </w:r>
          </w:p>
        </w:tc>
        <w:tc>
          <w:tcPr>
            <w:tcW w:w="1099" w:type="dxa"/>
            <w:vAlign w:val="center"/>
          </w:tcPr>
          <w:p w14:paraId="0A18AF64">
            <w:pPr>
              <w:jc w:val="center"/>
              <w:rPr>
                <w:szCs w:val="24"/>
              </w:rPr>
            </w:pPr>
            <w:r>
              <w:rPr>
                <w:rFonts w:hint="eastAsia"/>
                <w:szCs w:val="24"/>
              </w:rPr>
              <w:t>1.35</w:t>
            </w:r>
          </w:p>
        </w:tc>
        <w:tc>
          <w:tcPr>
            <w:tcW w:w="1099" w:type="dxa"/>
            <w:vAlign w:val="center"/>
          </w:tcPr>
          <w:p w14:paraId="700D493F">
            <w:pPr>
              <w:jc w:val="center"/>
              <w:rPr>
                <w:szCs w:val="24"/>
              </w:rPr>
            </w:pPr>
            <w:r>
              <w:rPr>
                <w:szCs w:val="24"/>
              </w:rPr>
              <w:t>/</w:t>
            </w:r>
          </w:p>
        </w:tc>
        <w:tc>
          <w:tcPr>
            <w:tcW w:w="679" w:type="dxa"/>
            <w:vAlign w:val="center"/>
          </w:tcPr>
          <w:p w14:paraId="48BFDF63">
            <w:pPr>
              <w:jc w:val="center"/>
              <w:rPr>
                <w:szCs w:val="24"/>
              </w:rPr>
            </w:pPr>
            <w:r>
              <w:rPr>
                <w:rFonts w:hint="eastAsia"/>
                <w:szCs w:val="24"/>
              </w:rPr>
              <w:t>/</w:t>
            </w:r>
          </w:p>
        </w:tc>
      </w:tr>
      <w:tr w14:paraId="12D8B6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9" w:type="dxa"/>
            <w:vMerge w:val="continue"/>
            <w:vAlign w:val="center"/>
          </w:tcPr>
          <w:p w14:paraId="360D6B10">
            <w:pPr>
              <w:jc w:val="center"/>
              <w:rPr>
                <w:szCs w:val="24"/>
              </w:rPr>
            </w:pPr>
          </w:p>
        </w:tc>
        <w:tc>
          <w:tcPr>
            <w:tcW w:w="2175" w:type="dxa"/>
            <w:vAlign w:val="center"/>
          </w:tcPr>
          <w:p w14:paraId="3BD1149D">
            <w:pPr>
              <w:jc w:val="center"/>
              <w:rPr>
                <w:spacing w:val="-8"/>
              </w:rPr>
            </w:pPr>
            <w:r>
              <w:rPr>
                <w:rFonts w:hint="eastAsia"/>
                <w:spacing w:val="-8"/>
              </w:rPr>
              <w:t>非甲烷总烃</w:t>
            </w:r>
            <w:r>
              <w:rPr>
                <w:spacing w:val="-8"/>
              </w:rPr>
              <w:t>排放浓度</w:t>
            </w:r>
            <w:r>
              <w:rPr>
                <w:rFonts w:hint="eastAsia"/>
                <w:spacing w:val="-8"/>
              </w:rPr>
              <w:t>（</w:t>
            </w:r>
            <w:r>
              <w:rPr>
                <w:spacing w:val="-8"/>
              </w:rPr>
              <w:t>标.干</w:t>
            </w:r>
            <w:r>
              <w:rPr>
                <w:rFonts w:hint="eastAsia"/>
                <w:spacing w:val="-8"/>
              </w:rPr>
              <w:t>）</w:t>
            </w:r>
          </w:p>
        </w:tc>
        <w:tc>
          <w:tcPr>
            <w:tcW w:w="851" w:type="dxa"/>
            <w:vAlign w:val="center"/>
          </w:tcPr>
          <w:p w14:paraId="5F108FAB">
            <w:pPr>
              <w:jc w:val="center"/>
            </w:pPr>
            <w:r>
              <w:t>mg/m</w:t>
            </w:r>
            <w:r>
              <w:rPr>
                <w:vertAlign w:val="superscript"/>
              </w:rPr>
              <w:t>3</w:t>
            </w:r>
          </w:p>
        </w:tc>
        <w:tc>
          <w:tcPr>
            <w:tcW w:w="1098" w:type="dxa"/>
            <w:vAlign w:val="center"/>
          </w:tcPr>
          <w:p w14:paraId="19647BA6">
            <w:pPr>
              <w:jc w:val="center"/>
              <w:rPr>
                <w:szCs w:val="24"/>
              </w:rPr>
            </w:pPr>
            <w:r>
              <w:rPr>
                <w:rFonts w:hint="eastAsia"/>
                <w:szCs w:val="24"/>
              </w:rPr>
              <w:t>1.32</w:t>
            </w:r>
          </w:p>
        </w:tc>
        <w:tc>
          <w:tcPr>
            <w:tcW w:w="1099" w:type="dxa"/>
            <w:vAlign w:val="center"/>
          </w:tcPr>
          <w:p w14:paraId="3EE851B1">
            <w:pPr>
              <w:jc w:val="center"/>
              <w:rPr>
                <w:szCs w:val="24"/>
              </w:rPr>
            </w:pPr>
            <w:r>
              <w:rPr>
                <w:rFonts w:hint="eastAsia"/>
                <w:szCs w:val="24"/>
              </w:rPr>
              <w:t>1.58</w:t>
            </w:r>
          </w:p>
        </w:tc>
        <w:tc>
          <w:tcPr>
            <w:tcW w:w="1099" w:type="dxa"/>
            <w:vAlign w:val="center"/>
          </w:tcPr>
          <w:p w14:paraId="7192CA97">
            <w:pPr>
              <w:jc w:val="center"/>
              <w:rPr>
                <w:szCs w:val="24"/>
              </w:rPr>
            </w:pPr>
            <w:r>
              <w:rPr>
                <w:rFonts w:hint="eastAsia"/>
                <w:szCs w:val="24"/>
              </w:rPr>
              <w:t>1.35</w:t>
            </w:r>
          </w:p>
        </w:tc>
        <w:tc>
          <w:tcPr>
            <w:tcW w:w="1099" w:type="dxa"/>
            <w:vAlign w:val="center"/>
          </w:tcPr>
          <w:p w14:paraId="2772F426">
            <w:pPr>
              <w:jc w:val="center"/>
              <w:rPr>
                <w:szCs w:val="24"/>
              </w:rPr>
            </w:pPr>
            <w:r>
              <w:rPr>
                <w:rFonts w:hint="eastAsia"/>
                <w:szCs w:val="24"/>
              </w:rPr>
              <w:t>1.42</w:t>
            </w:r>
          </w:p>
        </w:tc>
        <w:tc>
          <w:tcPr>
            <w:tcW w:w="679" w:type="dxa"/>
            <w:vAlign w:val="center"/>
          </w:tcPr>
          <w:p w14:paraId="000D21DC">
            <w:pPr>
              <w:jc w:val="center"/>
              <w:rPr>
                <w:szCs w:val="24"/>
              </w:rPr>
            </w:pPr>
            <w:r>
              <w:rPr>
                <w:rFonts w:hint="eastAsia"/>
                <w:szCs w:val="24"/>
              </w:rPr>
              <w:t>60</w:t>
            </w:r>
          </w:p>
        </w:tc>
      </w:tr>
      <w:tr w14:paraId="2E19FD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9" w:type="dxa"/>
            <w:vMerge w:val="continue"/>
            <w:vAlign w:val="center"/>
          </w:tcPr>
          <w:p w14:paraId="1EDAAA8C">
            <w:pPr>
              <w:jc w:val="center"/>
              <w:rPr>
                <w:szCs w:val="24"/>
              </w:rPr>
            </w:pPr>
          </w:p>
        </w:tc>
        <w:tc>
          <w:tcPr>
            <w:tcW w:w="2175" w:type="dxa"/>
            <w:vAlign w:val="center"/>
          </w:tcPr>
          <w:p w14:paraId="45CD7A2B">
            <w:pPr>
              <w:jc w:val="center"/>
            </w:pPr>
            <w:r>
              <w:rPr>
                <w:rFonts w:hint="eastAsia"/>
              </w:rPr>
              <w:t>非甲烷总烃</w:t>
            </w:r>
            <w:r>
              <w:t>排放</w:t>
            </w:r>
            <w:r>
              <w:rPr>
                <w:rFonts w:hint="eastAsia"/>
              </w:rPr>
              <w:t>速率</w:t>
            </w:r>
          </w:p>
        </w:tc>
        <w:tc>
          <w:tcPr>
            <w:tcW w:w="851" w:type="dxa"/>
            <w:vAlign w:val="center"/>
          </w:tcPr>
          <w:p w14:paraId="76D4ABEB">
            <w:pPr>
              <w:jc w:val="center"/>
            </w:pPr>
            <w:r>
              <w:t>kg/h</w:t>
            </w:r>
          </w:p>
        </w:tc>
        <w:tc>
          <w:tcPr>
            <w:tcW w:w="1098" w:type="dxa"/>
            <w:vAlign w:val="center"/>
          </w:tcPr>
          <w:p w14:paraId="57D45094">
            <w:pPr>
              <w:jc w:val="center"/>
              <w:rPr>
                <w:szCs w:val="24"/>
              </w:rPr>
            </w:pPr>
            <w:r>
              <w:rPr>
                <w:rFonts w:hint="eastAsia"/>
                <w:szCs w:val="24"/>
              </w:rPr>
              <w:t>1.24</w:t>
            </w:r>
            <w:r>
              <w:t>×10</w:t>
            </w:r>
            <w:r>
              <w:rPr>
                <w:rFonts w:hint="eastAsia"/>
                <w:vertAlign w:val="superscript"/>
              </w:rPr>
              <w:t>-2</w:t>
            </w:r>
          </w:p>
        </w:tc>
        <w:tc>
          <w:tcPr>
            <w:tcW w:w="1099" w:type="dxa"/>
            <w:vAlign w:val="center"/>
          </w:tcPr>
          <w:p w14:paraId="07242180">
            <w:pPr>
              <w:jc w:val="center"/>
              <w:rPr>
                <w:szCs w:val="24"/>
              </w:rPr>
            </w:pPr>
            <w:r>
              <w:rPr>
                <w:rFonts w:hint="eastAsia"/>
                <w:szCs w:val="24"/>
              </w:rPr>
              <w:t>1.41</w:t>
            </w:r>
            <w:r>
              <w:t>×10</w:t>
            </w:r>
            <w:r>
              <w:rPr>
                <w:rFonts w:hint="eastAsia"/>
                <w:vertAlign w:val="superscript"/>
              </w:rPr>
              <w:t>-2</w:t>
            </w:r>
          </w:p>
        </w:tc>
        <w:tc>
          <w:tcPr>
            <w:tcW w:w="1099" w:type="dxa"/>
            <w:vAlign w:val="center"/>
          </w:tcPr>
          <w:p w14:paraId="1025D5EA">
            <w:pPr>
              <w:jc w:val="center"/>
              <w:rPr>
                <w:szCs w:val="24"/>
              </w:rPr>
            </w:pPr>
            <w:r>
              <w:rPr>
                <w:rFonts w:hint="eastAsia"/>
                <w:szCs w:val="24"/>
              </w:rPr>
              <w:t>1.29</w:t>
            </w:r>
            <w:r>
              <w:t>×10</w:t>
            </w:r>
            <w:r>
              <w:rPr>
                <w:rFonts w:hint="eastAsia"/>
                <w:vertAlign w:val="superscript"/>
              </w:rPr>
              <w:t>-2</w:t>
            </w:r>
          </w:p>
        </w:tc>
        <w:tc>
          <w:tcPr>
            <w:tcW w:w="1099" w:type="dxa"/>
            <w:vAlign w:val="center"/>
          </w:tcPr>
          <w:p w14:paraId="168C1E25">
            <w:pPr>
              <w:jc w:val="center"/>
              <w:rPr>
                <w:szCs w:val="24"/>
              </w:rPr>
            </w:pPr>
            <w:r>
              <w:rPr>
                <w:rFonts w:hint="eastAsia"/>
                <w:szCs w:val="24"/>
              </w:rPr>
              <w:t>1.31</w:t>
            </w:r>
            <w:r>
              <w:t>×10</w:t>
            </w:r>
            <w:r>
              <w:rPr>
                <w:rFonts w:hint="eastAsia"/>
                <w:vertAlign w:val="superscript"/>
              </w:rPr>
              <w:t>-2</w:t>
            </w:r>
          </w:p>
        </w:tc>
        <w:tc>
          <w:tcPr>
            <w:tcW w:w="679" w:type="dxa"/>
            <w:vAlign w:val="center"/>
          </w:tcPr>
          <w:p w14:paraId="186D2465">
            <w:pPr>
              <w:jc w:val="center"/>
              <w:rPr>
                <w:szCs w:val="24"/>
              </w:rPr>
            </w:pPr>
            <w:r>
              <w:rPr>
                <w:rFonts w:hint="eastAsia"/>
                <w:szCs w:val="24"/>
              </w:rPr>
              <w:t>4.3</w:t>
            </w:r>
          </w:p>
        </w:tc>
      </w:tr>
      <w:tr w14:paraId="07AB4C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49" w:type="dxa"/>
            <w:vMerge w:val="restart"/>
            <w:vAlign w:val="center"/>
          </w:tcPr>
          <w:p w14:paraId="36302327">
            <w:pPr>
              <w:jc w:val="center"/>
              <w:rPr>
                <w:szCs w:val="24"/>
              </w:rPr>
            </w:pPr>
            <w:r>
              <w:rPr>
                <w:rFonts w:hint="eastAsia"/>
                <w:szCs w:val="24"/>
              </w:rPr>
              <w:t>监测日期</w:t>
            </w:r>
          </w:p>
        </w:tc>
        <w:tc>
          <w:tcPr>
            <w:tcW w:w="2175" w:type="dxa"/>
            <w:vMerge w:val="restart"/>
            <w:vAlign w:val="center"/>
          </w:tcPr>
          <w:p w14:paraId="6FC15AC5">
            <w:pPr>
              <w:jc w:val="center"/>
              <w:rPr>
                <w:szCs w:val="24"/>
              </w:rPr>
            </w:pPr>
            <w:r>
              <w:rPr>
                <w:szCs w:val="24"/>
              </w:rPr>
              <w:t>项目</w:t>
            </w:r>
          </w:p>
        </w:tc>
        <w:tc>
          <w:tcPr>
            <w:tcW w:w="851" w:type="dxa"/>
            <w:vMerge w:val="restart"/>
            <w:vAlign w:val="center"/>
          </w:tcPr>
          <w:p w14:paraId="67C41BF8">
            <w:pPr>
              <w:jc w:val="center"/>
              <w:rPr>
                <w:szCs w:val="24"/>
              </w:rPr>
            </w:pPr>
            <w:r>
              <w:rPr>
                <w:szCs w:val="24"/>
              </w:rPr>
              <w:t>单位</w:t>
            </w:r>
          </w:p>
        </w:tc>
        <w:tc>
          <w:tcPr>
            <w:tcW w:w="3296" w:type="dxa"/>
            <w:gridSpan w:val="3"/>
            <w:vAlign w:val="center"/>
          </w:tcPr>
          <w:p w14:paraId="6971E237">
            <w:pPr>
              <w:jc w:val="center"/>
              <w:rPr>
                <w:szCs w:val="24"/>
              </w:rPr>
            </w:pPr>
            <w:r>
              <w:rPr>
                <w:rFonts w:hint="eastAsia"/>
                <w:szCs w:val="24"/>
              </w:rPr>
              <w:t>监测点位及编号</w:t>
            </w:r>
          </w:p>
        </w:tc>
        <w:tc>
          <w:tcPr>
            <w:tcW w:w="1099" w:type="dxa"/>
            <w:vMerge w:val="restart"/>
            <w:vAlign w:val="center"/>
          </w:tcPr>
          <w:p w14:paraId="5100521D">
            <w:pPr>
              <w:jc w:val="center"/>
              <w:rPr>
                <w:szCs w:val="24"/>
              </w:rPr>
            </w:pPr>
            <w:r>
              <w:rPr>
                <w:rFonts w:hint="eastAsia"/>
                <w:szCs w:val="24"/>
              </w:rPr>
              <w:t>平均值</w:t>
            </w:r>
          </w:p>
        </w:tc>
        <w:tc>
          <w:tcPr>
            <w:tcW w:w="679" w:type="dxa"/>
            <w:vMerge w:val="restart"/>
            <w:vAlign w:val="center"/>
          </w:tcPr>
          <w:p w14:paraId="145AFF39">
            <w:pPr>
              <w:jc w:val="center"/>
              <w:rPr>
                <w:szCs w:val="24"/>
              </w:rPr>
            </w:pPr>
            <w:r>
              <w:rPr>
                <w:rFonts w:hint="eastAsia"/>
                <w:szCs w:val="24"/>
              </w:rPr>
              <w:t>排放</w:t>
            </w:r>
          </w:p>
          <w:p w14:paraId="01FDFBA3">
            <w:pPr>
              <w:jc w:val="center"/>
              <w:rPr>
                <w:szCs w:val="24"/>
              </w:rPr>
            </w:pPr>
            <w:r>
              <w:rPr>
                <w:rFonts w:hint="eastAsia"/>
                <w:szCs w:val="24"/>
              </w:rPr>
              <w:t>限值</w:t>
            </w:r>
          </w:p>
        </w:tc>
      </w:tr>
      <w:tr w14:paraId="217CA1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49" w:type="dxa"/>
            <w:vMerge w:val="continue"/>
            <w:vAlign w:val="center"/>
          </w:tcPr>
          <w:p w14:paraId="5193112F">
            <w:pPr>
              <w:jc w:val="center"/>
              <w:rPr>
                <w:szCs w:val="24"/>
              </w:rPr>
            </w:pPr>
          </w:p>
        </w:tc>
        <w:tc>
          <w:tcPr>
            <w:tcW w:w="2175" w:type="dxa"/>
            <w:vMerge w:val="continue"/>
            <w:vAlign w:val="center"/>
          </w:tcPr>
          <w:p w14:paraId="12070817">
            <w:pPr>
              <w:jc w:val="center"/>
              <w:rPr>
                <w:szCs w:val="24"/>
              </w:rPr>
            </w:pPr>
          </w:p>
        </w:tc>
        <w:tc>
          <w:tcPr>
            <w:tcW w:w="851" w:type="dxa"/>
            <w:vMerge w:val="continue"/>
            <w:vAlign w:val="center"/>
          </w:tcPr>
          <w:p w14:paraId="32CE249C">
            <w:pPr>
              <w:jc w:val="center"/>
              <w:rPr>
                <w:szCs w:val="24"/>
              </w:rPr>
            </w:pPr>
          </w:p>
        </w:tc>
        <w:tc>
          <w:tcPr>
            <w:tcW w:w="1098" w:type="dxa"/>
            <w:vAlign w:val="center"/>
          </w:tcPr>
          <w:p w14:paraId="295F4EBD">
            <w:pPr>
              <w:jc w:val="center"/>
              <w:rPr>
                <w:spacing w:val="-8"/>
              </w:rPr>
            </w:pPr>
            <w:r>
              <w:rPr>
                <w:spacing w:val="-8"/>
              </w:rPr>
              <w:t>25HY0004</w:t>
            </w:r>
            <w:r>
              <w:rPr>
                <w:rFonts w:hint="eastAsia"/>
                <w:spacing w:val="-8"/>
              </w:rPr>
              <w:t>FQ1</w:t>
            </w:r>
            <w:r>
              <w:rPr>
                <w:spacing w:val="-8"/>
              </w:rPr>
              <w:t>-</w:t>
            </w:r>
            <w:r>
              <w:rPr>
                <w:rFonts w:hint="eastAsia"/>
                <w:spacing w:val="-8"/>
              </w:rPr>
              <w:t>2</w:t>
            </w:r>
            <w:r>
              <w:rPr>
                <w:spacing w:val="-8"/>
              </w:rPr>
              <w:t>-1</w:t>
            </w:r>
          </w:p>
        </w:tc>
        <w:tc>
          <w:tcPr>
            <w:tcW w:w="1099" w:type="dxa"/>
            <w:vAlign w:val="center"/>
          </w:tcPr>
          <w:p w14:paraId="485C68E0">
            <w:pPr>
              <w:jc w:val="center"/>
              <w:rPr>
                <w:spacing w:val="-8"/>
              </w:rPr>
            </w:pPr>
            <w:r>
              <w:rPr>
                <w:spacing w:val="-8"/>
              </w:rPr>
              <w:t>25HY0004</w:t>
            </w:r>
            <w:r>
              <w:rPr>
                <w:rFonts w:hint="eastAsia"/>
                <w:spacing w:val="-8"/>
              </w:rPr>
              <w:t>FQ1</w:t>
            </w:r>
            <w:r>
              <w:rPr>
                <w:spacing w:val="-8"/>
              </w:rPr>
              <w:t>-</w:t>
            </w:r>
            <w:r>
              <w:rPr>
                <w:rFonts w:hint="eastAsia"/>
                <w:spacing w:val="-8"/>
              </w:rPr>
              <w:t>2</w:t>
            </w:r>
            <w:r>
              <w:rPr>
                <w:spacing w:val="-8"/>
              </w:rPr>
              <w:t>-</w:t>
            </w:r>
            <w:r>
              <w:rPr>
                <w:rFonts w:hint="eastAsia"/>
                <w:spacing w:val="-8"/>
              </w:rPr>
              <w:t>2</w:t>
            </w:r>
          </w:p>
        </w:tc>
        <w:tc>
          <w:tcPr>
            <w:tcW w:w="1099" w:type="dxa"/>
            <w:vAlign w:val="center"/>
          </w:tcPr>
          <w:p w14:paraId="1C302667">
            <w:pPr>
              <w:jc w:val="center"/>
              <w:rPr>
                <w:spacing w:val="-8"/>
              </w:rPr>
            </w:pPr>
            <w:r>
              <w:rPr>
                <w:spacing w:val="-8"/>
              </w:rPr>
              <w:t>25HY0004</w:t>
            </w:r>
            <w:r>
              <w:rPr>
                <w:rFonts w:hint="eastAsia"/>
                <w:spacing w:val="-8"/>
              </w:rPr>
              <w:t>FQ1</w:t>
            </w:r>
            <w:r>
              <w:rPr>
                <w:spacing w:val="-8"/>
              </w:rPr>
              <w:t>-</w:t>
            </w:r>
            <w:r>
              <w:rPr>
                <w:rFonts w:hint="eastAsia"/>
                <w:spacing w:val="-8"/>
              </w:rPr>
              <w:t>2</w:t>
            </w:r>
            <w:r>
              <w:rPr>
                <w:spacing w:val="-8"/>
              </w:rPr>
              <w:t>-</w:t>
            </w:r>
            <w:r>
              <w:rPr>
                <w:rFonts w:hint="eastAsia"/>
                <w:spacing w:val="-8"/>
              </w:rPr>
              <w:t>3</w:t>
            </w:r>
          </w:p>
        </w:tc>
        <w:tc>
          <w:tcPr>
            <w:tcW w:w="1099" w:type="dxa"/>
            <w:vMerge w:val="continue"/>
            <w:vAlign w:val="center"/>
          </w:tcPr>
          <w:p w14:paraId="7E3E0CC3">
            <w:pPr>
              <w:jc w:val="center"/>
              <w:rPr>
                <w:szCs w:val="24"/>
              </w:rPr>
            </w:pPr>
          </w:p>
        </w:tc>
        <w:tc>
          <w:tcPr>
            <w:tcW w:w="679" w:type="dxa"/>
            <w:vMerge w:val="continue"/>
            <w:vAlign w:val="center"/>
          </w:tcPr>
          <w:p w14:paraId="2D7CA2C1">
            <w:pPr>
              <w:jc w:val="center"/>
              <w:rPr>
                <w:szCs w:val="24"/>
              </w:rPr>
            </w:pPr>
          </w:p>
        </w:tc>
      </w:tr>
      <w:tr w14:paraId="6F2A16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9" w:type="dxa"/>
            <w:vMerge w:val="restart"/>
            <w:vAlign w:val="center"/>
          </w:tcPr>
          <w:p w14:paraId="453F233E">
            <w:pPr>
              <w:jc w:val="center"/>
              <w:rPr>
                <w:szCs w:val="24"/>
              </w:rPr>
            </w:pPr>
            <w:r>
              <w:rPr>
                <w:rFonts w:hint="eastAsia"/>
                <w:szCs w:val="24"/>
              </w:rPr>
              <w:t>20250425</w:t>
            </w:r>
          </w:p>
        </w:tc>
        <w:tc>
          <w:tcPr>
            <w:tcW w:w="2175" w:type="dxa"/>
            <w:vAlign w:val="center"/>
          </w:tcPr>
          <w:p w14:paraId="2237E5B4">
            <w:pPr>
              <w:jc w:val="center"/>
              <w:rPr>
                <w:szCs w:val="24"/>
              </w:rPr>
            </w:pPr>
            <w:r>
              <w:t>烟气流速</w:t>
            </w:r>
          </w:p>
        </w:tc>
        <w:tc>
          <w:tcPr>
            <w:tcW w:w="851" w:type="dxa"/>
            <w:vAlign w:val="center"/>
          </w:tcPr>
          <w:p w14:paraId="5573FE9C">
            <w:pPr>
              <w:jc w:val="center"/>
              <w:rPr>
                <w:szCs w:val="24"/>
              </w:rPr>
            </w:pPr>
            <w:r>
              <w:t>m/s</w:t>
            </w:r>
          </w:p>
        </w:tc>
        <w:tc>
          <w:tcPr>
            <w:tcW w:w="1098" w:type="dxa"/>
            <w:vAlign w:val="center"/>
          </w:tcPr>
          <w:p w14:paraId="5DFB86CE">
            <w:pPr>
              <w:jc w:val="center"/>
              <w:rPr>
                <w:szCs w:val="24"/>
              </w:rPr>
            </w:pPr>
            <w:r>
              <w:rPr>
                <w:rFonts w:hint="eastAsia"/>
                <w:szCs w:val="24"/>
              </w:rPr>
              <w:t>5.7</w:t>
            </w:r>
          </w:p>
        </w:tc>
        <w:tc>
          <w:tcPr>
            <w:tcW w:w="1099" w:type="dxa"/>
            <w:vAlign w:val="center"/>
          </w:tcPr>
          <w:p w14:paraId="156F6867">
            <w:pPr>
              <w:jc w:val="center"/>
              <w:rPr>
                <w:szCs w:val="24"/>
              </w:rPr>
            </w:pPr>
            <w:r>
              <w:rPr>
                <w:rFonts w:hint="eastAsia"/>
                <w:szCs w:val="24"/>
              </w:rPr>
              <w:t>6.2</w:t>
            </w:r>
          </w:p>
        </w:tc>
        <w:tc>
          <w:tcPr>
            <w:tcW w:w="1099" w:type="dxa"/>
            <w:vAlign w:val="center"/>
          </w:tcPr>
          <w:p w14:paraId="6E04E98B">
            <w:pPr>
              <w:jc w:val="center"/>
              <w:rPr>
                <w:szCs w:val="24"/>
              </w:rPr>
            </w:pPr>
            <w:r>
              <w:rPr>
                <w:rFonts w:hint="eastAsia"/>
                <w:szCs w:val="24"/>
              </w:rPr>
              <w:t>5.8</w:t>
            </w:r>
          </w:p>
        </w:tc>
        <w:tc>
          <w:tcPr>
            <w:tcW w:w="1099" w:type="dxa"/>
            <w:vAlign w:val="center"/>
          </w:tcPr>
          <w:p w14:paraId="4D806731">
            <w:pPr>
              <w:jc w:val="center"/>
              <w:rPr>
                <w:szCs w:val="24"/>
              </w:rPr>
            </w:pPr>
            <w:r>
              <w:rPr>
                <w:rFonts w:hint="eastAsia"/>
                <w:szCs w:val="24"/>
              </w:rPr>
              <w:t>/</w:t>
            </w:r>
          </w:p>
        </w:tc>
        <w:tc>
          <w:tcPr>
            <w:tcW w:w="679" w:type="dxa"/>
            <w:vAlign w:val="center"/>
          </w:tcPr>
          <w:p w14:paraId="520399A4">
            <w:pPr>
              <w:jc w:val="center"/>
              <w:rPr>
                <w:szCs w:val="24"/>
              </w:rPr>
            </w:pPr>
            <w:r>
              <w:rPr>
                <w:rFonts w:hint="eastAsia"/>
                <w:szCs w:val="24"/>
              </w:rPr>
              <w:t>/</w:t>
            </w:r>
          </w:p>
        </w:tc>
      </w:tr>
      <w:tr w14:paraId="447E64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9" w:type="dxa"/>
            <w:vMerge w:val="continue"/>
            <w:vAlign w:val="center"/>
          </w:tcPr>
          <w:p w14:paraId="3CAB1203">
            <w:pPr>
              <w:jc w:val="center"/>
              <w:rPr>
                <w:szCs w:val="24"/>
              </w:rPr>
            </w:pPr>
          </w:p>
        </w:tc>
        <w:tc>
          <w:tcPr>
            <w:tcW w:w="2175" w:type="dxa"/>
            <w:vAlign w:val="center"/>
          </w:tcPr>
          <w:p w14:paraId="09DEE2C5">
            <w:pPr>
              <w:jc w:val="center"/>
              <w:rPr>
                <w:szCs w:val="24"/>
              </w:rPr>
            </w:pPr>
            <w:r>
              <w:t>烟气流量</w:t>
            </w:r>
            <w:r>
              <w:rPr>
                <w:rFonts w:hint="eastAsia"/>
              </w:rPr>
              <w:t>（</w:t>
            </w:r>
            <w:r>
              <w:t>标.干</w:t>
            </w:r>
            <w:r>
              <w:rPr>
                <w:rFonts w:hint="eastAsia"/>
              </w:rPr>
              <w:t>）</w:t>
            </w:r>
          </w:p>
        </w:tc>
        <w:tc>
          <w:tcPr>
            <w:tcW w:w="851" w:type="dxa"/>
            <w:vAlign w:val="center"/>
          </w:tcPr>
          <w:p w14:paraId="46AE65B3">
            <w:pPr>
              <w:jc w:val="center"/>
              <w:rPr>
                <w:szCs w:val="24"/>
              </w:rPr>
            </w:pPr>
            <w:r>
              <w:t>m</w:t>
            </w:r>
            <w:r>
              <w:rPr>
                <w:vertAlign w:val="superscript"/>
              </w:rPr>
              <w:t>3</w:t>
            </w:r>
            <w:r>
              <w:t>/h</w:t>
            </w:r>
          </w:p>
        </w:tc>
        <w:tc>
          <w:tcPr>
            <w:tcW w:w="1098" w:type="dxa"/>
            <w:vAlign w:val="center"/>
          </w:tcPr>
          <w:p w14:paraId="2B805E78">
            <w:pPr>
              <w:jc w:val="center"/>
              <w:rPr>
                <w:szCs w:val="24"/>
              </w:rPr>
            </w:pPr>
            <w:r>
              <w:rPr>
                <w:rFonts w:hint="eastAsia"/>
                <w:szCs w:val="24"/>
              </w:rPr>
              <w:t>9.11</w:t>
            </w:r>
            <w:r>
              <w:t>×10</w:t>
            </w:r>
            <w:r>
              <w:rPr>
                <w:rFonts w:hint="eastAsia"/>
                <w:vertAlign w:val="superscript"/>
              </w:rPr>
              <w:t>3</w:t>
            </w:r>
          </w:p>
        </w:tc>
        <w:tc>
          <w:tcPr>
            <w:tcW w:w="1099" w:type="dxa"/>
            <w:vAlign w:val="center"/>
          </w:tcPr>
          <w:p w14:paraId="76B4DE48">
            <w:pPr>
              <w:jc w:val="center"/>
              <w:rPr>
                <w:szCs w:val="24"/>
              </w:rPr>
            </w:pPr>
            <w:r>
              <w:rPr>
                <w:rFonts w:hint="eastAsia"/>
                <w:szCs w:val="24"/>
              </w:rPr>
              <w:t>9.90</w:t>
            </w:r>
            <w:r>
              <w:t>×10</w:t>
            </w:r>
            <w:r>
              <w:rPr>
                <w:rFonts w:hint="eastAsia"/>
                <w:vertAlign w:val="superscript"/>
              </w:rPr>
              <w:t>3</w:t>
            </w:r>
          </w:p>
        </w:tc>
        <w:tc>
          <w:tcPr>
            <w:tcW w:w="1099" w:type="dxa"/>
            <w:vAlign w:val="center"/>
          </w:tcPr>
          <w:p w14:paraId="13C0754F">
            <w:pPr>
              <w:jc w:val="center"/>
              <w:rPr>
                <w:szCs w:val="24"/>
              </w:rPr>
            </w:pPr>
            <w:r>
              <w:rPr>
                <w:rFonts w:hint="eastAsia"/>
                <w:szCs w:val="24"/>
              </w:rPr>
              <w:t>9.27</w:t>
            </w:r>
            <w:r>
              <w:t>×10</w:t>
            </w:r>
            <w:r>
              <w:rPr>
                <w:rFonts w:hint="eastAsia"/>
                <w:vertAlign w:val="superscript"/>
              </w:rPr>
              <w:t>3</w:t>
            </w:r>
          </w:p>
        </w:tc>
        <w:tc>
          <w:tcPr>
            <w:tcW w:w="1099" w:type="dxa"/>
            <w:vAlign w:val="center"/>
          </w:tcPr>
          <w:p w14:paraId="596102A2">
            <w:pPr>
              <w:jc w:val="center"/>
              <w:rPr>
                <w:szCs w:val="24"/>
              </w:rPr>
            </w:pPr>
            <w:r>
              <w:rPr>
                <w:rFonts w:hint="eastAsia"/>
                <w:szCs w:val="24"/>
              </w:rPr>
              <w:t>/</w:t>
            </w:r>
          </w:p>
        </w:tc>
        <w:tc>
          <w:tcPr>
            <w:tcW w:w="679" w:type="dxa"/>
            <w:vAlign w:val="center"/>
          </w:tcPr>
          <w:p w14:paraId="79AEDDC2">
            <w:pPr>
              <w:jc w:val="center"/>
              <w:rPr>
                <w:szCs w:val="24"/>
              </w:rPr>
            </w:pPr>
            <w:r>
              <w:rPr>
                <w:rFonts w:hint="eastAsia"/>
                <w:szCs w:val="24"/>
              </w:rPr>
              <w:t>/</w:t>
            </w:r>
          </w:p>
        </w:tc>
      </w:tr>
      <w:tr w14:paraId="7E9F27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9" w:type="dxa"/>
            <w:vMerge w:val="continue"/>
            <w:vAlign w:val="center"/>
          </w:tcPr>
          <w:p w14:paraId="3FE8E470">
            <w:pPr>
              <w:jc w:val="center"/>
              <w:rPr>
                <w:szCs w:val="24"/>
              </w:rPr>
            </w:pPr>
          </w:p>
        </w:tc>
        <w:tc>
          <w:tcPr>
            <w:tcW w:w="2175" w:type="dxa"/>
            <w:vAlign w:val="center"/>
          </w:tcPr>
          <w:p w14:paraId="6490813D">
            <w:pPr>
              <w:jc w:val="center"/>
              <w:rPr>
                <w:spacing w:val="-8"/>
              </w:rPr>
            </w:pPr>
            <w:r>
              <w:rPr>
                <w:rFonts w:hint="eastAsia"/>
                <w:spacing w:val="-8"/>
              </w:rPr>
              <w:t>非甲烷总烃</w:t>
            </w:r>
            <w:r>
              <w:rPr>
                <w:spacing w:val="-8"/>
              </w:rPr>
              <w:t>实测浓度</w:t>
            </w:r>
            <w:r>
              <w:rPr>
                <w:rFonts w:hint="eastAsia"/>
                <w:spacing w:val="-8"/>
              </w:rPr>
              <w:t>（</w:t>
            </w:r>
            <w:r>
              <w:rPr>
                <w:spacing w:val="-8"/>
              </w:rPr>
              <w:t>标.干</w:t>
            </w:r>
            <w:r>
              <w:rPr>
                <w:rFonts w:hint="eastAsia"/>
                <w:spacing w:val="-8"/>
              </w:rPr>
              <w:t>）</w:t>
            </w:r>
          </w:p>
        </w:tc>
        <w:tc>
          <w:tcPr>
            <w:tcW w:w="851" w:type="dxa"/>
            <w:vAlign w:val="center"/>
          </w:tcPr>
          <w:p w14:paraId="16BAF839">
            <w:pPr>
              <w:jc w:val="center"/>
            </w:pPr>
            <w:r>
              <w:t>mg/m</w:t>
            </w:r>
            <w:r>
              <w:rPr>
                <w:vertAlign w:val="superscript"/>
              </w:rPr>
              <w:t>3</w:t>
            </w:r>
          </w:p>
        </w:tc>
        <w:tc>
          <w:tcPr>
            <w:tcW w:w="1098" w:type="dxa"/>
            <w:vAlign w:val="center"/>
          </w:tcPr>
          <w:p w14:paraId="1DD16E3D">
            <w:pPr>
              <w:jc w:val="center"/>
              <w:rPr>
                <w:szCs w:val="24"/>
              </w:rPr>
            </w:pPr>
            <w:r>
              <w:rPr>
                <w:rFonts w:hint="eastAsia"/>
                <w:szCs w:val="24"/>
              </w:rPr>
              <w:t>1.64</w:t>
            </w:r>
          </w:p>
        </w:tc>
        <w:tc>
          <w:tcPr>
            <w:tcW w:w="1099" w:type="dxa"/>
            <w:vAlign w:val="center"/>
          </w:tcPr>
          <w:p w14:paraId="067ED13C">
            <w:pPr>
              <w:jc w:val="center"/>
              <w:rPr>
                <w:szCs w:val="24"/>
              </w:rPr>
            </w:pPr>
            <w:r>
              <w:rPr>
                <w:rFonts w:hint="eastAsia"/>
                <w:szCs w:val="24"/>
              </w:rPr>
              <w:t>1.42</w:t>
            </w:r>
          </w:p>
        </w:tc>
        <w:tc>
          <w:tcPr>
            <w:tcW w:w="1099" w:type="dxa"/>
            <w:vAlign w:val="center"/>
          </w:tcPr>
          <w:p w14:paraId="4A2DB1AE">
            <w:pPr>
              <w:jc w:val="center"/>
              <w:rPr>
                <w:szCs w:val="24"/>
              </w:rPr>
            </w:pPr>
            <w:r>
              <w:rPr>
                <w:rFonts w:hint="eastAsia"/>
                <w:szCs w:val="24"/>
              </w:rPr>
              <w:t>1.40</w:t>
            </w:r>
          </w:p>
        </w:tc>
        <w:tc>
          <w:tcPr>
            <w:tcW w:w="1099" w:type="dxa"/>
            <w:vAlign w:val="center"/>
          </w:tcPr>
          <w:p w14:paraId="5606339B">
            <w:pPr>
              <w:jc w:val="center"/>
              <w:rPr>
                <w:szCs w:val="24"/>
              </w:rPr>
            </w:pPr>
            <w:r>
              <w:rPr>
                <w:szCs w:val="24"/>
              </w:rPr>
              <w:t>/</w:t>
            </w:r>
          </w:p>
        </w:tc>
        <w:tc>
          <w:tcPr>
            <w:tcW w:w="679" w:type="dxa"/>
            <w:vAlign w:val="center"/>
          </w:tcPr>
          <w:p w14:paraId="46F6A184">
            <w:pPr>
              <w:jc w:val="center"/>
              <w:rPr>
                <w:szCs w:val="24"/>
              </w:rPr>
            </w:pPr>
            <w:r>
              <w:rPr>
                <w:rFonts w:hint="eastAsia"/>
                <w:szCs w:val="24"/>
              </w:rPr>
              <w:t>/</w:t>
            </w:r>
          </w:p>
        </w:tc>
      </w:tr>
      <w:tr w14:paraId="644E15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9" w:type="dxa"/>
            <w:vMerge w:val="continue"/>
            <w:vAlign w:val="center"/>
          </w:tcPr>
          <w:p w14:paraId="3ABA946B">
            <w:pPr>
              <w:jc w:val="center"/>
              <w:rPr>
                <w:szCs w:val="24"/>
              </w:rPr>
            </w:pPr>
          </w:p>
        </w:tc>
        <w:tc>
          <w:tcPr>
            <w:tcW w:w="2175" w:type="dxa"/>
            <w:vAlign w:val="center"/>
          </w:tcPr>
          <w:p w14:paraId="22DC94BB">
            <w:pPr>
              <w:jc w:val="center"/>
              <w:rPr>
                <w:spacing w:val="-8"/>
              </w:rPr>
            </w:pPr>
            <w:r>
              <w:rPr>
                <w:rFonts w:hint="eastAsia"/>
                <w:spacing w:val="-8"/>
              </w:rPr>
              <w:t>非甲烷总烃</w:t>
            </w:r>
            <w:r>
              <w:rPr>
                <w:spacing w:val="-8"/>
              </w:rPr>
              <w:t>排放浓度</w:t>
            </w:r>
            <w:r>
              <w:rPr>
                <w:rFonts w:hint="eastAsia"/>
                <w:spacing w:val="-8"/>
              </w:rPr>
              <w:t>（</w:t>
            </w:r>
            <w:r>
              <w:rPr>
                <w:spacing w:val="-8"/>
              </w:rPr>
              <w:t>标.干</w:t>
            </w:r>
            <w:r>
              <w:rPr>
                <w:rFonts w:hint="eastAsia"/>
                <w:spacing w:val="-8"/>
              </w:rPr>
              <w:t>）</w:t>
            </w:r>
          </w:p>
        </w:tc>
        <w:tc>
          <w:tcPr>
            <w:tcW w:w="851" w:type="dxa"/>
            <w:vAlign w:val="center"/>
          </w:tcPr>
          <w:p w14:paraId="034284D5">
            <w:pPr>
              <w:jc w:val="center"/>
            </w:pPr>
            <w:r>
              <w:t>mg/m</w:t>
            </w:r>
            <w:r>
              <w:rPr>
                <w:vertAlign w:val="superscript"/>
              </w:rPr>
              <w:t>3</w:t>
            </w:r>
          </w:p>
        </w:tc>
        <w:tc>
          <w:tcPr>
            <w:tcW w:w="1098" w:type="dxa"/>
            <w:vAlign w:val="center"/>
          </w:tcPr>
          <w:p w14:paraId="29EE8A04">
            <w:pPr>
              <w:jc w:val="center"/>
              <w:rPr>
                <w:szCs w:val="24"/>
              </w:rPr>
            </w:pPr>
            <w:r>
              <w:rPr>
                <w:rFonts w:hint="eastAsia"/>
                <w:szCs w:val="24"/>
              </w:rPr>
              <w:t>1.64</w:t>
            </w:r>
          </w:p>
        </w:tc>
        <w:tc>
          <w:tcPr>
            <w:tcW w:w="1099" w:type="dxa"/>
            <w:vAlign w:val="center"/>
          </w:tcPr>
          <w:p w14:paraId="3F317C7E">
            <w:pPr>
              <w:jc w:val="center"/>
              <w:rPr>
                <w:szCs w:val="24"/>
              </w:rPr>
            </w:pPr>
            <w:r>
              <w:rPr>
                <w:rFonts w:hint="eastAsia"/>
                <w:szCs w:val="24"/>
              </w:rPr>
              <w:t>1.42</w:t>
            </w:r>
          </w:p>
        </w:tc>
        <w:tc>
          <w:tcPr>
            <w:tcW w:w="1099" w:type="dxa"/>
            <w:vAlign w:val="center"/>
          </w:tcPr>
          <w:p w14:paraId="6881D1BA">
            <w:pPr>
              <w:jc w:val="center"/>
              <w:rPr>
                <w:szCs w:val="24"/>
              </w:rPr>
            </w:pPr>
            <w:r>
              <w:rPr>
                <w:rFonts w:hint="eastAsia"/>
                <w:szCs w:val="24"/>
              </w:rPr>
              <w:t>1.40</w:t>
            </w:r>
          </w:p>
        </w:tc>
        <w:tc>
          <w:tcPr>
            <w:tcW w:w="1099" w:type="dxa"/>
            <w:vAlign w:val="center"/>
          </w:tcPr>
          <w:p w14:paraId="5757B23F">
            <w:pPr>
              <w:jc w:val="center"/>
              <w:rPr>
                <w:szCs w:val="24"/>
              </w:rPr>
            </w:pPr>
            <w:r>
              <w:rPr>
                <w:rFonts w:hint="eastAsia"/>
                <w:szCs w:val="24"/>
              </w:rPr>
              <w:t>1.49</w:t>
            </w:r>
          </w:p>
        </w:tc>
        <w:tc>
          <w:tcPr>
            <w:tcW w:w="679" w:type="dxa"/>
            <w:vAlign w:val="center"/>
          </w:tcPr>
          <w:p w14:paraId="5A5E0762">
            <w:pPr>
              <w:jc w:val="center"/>
              <w:rPr>
                <w:szCs w:val="24"/>
              </w:rPr>
            </w:pPr>
            <w:r>
              <w:rPr>
                <w:rFonts w:hint="eastAsia"/>
                <w:szCs w:val="24"/>
              </w:rPr>
              <w:t>60</w:t>
            </w:r>
          </w:p>
        </w:tc>
      </w:tr>
      <w:tr w14:paraId="404EA7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9" w:type="dxa"/>
            <w:vMerge w:val="continue"/>
            <w:vAlign w:val="center"/>
          </w:tcPr>
          <w:p w14:paraId="228A03B1">
            <w:pPr>
              <w:jc w:val="center"/>
              <w:rPr>
                <w:szCs w:val="24"/>
              </w:rPr>
            </w:pPr>
          </w:p>
        </w:tc>
        <w:tc>
          <w:tcPr>
            <w:tcW w:w="2175" w:type="dxa"/>
            <w:vAlign w:val="center"/>
          </w:tcPr>
          <w:p w14:paraId="23BC55B9">
            <w:pPr>
              <w:jc w:val="center"/>
            </w:pPr>
            <w:r>
              <w:rPr>
                <w:rFonts w:hint="eastAsia"/>
              </w:rPr>
              <w:t>非甲烷总烃</w:t>
            </w:r>
            <w:r>
              <w:t>排放</w:t>
            </w:r>
            <w:r>
              <w:rPr>
                <w:rFonts w:hint="eastAsia"/>
              </w:rPr>
              <w:t>速率</w:t>
            </w:r>
          </w:p>
        </w:tc>
        <w:tc>
          <w:tcPr>
            <w:tcW w:w="851" w:type="dxa"/>
            <w:vAlign w:val="center"/>
          </w:tcPr>
          <w:p w14:paraId="0B316B6F">
            <w:pPr>
              <w:jc w:val="center"/>
            </w:pPr>
            <w:r>
              <w:t>kg/h</w:t>
            </w:r>
          </w:p>
        </w:tc>
        <w:tc>
          <w:tcPr>
            <w:tcW w:w="1098" w:type="dxa"/>
            <w:vAlign w:val="center"/>
          </w:tcPr>
          <w:p w14:paraId="01F330E8">
            <w:pPr>
              <w:jc w:val="center"/>
              <w:rPr>
                <w:szCs w:val="24"/>
              </w:rPr>
            </w:pPr>
            <w:r>
              <w:rPr>
                <w:rFonts w:hint="eastAsia"/>
                <w:szCs w:val="24"/>
              </w:rPr>
              <w:t>1.49</w:t>
            </w:r>
            <w:r>
              <w:t>×10</w:t>
            </w:r>
            <w:r>
              <w:rPr>
                <w:rFonts w:hint="eastAsia"/>
                <w:vertAlign w:val="superscript"/>
              </w:rPr>
              <w:t>-2</w:t>
            </w:r>
          </w:p>
        </w:tc>
        <w:tc>
          <w:tcPr>
            <w:tcW w:w="1099" w:type="dxa"/>
            <w:vAlign w:val="center"/>
          </w:tcPr>
          <w:p w14:paraId="69A7F4DE">
            <w:pPr>
              <w:jc w:val="center"/>
              <w:rPr>
                <w:szCs w:val="24"/>
              </w:rPr>
            </w:pPr>
            <w:r>
              <w:rPr>
                <w:rFonts w:hint="eastAsia"/>
                <w:szCs w:val="24"/>
              </w:rPr>
              <w:t>1.41</w:t>
            </w:r>
            <w:r>
              <w:t>×10</w:t>
            </w:r>
            <w:r>
              <w:rPr>
                <w:rFonts w:hint="eastAsia"/>
                <w:vertAlign w:val="superscript"/>
              </w:rPr>
              <w:t>-2</w:t>
            </w:r>
          </w:p>
        </w:tc>
        <w:tc>
          <w:tcPr>
            <w:tcW w:w="1099" w:type="dxa"/>
            <w:vAlign w:val="center"/>
          </w:tcPr>
          <w:p w14:paraId="6B69D884">
            <w:pPr>
              <w:jc w:val="center"/>
              <w:rPr>
                <w:szCs w:val="24"/>
              </w:rPr>
            </w:pPr>
            <w:r>
              <w:rPr>
                <w:rFonts w:hint="eastAsia"/>
                <w:szCs w:val="24"/>
              </w:rPr>
              <w:t>1.30</w:t>
            </w:r>
            <w:r>
              <w:t>×10</w:t>
            </w:r>
            <w:r>
              <w:rPr>
                <w:rFonts w:hint="eastAsia"/>
                <w:vertAlign w:val="superscript"/>
              </w:rPr>
              <w:t>-2</w:t>
            </w:r>
          </w:p>
        </w:tc>
        <w:tc>
          <w:tcPr>
            <w:tcW w:w="1099" w:type="dxa"/>
            <w:vAlign w:val="center"/>
          </w:tcPr>
          <w:p w14:paraId="56A43810">
            <w:pPr>
              <w:jc w:val="center"/>
              <w:rPr>
                <w:szCs w:val="24"/>
              </w:rPr>
            </w:pPr>
            <w:r>
              <w:rPr>
                <w:rFonts w:hint="eastAsia"/>
                <w:szCs w:val="24"/>
              </w:rPr>
              <w:t>1.40</w:t>
            </w:r>
            <w:r>
              <w:t>×10</w:t>
            </w:r>
            <w:r>
              <w:rPr>
                <w:rFonts w:hint="eastAsia"/>
                <w:vertAlign w:val="superscript"/>
              </w:rPr>
              <w:t>-2</w:t>
            </w:r>
          </w:p>
        </w:tc>
        <w:tc>
          <w:tcPr>
            <w:tcW w:w="679" w:type="dxa"/>
            <w:vAlign w:val="center"/>
          </w:tcPr>
          <w:p w14:paraId="75079E3E">
            <w:pPr>
              <w:jc w:val="center"/>
              <w:rPr>
                <w:szCs w:val="24"/>
              </w:rPr>
            </w:pPr>
            <w:r>
              <w:rPr>
                <w:rFonts w:hint="eastAsia"/>
                <w:szCs w:val="24"/>
              </w:rPr>
              <w:t>4.3</w:t>
            </w:r>
          </w:p>
        </w:tc>
      </w:tr>
      <w:tr w14:paraId="4DC22B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9" w:type="dxa"/>
            <w:vAlign w:val="center"/>
          </w:tcPr>
          <w:p w14:paraId="248E5086">
            <w:pPr>
              <w:jc w:val="center"/>
              <w:rPr>
                <w:szCs w:val="24"/>
              </w:rPr>
            </w:pPr>
            <w:r>
              <w:rPr>
                <w:rFonts w:hint="eastAsia"/>
                <w:szCs w:val="24"/>
              </w:rPr>
              <w:t>评价依据</w:t>
            </w:r>
          </w:p>
        </w:tc>
        <w:tc>
          <w:tcPr>
            <w:tcW w:w="8100" w:type="dxa"/>
            <w:gridSpan w:val="7"/>
            <w:vAlign w:val="center"/>
          </w:tcPr>
          <w:p w14:paraId="02B3FB73">
            <w:pPr>
              <w:rPr>
                <w:szCs w:val="24"/>
              </w:rPr>
            </w:pPr>
            <w:r>
              <w:rPr>
                <w:rFonts w:hint="eastAsia"/>
              </w:rPr>
              <w:t>《包装印刷业大气污染物排放标准》（DB 50/758-2017）表2 主城区</w:t>
            </w:r>
          </w:p>
        </w:tc>
      </w:tr>
      <w:tr w14:paraId="3F7E9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9" w:type="dxa"/>
            <w:vAlign w:val="center"/>
          </w:tcPr>
          <w:p w14:paraId="2D039EC9">
            <w:pPr>
              <w:jc w:val="center"/>
              <w:rPr>
                <w:szCs w:val="24"/>
              </w:rPr>
            </w:pPr>
            <w:r>
              <w:rPr>
                <w:rFonts w:hint="eastAsia"/>
                <w:szCs w:val="24"/>
              </w:rPr>
              <w:t>监测结论</w:t>
            </w:r>
          </w:p>
        </w:tc>
        <w:tc>
          <w:tcPr>
            <w:tcW w:w="8100" w:type="dxa"/>
            <w:gridSpan w:val="7"/>
            <w:vAlign w:val="center"/>
          </w:tcPr>
          <w:p w14:paraId="7EEF5AE2">
            <w:pPr>
              <w:rPr>
                <w:szCs w:val="24"/>
              </w:rPr>
            </w:pPr>
            <w:r>
              <w:rPr>
                <w:rFonts w:hint="eastAsia"/>
              </w:rPr>
              <w:t>本次监测B03有机废气排放口（DA008）FQ1废气：非甲烷总烃排放浓度及排放速率均达标</w:t>
            </w:r>
          </w:p>
        </w:tc>
      </w:tr>
      <w:tr w14:paraId="096517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9" w:type="dxa"/>
            <w:vAlign w:val="center"/>
          </w:tcPr>
          <w:p w14:paraId="765E877A">
            <w:pPr>
              <w:jc w:val="center"/>
              <w:rPr>
                <w:szCs w:val="24"/>
              </w:rPr>
            </w:pPr>
            <w:r>
              <w:rPr>
                <w:szCs w:val="24"/>
              </w:rPr>
              <w:t>备注</w:t>
            </w:r>
          </w:p>
        </w:tc>
        <w:tc>
          <w:tcPr>
            <w:tcW w:w="8100" w:type="dxa"/>
            <w:gridSpan w:val="7"/>
            <w:vAlign w:val="center"/>
          </w:tcPr>
          <w:p w14:paraId="23803B06">
            <w:pPr>
              <w:rPr>
                <w:szCs w:val="24"/>
              </w:rPr>
            </w:pPr>
            <w:r>
              <w:rPr>
                <w:rFonts w:hint="eastAsia"/>
              </w:rPr>
              <w:t>4月24日、4月25日生产负荷均为77%</w:t>
            </w:r>
            <w:r>
              <w:rPr>
                <w:szCs w:val="24"/>
              </w:rPr>
              <w:t xml:space="preserve"> </w:t>
            </w:r>
          </w:p>
        </w:tc>
      </w:tr>
    </w:tbl>
    <w:p w14:paraId="309955B1">
      <w:pPr>
        <w:spacing w:after="156" w:afterLines="50"/>
        <w:jc w:val="center"/>
        <w:rPr>
          <w:b/>
          <w:bCs/>
          <w:sz w:val="24"/>
          <w:szCs w:val="24"/>
        </w:rPr>
      </w:pPr>
    </w:p>
    <w:p w14:paraId="5E37B40D">
      <w:pPr>
        <w:spacing w:after="156" w:afterLines="50"/>
        <w:jc w:val="center"/>
        <w:rPr>
          <w:b/>
          <w:bCs/>
          <w:sz w:val="24"/>
          <w:szCs w:val="24"/>
        </w:rPr>
      </w:pPr>
      <w:r>
        <w:rPr>
          <w:b/>
          <w:bCs/>
          <w:sz w:val="24"/>
          <w:szCs w:val="24"/>
        </w:rPr>
        <w:t xml:space="preserve">表9-3  </w:t>
      </w:r>
      <w:r>
        <w:rPr>
          <w:rFonts w:hint="eastAsia"/>
          <w:b/>
          <w:bCs/>
          <w:sz w:val="24"/>
          <w:szCs w:val="24"/>
        </w:rPr>
        <w:t>B01 AG蚀刻线蒙砂废气、化抛废气排放口（DA010）FQ2</w:t>
      </w:r>
      <w:r>
        <w:rPr>
          <w:b/>
          <w:bCs/>
          <w:sz w:val="24"/>
          <w:szCs w:val="24"/>
        </w:rPr>
        <w:t>监测结果表</w:t>
      </w:r>
    </w:p>
    <w:p w14:paraId="6697B393">
      <w:pPr>
        <w:jc w:val="center"/>
        <w:rPr>
          <w:szCs w:val="24"/>
        </w:rPr>
      </w:pPr>
      <w:r>
        <w:rPr>
          <w:szCs w:val="24"/>
        </w:rPr>
        <w:t>烟囱高度：</w:t>
      </w:r>
      <w:r>
        <w:rPr>
          <w:rFonts w:hint="eastAsia"/>
          <w:szCs w:val="24"/>
        </w:rPr>
        <w:t>20</w:t>
      </w:r>
      <w:r>
        <w:rPr>
          <w:szCs w:val="24"/>
        </w:rPr>
        <w:t xml:space="preserve">m </w:t>
      </w:r>
      <w:r>
        <w:rPr>
          <w:rFonts w:hint="eastAsia"/>
          <w:szCs w:val="24"/>
        </w:rPr>
        <w:t xml:space="preserve">            </w:t>
      </w:r>
      <w:r>
        <w:rPr>
          <w:szCs w:val="24"/>
        </w:rPr>
        <w:t xml:space="preserve"> 排气筒编号：</w:t>
      </w:r>
      <w:r>
        <w:rPr>
          <w:rFonts w:hint="eastAsia"/>
          <w:szCs w:val="24"/>
        </w:rPr>
        <w:t>DA010</w:t>
      </w:r>
      <w:r>
        <w:rPr>
          <w:szCs w:val="24"/>
        </w:rPr>
        <w:t xml:space="preserve">  </w:t>
      </w:r>
      <w:r>
        <w:rPr>
          <w:rFonts w:hint="eastAsia"/>
          <w:szCs w:val="24"/>
        </w:rPr>
        <w:t xml:space="preserve"> </w:t>
      </w:r>
      <w:r>
        <w:rPr>
          <w:szCs w:val="24"/>
        </w:rPr>
        <w:t xml:space="preserve">          </w:t>
      </w:r>
      <w:r>
        <w:rPr>
          <w:rFonts w:hint="eastAsia"/>
          <w:szCs w:val="24"/>
        </w:rPr>
        <w:t xml:space="preserve"> </w:t>
      </w:r>
      <w:r>
        <w:rPr>
          <w:szCs w:val="24"/>
        </w:rPr>
        <w:t xml:space="preserve"> 采样断面截面积：</w:t>
      </w:r>
      <w:r>
        <w:rPr>
          <w:rFonts w:hint="eastAsia"/>
          <w:szCs w:val="24"/>
        </w:rPr>
        <w:t>0.2827m</w:t>
      </w:r>
      <w:r>
        <w:rPr>
          <w:szCs w:val="24"/>
          <w:vertAlign w:val="superscript"/>
        </w:rPr>
        <w:t>2</w:t>
      </w:r>
    </w:p>
    <w:tbl>
      <w:tblPr>
        <w:tblStyle w:val="35"/>
        <w:tblW w:w="85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3"/>
        <w:gridCol w:w="2007"/>
        <w:gridCol w:w="851"/>
        <w:gridCol w:w="1098"/>
        <w:gridCol w:w="1099"/>
        <w:gridCol w:w="1099"/>
        <w:gridCol w:w="1099"/>
        <w:gridCol w:w="679"/>
      </w:tblGrid>
      <w:tr w14:paraId="0C1E52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vMerge w:val="restart"/>
            <w:vAlign w:val="center"/>
          </w:tcPr>
          <w:p w14:paraId="48F439A7">
            <w:pPr>
              <w:jc w:val="center"/>
              <w:rPr>
                <w:szCs w:val="24"/>
              </w:rPr>
            </w:pPr>
            <w:r>
              <w:rPr>
                <w:rFonts w:hint="eastAsia"/>
                <w:szCs w:val="24"/>
              </w:rPr>
              <w:t>监测日期</w:t>
            </w:r>
          </w:p>
        </w:tc>
        <w:tc>
          <w:tcPr>
            <w:tcW w:w="2007" w:type="dxa"/>
            <w:vMerge w:val="restart"/>
            <w:vAlign w:val="center"/>
          </w:tcPr>
          <w:p w14:paraId="5C549DD3">
            <w:pPr>
              <w:jc w:val="center"/>
              <w:rPr>
                <w:szCs w:val="24"/>
              </w:rPr>
            </w:pPr>
            <w:r>
              <w:rPr>
                <w:szCs w:val="24"/>
              </w:rPr>
              <w:t>项目</w:t>
            </w:r>
          </w:p>
        </w:tc>
        <w:tc>
          <w:tcPr>
            <w:tcW w:w="851" w:type="dxa"/>
            <w:vMerge w:val="restart"/>
            <w:vAlign w:val="center"/>
          </w:tcPr>
          <w:p w14:paraId="35377F8B">
            <w:pPr>
              <w:jc w:val="center"/>
              <w:rPr>
                <w:szCs w:val="24"/>
              </w:rPr>
            </w:pPr>
            <w:r>
              <w:rPr>
                <w:szCs w:val="24"/>
              </w:rPr>
              <w:t>单位</w:t>
            </w:r>
          </w:p>
        </w:tc>
        <w:tc>
          <w:tcPr>
            <w:tcW w:w="3296" w:type="dxa"/>
            <w:gridSpan w:val="3"/>
            <w:vAlign w:val="center"/>
          </w:tcPr>
          <w:p w14:paraId="2D24D3CF">
            <w:pPr>
              <w:jc w:val="center"/>
              <w:rPr>
                <w:szCs w:val="24"/>
              </w:rPr>
            </w:pPr>
            <w:r>
              <w:rPr>
                <w:rFonts w:hint="eastAsia"/>
                <w:szCs w:val="24"/>
              </w:rPr>
              <w:t>监测点位及编号</w:t>
            </w:r>
          </w:p>
        </w:tc>
        <w:tc>
          <w:tcPr>
            <w:tcW w:w="1099" w:type="dxa"/>
            <w:vMerge w:val="restart"/>
            <w:vAlign w:val="center"/>
          </w:tcPr>
          <w:p w14:paraId="78DE7DA5">
            <w:pPr>
              <w:jc w:val="center"/>
              <w:rPr>
                <w:szCs w:val="24"/>
              </w:rPr>
            </w:pPr>
            <w:r>
              <w:rPr>
                <w:rFonts w:hint="eastAsia"/>
                <w:szCs w:val="24"/>
              </w:rPr>
              <w:t>平均值</w:t>
            </w:r>
          </w:p>
        </w:tc>
        <w:tc>
          <w:tcPr>
            <w:tcW w:w="679" w:type="dxa"/>
            <w:vMerge w:val="restart"/>
            <w:vAlign w:val="center"/>
          </w:tcPr>
          <w:p w14:paraId="0A870DCB">
            <w:pPr>
              <w:jc w:val="center"/>
              <w:rPr>
                <w:szCs w:val="24"/>
              </w:rPr>
            </w:pPr>
            <w:r>
              <w:rPr>
                <w:rFonts w:hint="eastAsia"/>
                <w:szCs w:val="24"/>
              </w:rPr>
              <w:t>排放</w:t>
            </w:r>
          </w:p>
          <w:p w14:paraId="7A28D91E">
            <w:pPr>
              <w:jc w:val="center"/>
              <w:rPr>
                <w:szCs w:val="24"/>
              </w:rPr>
            </w:pPr>
            <w:r>
              <w:rPr>
                <w:rFonts w:hint="eastAsia"/>
                <w:szCs w:val="24"/>
              </w:rPr>
              <w:t>限值</w:t>
            </w:r>
          </w:p>
        </w:tc>
      </w:tr>
      <w:tr w14:paraId="3DDF20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vMerge w:val="continue"/>
            <w:vAlign w:val="center"/>
          </w:tcPr>
          <w:p w14:paraId="025C5D78">
            <w:pPr>
              <w:jc w:val="center"/>
              <w:rPr>
                <w:szCs w:val="24"/>
              </w:rPr>
            </w:pPr>
          </w:p>
        </w:tc>
        <w:tc>
          <w:tcPr>
            <w:tcW w:w="2007" w:type="dxa"/>
            <w:vMerge w:val="continue"/>
            <w:vAlign w:val="center"/>
          </w:tcPr>
          <w:p w14:paraId="2C7A7EE4">
            <w:pPr>
              <w:jc w:val="center"/>
              <w:rPr>
                <w:szCs w:val="24"/>
              </w:rPr>
            </w:pPr>
          </w:p>
        </w:tc>
        <w:tc>
          <w:tcPr>
            <w:tcW w:w="851" w:type="dxa"/>
            <w:vMerge w:val="continue"/>
            <w:vAlign w:val="center"/>
          </w:tcPr>
          <w:p w14:paraId="7262B071">
            <w:pPr>
              <w:jc w:val="center"/>
              <w:rPr>
                <w:szCs w:val="24"/>
              </w:rPr>
            </w:pPr>
          </w:p>
        </w:tc>
        <w:tc>
          <w:tcPr>
            <w:tcW w:w="1098" w:type="dxa"/>
            <w:vAlign w:val="center"/>
          </w:tcPr>
          <w:p w14:paraId="4F17D80F">
            <w:pPr>
              <w:jc w:val="center"/>
              <w:rPr>
                <w:spacing w:val="-8"/>
              </w:rPr>
            </w:pPr>
            <w:r>
              <w:rPr>
                <w:spacing w:val="-8"/>
              </w:rPr>
              <w:t>25HY0004</w:t>
            </w:r>
            <w:r>
              <w:rPr>
                <w:rFonts w:hint="eastAsia"/>
                <w:spacing w:val="-8"/>
              </w:rPr>
              <w:t>FQ2</w:t>
            </w:r>
            <w:r>
              <w:rPr>
                <w:spacing w:val="-8"/>
              </w:rPr>
              <w:t>-1-1</w:t>
            </w:r>
          </w:p>
        </w:tc>
        <w:tc>
          <w:tcPr>
            <w:tcW w:w="1099" w:type="dxa"/>
            <w:vAlign w:val="center"/>
          </w:tcPr>
          <w:p w14:paraId="60C89EC6">
            <w:pPr>
              <w:jc w:val="center"/>
              <w:rPr>
                <w:spacing w:val="-8"/>
              </w:rPr>
            </w:pPr>
            <w:r>
              <w:rPr>
                <w:spacing w:val="-8"/>
              </w:rPr>
              <w:t>25HY0004</w:t>
            </w:r>
            <w:r>
              <w:rPr>
                <w:rFonts w:hint="eastAsia"/>
                <w:spacing w:val="-8"/>
              </w:rPr>
              <w:t>FQ2</w:t>
            </w:r>
            <w:r>
              <w:rPr>
                <w:spacing w:val="-8"/>
              </w:rPr>
              <w:t>-1-</w:t>
            </w:r>
            <w:r>
              <w:rPr>
                <w:rFonts w:hint="eastAsia"/>
                <w:spacing w:val="-8"/>
              </w:rPr>
              <w:t>2</w:t>
            </w:r>
          </w:p>
        </w:tc>
        <w:tc>
          <w:tcPr>
            <w:tcW w:w="1099" w:type="dxa"/>
            <w:vAlign w:val="center"/>
          </w:tcPr>
          <w:p w14:paraId="0B7FFE48">
            <w:pPr>
              <w:jc w:val="center"/>
              <w:rPr>
                <w:spacing w:val="-8"/>
              </w:rPr>
            </w:pPr>
            <w:r>
              <w:rPr>
                <w:spacing w:val="-8"/>
              </w:rPr>
              <w:t>25HY0004</w:t>
            </w:r>
            <w:r>
              <w:rPr>
                <w:rFonts w:hint="eastAsia"/>
                <w:spacing w:val="-8"/>
              </w:rPr>
              <w:t>FQ2</w:t>
            </w:r>
            <w:r>
              <w:rPr>
                <w:spacing w:val="-8"/>
              </w:rPr>
              <w:t>-1-</w:t>
            </w:r>
            <w:r>
              <w:rPr>
                <w:rFonts w:hint="eastAsia"/>
                <w:spacing w:val="-8"/>
              </w:rPr>
              <w:t>3</w:t>
            </w:r>
          </w:p>
        </w:tc>
        <w:tc>
          <w:tcPr>
            <w:tcW w:w="1099" w:type="dxa"/>
            <w:vMerge w:val="continue"/>
            <w:vAlign w:val="center"/>
          </w:tcPr>
          <w:p w14:paraId="484AB64B">
            <w:pPr>
              <w:jc w:val="center"/>
              <w:rPr>
                <w:szCs w:val="24"/>
              </w:rPr>
            </w:pPr>
          </w:p>
        </w:tc>
        <w:tc>
          <w:tcPr>
            <w:tcW w:w="679" w:type="dxa"/>
            <w:vMerge w:val="continue"/>
            <w:vAlign w:val="center"/>
          </w:tcPr>
          <w:p w14:paraId="7540468A">
            <w:pPr>
              <w:jc w:val="center"/>
              <w:rPr>
                <w:szCs w:val="24"/>
              </w:rPr>
            </w:pPr>
          </w:p>
        </w:tc>
      </w:tr>
      <w:tr w14:paraId="48158E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vMerge w:val="restart"/>
            <w:vAlign w:val="center"/>
          </w:tcPr>
          <w:p w14:paraId="33EFD9BF">
            <w:pPr>
              <w:jc w:val="center"/>
              <w:rPr>
                <w:szCs w:val="24"/>
              </w:rPr>
            </w:pPr>
            <w:r>
              <w:rPr>
                <w:rFonts w:hint="eastAsia"/>
                <w:szCs w:val="24"/>
              </w:rPr>
              <w:t>20250424</w:t>
            </w:r>
          </w:p>
        </w:tc>
        <w:tc>
          <w:tcPr>
            <w:tcW w:w="2007" w:type="dxa"/>
            <w:vAlign w:val="center"/>
          </w:tcPr>
          <w:p w14:paraId="13815426">
            <w:pPr>
              <w:jc w:val="center"/>
              <w:rPr>
                <w:szCs w:val="24"/>
              </w:rPr>
            </w:pPr>
            <w:r>
              <w:t>烟气流速</w:t>
            </w:r>
          </w:p>
        </w:tc>
        <w:tc>
          <w:tcPr>
            <w:tcW w:w="851" w:type="dxa"/>
            <w:vAlign w:val="center"/>
          </w:tcPr>
          <w:p w14:paraId="6385EE86">
            <w:pPr>
              <w:jc w:val="center"/>
              <w:rPr>
                <w:szCs w:val="24"/>
              </w:rPr>
            </w:pPr>
            <w:r>
              <w:t>m/s</w:t>
            </w:r>
          </w:p>
        </w:tc>
        <w:tc>
          <w:tcPr>
            <w:tcW w:w="1098" w:type="dxa"/>
            <w:vAlign w:val="center"/>
          </w:tcPr>
          <w:p w14:paraId="241C77C7">
            <w:pPr>
              <w:jc w:val="center"/>
              <w:rPr>
                <w:szCs w:val="24"/>
              </w:rPr>
            </w:pPr>
            <w:r>
              <w:rPr>
                <w:rFonts w:hint="eastAsia"/>
                <w:szCs w:val="24"/>
              </w:rPr>
              <w:t>7.9</w:t>
            </w:r>
          </w:p>
        </w:tc>
        <w:tc>
          <w:tcPr>
            <w:tcW w:w="1099" w:type="dxa"/>
            <w:vAlign w:val="center"/>
          </w:tcPr>
          <w:p w14:paraId="732BD2C0">
            <w:pPr>
              <w:jc w:val="center"/>
              <w:rPr>
                <w:szCs w:val="24"/>
              </w:rPr>
            </w:pPr>
            <w:r>
              <w:rPr>
                <w:rFonts w:hint="eastAsia"/>
                <w:szCs w:val="24"/>
              </w:rPr>
              <w:t>7.6</w:t>
            </w:r>
          </w:p>
        </w:tc>
        <w:tc>
          <w:tcPr>
            <w:tcW w:w="1099" w:type="dxa"/>
            <w:vAlign w:val="center"/>
          </w:tcPr>
          <w:p w14:paraId="7340F832">
            <w:pPr>
              <w:jc w:val="center"/>
              <w:rPr>
                <w:szCs w:val="24"/>
              </w:rPr>
            </w:pPr>
            <w:r>
              <w:rPr>
                <w:rFonts w:hint="eastAsia"/>
                <w:szCs w:val="24"/>
              </w:rPr>
              <w:t>7.4</w:t>
            </w:r>
          </w:p>
        </w:tc>
        <w:tc>
          <w:tcPr>
            <w:tcW w:w="1099" w:type="dxa"/>
            <w:vAlign w:val="center"/>
          </w:tcPr>
          <w:p w14:paraId="1E7E9E76">
            <w:pPr>
              <w:jc w:val="center"/>
              <w:rPr>
                <w:szCs w:val="24"/>
              </w:rPr>
            </w:pPr>
            <w:r>
              <w:rPr>
                <w:rFonts w:hint="eastAsia"/>
                <w:szCs w:val="24"/>
              </w:rPr>
              <w:t>/</w:t>
            </w:r>
          </w:p>
        </w:tc>
        <w:tc>
          <w:tcPr>
            <w:tcW w:w="679" w:type="dxa"/>
            <w:vAlign w:val="center"/>
          </w:tcPr>
          <w:p w14:paraId="7A91D7ED">
            <w:pPr>
              <w:jc w:val="center"/>
              <w:rPr>
                <w:szCs w:val="24"/>
              </w:rPr>
            </w:pPr>
            <w:r>
              <w:rPr>
                <w:rFonts w:hint="eastAsia"/>
                <w:szCs w:val="24"/>
              </w:rPr>
              <w:t>/</w:t>
            </w:r>
          </w:p>
        </w:tc>
      </w:tr>
      <w:tr w14:paraId="60759C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vMerge w:val="continue"/>
            <w:vAlign w:val="center"/>
          </w:tcPr>
          <w:p w14:paraId="7E11DB5F">
            <w:pPr>
              <w:jc w:val="center"/>
              <w:rPr>
                <w:szCs w:val="24"/>
              </w:rPr>
            </w:pPr>
          </w:p>
        </w:tc>
        <w:tc>
          <w:tcPr>
            <w:tcW w:w="2007" w:type="dxa"/>
            <w:vAlign w:val="center"/>
          </w:tcPr>
          <w:p w14:paraId="0E19CF3D">
            <w:pPr>
              <w:jc w:val="center"/>
              <w:rPr>
                <w:szCs w:val="24"/>
              </w:rPr>
            </w:pPr>
            <w:r>
              <w:t>烟气流量</w:t>
            </w:r>
            <w:r>
              <w:rPr>
                <w:rFonts w:hint="eastAsia"/>
              </w:rPr>
              <w:t>（</w:t>
            </w:r>
            <w:r>
              <w:t>标.干</w:t>
            </w:r>
            <w:r>
              <w:rPr>
                <w:rFonts w:hint="eastAsia"/>
              </w:rPr>
              <w:t>）</w:t>
            </w:r>
          </w:p>
        </w:tc>
        <w:tc>
          <w:tcPr>
            <w:tcW w:w="851" w:type="dxa"/>
            <w:vAlign w:val="center"/>
          </w:tcPr>
          <w:p w14:paraId="0F30173A">
            <w:pPr>
              <w:jc w:val="center"/>
              <w:rPr>
                <w:szCs w:val="24"/>
              </w:rPr>
            </w:pPr>
            <w:r>
              <w:t>m</w:t>
            </w:r>
            <w:r>
              <w:rPr>
                <w:vertAlign w:val="superscript"/>
              </w:rPr>
              <w:t>3</w:t>
            </w:r>
            <w:r>
              <w:t>/h</w:t>
            </w:r>
          </w:p>
        </w:tc>
        <w:tc>
          <w:tcPr>
            <w:tcW w:w="1098" w:type="dxa"/>
            <w:vAlign w:val="center"/>
          </w:tcPr>
          <w:p w14:paraId="42F7CB29">
            <w:pPr>
              <w:jc w:val="center"/>
              <w:rPr>
                <w:szCs w:val="24"/>
              </w:rPr>
            </w:pPr>
            <w:r>
              <w:rPr>
                <w:rFonts w:hint="eastAsia"/>
                <w:szCs w:val="24"/>
              </w:rPr>
              <w:t>7.12</w:t>
            </w:r>
            <w:r>
              <w:t>×10</w:t>
            </w:r>
            <w:r>
              <w:rPr>
                <w:rFonts w:hint="eastAsia"/>
                <w:vertAlign w:val="superscript"/>
              </w:rPr>
              <w:t>3</w:t>
            </w:r>
          </w:p>
        </w:tc>
        <w:tc>
          <w:tcPr>
            <w:tcW w:w="1099" w:type="dxa"/>
            <w:vAlign w:val="center"/>
          </w:tcPr>
          <w:p w14:paraId="3739BB7D">
            <w:pPr>
              <w:jc w:val="center"/>
              <w:rPr>
                <w:szCs w:val="24"/>
              </w:rPr>
            </w:pPr>
            <w:r>
              <w:rPr>
                <w:rFonts w:hint="eastAsia"/>
                <w:szCs w:val="24"/>
              </w:rPr>
              <w:t>6.85</w:t>
            </w:r>
            <w:r>
              <w:t>×10</w:t>
            </w:r>
            <w:r>
              <w:rPr>
                <w:rFonts w:hint="eastAsia"/>
                <w:vertAlign w:val="superscript"/>
              </w:rPr>
              <w:t>3</w:t>
            </w:r>
          </w:p>
        </w:tc>
        <w:tc>
          <w:tcPr>
            <w:tcW w:w="1099" w:type="dxa"/>
            <w:vAlign w:val="center"/>
          </w:tcPr>
          <w:p w14:paraId="3CDA6AD9">
            <w:pPr>
              <w:jc w:val="center"/>
              <w:rPr>
                <w:szCs w:val="24"/>
              </w:rPr>
            </w:pPr>
            <w:r>
              <w:rPr>
                <w:rFonts w:hint="eastAsia"/>
                <w:szCs w:val="24"/>
              </w:rPr>
              <w:t>6.69</w:t>
            </w:r>
            <w:r>
              <w:t>×10</w:t>
            </w:r>
            <w:r>
              <w:rPr>
                <w:rFonts w:hint="eastAsia"/>
                <w:vertAlign w:val="superscript"/>
              </w:rPr>
              <w:t>3</w:t>
            </w:r>
          </w:p>
        </w:tc>
        <w:tc>
          <w:tcPr>
            <w:tcW w:w="1099" w:type="dxa"/>
            <w:vAlign w:val="center"/>
          </w:tcPr>
          <w:p w14:paraId="2241E8C4">
            <w:pPr>
              <w:jc w:val="center"/>
              <w:rPr>
                <w:szCs w:val="24"/>
              </w:rPr>
            </w:pPr>
            <w:r>
              <w:rPr>
                <w:rFonts w:hint="eastAsia"/>
                <w:szCs w:val="24"/>
              </w:rPr>
              <w:t>/</w:t>
            </w:r>
          </w:p>
        </w:tc>
        <w:tc>
          <w:tcPr>
            <w:tcW w:w="679" w:type="dxa"/>
            <w:vAlign w:val="center"/>
          </w:tcPr>
          <w:p w14:paraId="558B6A30">
            <w:pPr>
              <w:jc w:val="center"/>
              <w:rPr>
                <w:szCs w:val="24"/>
              </w:rPr>
            </w:pPr>
            <w:r>
              <w:rPr>
                <w:rFonts w:hint="eastAsia"/>
                <w:szCs w:val="24"/>
              </w:rPr>
              <w:t>/</w:t>
            </w:r>
          </w:p>
        </w:tc>
      </w:tr>
      <w:tr w14:paraId="368024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vMerge w:val="continue"/>
            <w:vAlign w:val="center"/>
          </w:tcPr>
          <w:p w14:paraId="1AF2D4DC">
            <w:pPr>
              <w:jc w:val="center"/>
              <w:rPr>
                <w:szCs w:val="24"/>
              </w:rPr>
            </w:pPr>
          </w:p>
        </w:tc>
        <w:tc>
          <w:tcPr>
            <w:tcW w:w="2007" w:type="dxa"/>
            <w:vAlign w:val="center"/>
          </w:tcPr>
          <w:p w14:paraId="70DCCAF8">
            <w:pPr>
              <w:jc w:val="center"/>
              <w:rPr>
                <w:szCs w:val="24"/>
              </w:rPr>
            </w:pPr>
            <w:r>
              <w:rPr>
                <w:rFonts w:hint="eastAsia"/>
                <w:szCs w:val="24"/>
              </w:rPr>
              <w:t>氟化物</w:t>
            </w:r>
            <w:r>
              <w:rPr>
                <w:szCs w:val="24"/>
              </w:rPr>
              <w:t>实测浓度</w:t>
            </w:r>
            <w:r>
              <w:rPr>
                <w:rFonts w:hint="eastAsia"/>
                <w:szCs w:val="24"/>
              </w:rPr>
              <w:t>（</w:t>
            </w:r>
            <w:r>
              <w:rPr>
                <w:szCs w:val="24"/>
              </w:rPr>
              <w:t>标.干</w:t>
            </w:r>
            <w:r>
              <w:rPr>
                <w:rFonts w:hint="eastAsia"/>
                <w:szCs w:val="24"/>
              </w:rPr>
              <w:t>）</w:t>
            </w:r>
          </w:p>
        </w:tc>
        <w:tc>
          <w:tcPr>
            <w:tcW w:w="851" w:type="dxa"/>
            <w:vAlign w:val="center"/>
          </w:tcPr>
          <w:p w14:paraId="61637E22">
            <w:pPr>
              <w:jc w:val="center"/>
            </w:pPr>
            <w:r>
              <w:t>mg/m</w:t>
            </w:r>
            <w:r>
              <w:rPr>
                <w:vertAlign w:val="superscript"/>
              </w:rPr>
              <w:t>3</w:t>
            </w:r>
          </w:p>
        </w:tc>
        <w:tc>
          <w:tcPr>
            <w:tcW w:w="1098" w:type="dxa"/>
            <w:vAlign w:val="center"/>
          </w:tcPr>
          <w:p w14:paraId="40EAC9E0">
            <w:pPr>
              <w:jc w:val="center"/>
              <w:rPr>
                <w:szCs w:val="24"/>
              </w:rPr>
            </w:pPr>
            <w:r>
              <w:rPr>
                <w:rFonts w:hint="eastAsia"/>
                <w:szCs w:val="24"/>
              </w:rPr>
              <w:t>0.884</w:t>
            </w:r>
          </w:p>
        </w:tc>
        <w:tc>
          <w:tcPr>
            <w:tcW w:w="1099" w:type="dxa"/>
            <w:vAlign w:val="center"/>
          </w:tcPr>
          <w:p w14:paraId="0A4F62F5">
            <w:pPr>
              <w:jc w:val="center"/>
              <w:rPr>
                <w:szCs w:val="24"/>
              </w:rPr>
            </w:pPr>
            <w:r>
              <w:rPr>
                <w:rFonts w:hint="eastAsia"/>
                <w:szCs w:val="24"/>
              </w:rPr>
              <w:t>0.968</w:t>
            </w:r>
          </w:p>
        </w:tc>
        <w:tc>
          <w:tcPr>
            <w:tcW w:w="1099" w:type="dxa"/>
            <w:vAlign w:val="center"/>
          </w:tcPr>
          <w:p w14:paraId="2293F68C">
            <w:pPr>
              <w:jc w:val="center"/>
              <w:rPr>
                <w:szCs w:val="24"/>
              </w:rPr>
            </w:pPr>
            <w:r>
              <w:rPr>
                <w:rFonts w:hint="eastAsia"/>
                <w:szCs w:val="24"/>
              </w:rPr>
              <w:t>0.931</w:t>
            </w:r>
          </w:p>
        </w:tc>
        <w:tc>
          <w:tcPr>
            <w:tcW w:w="1099" w:type="dxa"/>
            <w:vAlign w:val="center"/>
          </w:tcPr>
          <w:p w14:paraId="21660C6A">
            <w:pPr>
              <w:jc w:val="center"/>
              <w:rPr>
                <w:szCs w:val="24"/>
              </w:rPr>
            </w:pPr>
            <w:r>
              <w:rPr>
                <w:szCs w:val="24"/>
              </w:rPr>
              <w:t>/</w:t>
            </w:r>
          </w:p>
        </w:tc>
        <w:tc>
          <w:tcPr>
            <w:tcW w:w="679" w:type="dxa"/>
            <w:vAlign w:val="center"/>
          </w:tcPr>
          <w:p w14:paraId="62F6F0C8">
            <w:pPr>
              <w:jc w:val="center"/>
              <w:rPr>
                <w:szCs w:val="24"/>
              </w:rPr>
            </w:pPr>
            <w:r>
              <w:rPr>
                <w:rFonts w:hint="eastAsia"/>
                <w:szCs w:val="24"/>
              </w:rPr>
              <w:t>/</w:t>
            </w:r>
          </w:p>
        </w:tc>
      </w:tr>
      <w:tr w14:paraId="3A092F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vMerge w:val="continue"/>
            <w:vAlign w:val="center"/>
          </w:tcPr>
          <w:p w14:paraId="6CFCF97B">
            <w:pPr>
              <w:jc w:val="center"/>
              <w:rPr>
                <w:szCs w:val="24"/>
              </w:rPr>
            </w:pPr>
          </w:p>
        </w:tc>
        <w:tc>
          <w:tcPr>
            <w:tcW w:w="2007" w:type="dxa"/>
            <w:vAlign w:val="center"/>
          </w:tcPr>
          <w:p w14:paraId="3FFBD247">
            <w:pPr>
              <w:jc w:val="center"/>
              <w:rPr>
                <w:szCs w:val="24"/>
              </w:rPr>
            </w:pPr>
            <w:r>
              <w:rPr>
                <w:rFonts w:hint="eastAsia"/>
                <w:szCs w:val="24"/>
              </w:rPr>
              <w:t>氟化物</w:t>
            </w:r>
            <w:r>
              <w:rPr>
                <w:szCs w:val="24"/>
              </w:rPr>
              <w:t>排放浓度</w:t>
            </w:r>
            <w:r>
              <w:rPr>
                <w:rFonts w:hint="eastAsia"/>
                <w:szCs w:val="24"/>
              </w:rPr>
              <w:t>（</w:t>
            </w:r>
            <w:r>
              <w:rPr>
                <w:szCs w:val="24"/>
              </w:rPr>
              <w:t>标.干</w:t>
            </w:r>
            <w:r>
              <w:rPr>
                <w:rFonts w:hint="eastAsia"/>
                <w:szCs w:val="24"/>
              </w:rPr>
              <w:t>）</w:t>
            </w:r>
          </w:p>
        </w:tc>
        <w:tc>
          <w:tcPr>
            <w:tcW w:w="851" w:type="dxa"/>
            <w:vAlign w:val="center"/>
          </w:tcPr>
          <w:p w14:paraId="3ABECB87">
            <w:pPr>
              <w:jc w:val="center"/>
            </w:pPr>
            <w:r>
              <w:t>mg/m</w:t>
            </w:r>
            <w:r>
              <w:rPr>
                <w:vertAlign w:val="superscript"/>
              </w:rPr>
              <w:t>3</w:t>
            </w:r>
          </w:p>
        </w:tc>
        <w:tc>
          <w:tcPr>
            <w:tcW w:w="1098" w:type="dxa"/>
            <w:vAlign w:val="center"/>
          </w:tcPr>
          <w:p w14:paraId="4492DCCC">
            <w:pPr>
              <w:jc w:val="center"/>
              <w:rPr>
                <w:szCs w:val="24"/>
              </w:rPr>
            </w:pPr>
            <w:r>
              <w:rPr>
                <w:rFonts w:hint="eastAsia"/>
                <w:szCs w:val="24"/>
              </w:rPr>
              <w:t>0.884</w:t>
            </w:r>
          </w:p>
        </w:tc>
        <w:tc>
          <w:tcPr>
            <w:tcW w:w="1099" w:type="dxa"/>
            <w:vAlign w:val="center"/>
          </w:tcPr>
          <w:p w14:paraId="512D6762">
            <w:pPr>
              <w:jc w:val="center"/>
              <w:rPr>
                <w:szCs w:val="24"/>
              </w:rPr>
            </w:pPr>
            <w:r>
              <w:rPr>
                <w:rFonts w:hint="eastAsia"/>
                <w:szCs w:val="24"/>
              </w:rPr>
              <w:t>0.968</w:t>
            </w:r>
          </w:p>
        </w:tc>
        <w:tc>
          <w:tcPr>
            <w:tcW w:w="1099" w:type="dxa"/>
            <w:vAlign w:val="center"/>
          </w:tcPr>
          <w:p w14:paraId="55E3FC4F">
            <w:pPr>
              <w:jc w:val="center"/>
              <w:rPr>
                <w:szCs w:val="24"/>
              </w:rPr>
            </w:pPr>
            <w:r>
              <w:rPr>
                <w:rFonts w:hint="eastAsia"/>
                <w:szCs w:val="24"/>
              </w:rPr>
              <w:t>0.931</w:t>
            </w:r>
          </w:p>
        </w:tc>
        <w:tc>
          <w:tcPr>
            <w:tcW w:w="1099" w:type="dxa"/>
            <w:vAlign w:val="center"/>
          </w:tcPr>
          <w:p w14:paraId="26533725">
            <w:pPr>
              <w:jc w:val="center"/>
              <w:rPr>
                <w:szCs w:val="24"/>
              </w:rPr>
            </w:pPr>
            <w:r>
              <w:rPr>
                <w:rFonts w:hint="eastAsia"/>
                <w:szCs w:val="24"/>
              </w:rPr>
              <w:t>0.928</w:t>
            </w:r>
          </w:p>
        </w:tc>
        <w:tc>
          <w:tcPr>
            <w:tcW w:w="679" w:type="dxa"/>
            <w:vAlign w:val="center"/>
          </w:tcPr>
          <w:p w14:paraId="6177551D">
            <w:pPr>
              <w:jc w:val="center"/>
              <w:rPr>
                <w:szCs w:val="24"/>
              </w:rPr>
            </w:pPr>
            <w:r>
              <w:rPr>
                <w:rFonts w:hint="eastAsia"/>
                <w:szCs w:val="24"/>
              </w:rPr>
              <w:t>9</w:t>
            </w:r>
          </w:p>
        </w:tc>
      </w:tr>
      <w:tr w14:paraId="6721BC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vMerge w:val="continue"/>
            <w:vAlign w:val="center"/>
          </w:tcPr>
          <w:p w14:paraId="0D60ABB3">
            <w:pPr>
              <w:jc w:val="center"/>
              <w:rPr>
                <w:szCs w:val="24"/>
              </w:rPr>
            </w:pPr>
          </w:p>
        </w:tc>
        <w:tc>
          <w:tcPr>
            <w:tcW w:w="2007" w:type="dxa"/>
            <w:vAlign w:val="center"/>
          </w:tcPr>
          <w:p w14:paraId="50A7AECB">
            <w:pPr>
              <w:jc w:val="center"/>
              <w:rPr>
                <w:szCs w:val="24"/>
              </w:rPr>
            </w:pPr>
            <w:r>
              <w:rPr>
                <w:rFonts w:hint="eastAsia"/>
                <w:szCs w:val="24"/>
              </w:rPr>
              <w:t>氟化物</w:t>
            </w:r>
            <w:r>
              <w:rPr>
                <w:szCs w:val="24"/>
              </w:rPr>
              <w:t>排放</w:t>
            </w:r>
            <w:r>
              <w:rPr>
                <w:rFonts w:hint="eastAsia"/>
                <w:szCs w:val="24"/>
              </w:rPr>
              <w:t>速率</w:t>
            </w:r>
          </w:p>
        </w:tc>
        <w:tc>
          <w:tcPr>
            <w:tcW w:w="851" w:type="dxa"/>
            <w:vAlign w:val="center"/>
          </w:tcPr>
          <w:p w14:paraId="4BE98780">
            <w:pPr>
              <w:jc w:val="center"/>
            </w:pPr>
            <w:r>
              <w:t>kg/h</w:t>
            </w:r>
          </w:p>
        </w:tc>
        <w:tc>
          <w:tcPr>
            <w:tcW w:w="1098" w:type="dxa"/>
            <w:vAlign w:val="center"/>
          </w:tcPr>
          <w:p w14:paraId="5900069A">
            <w:pPr>
              <w:jc w:val="center"/>
              <w:rPr>
                <w:szCs w:val="24"/>
              </w:rPr>
            </w:pPr>
            <w:r>
              <w:rPr>
                <w:rFonts w:hint="eastAsia"/>
                <w:szCs w:val="24"/>
              </w:rPr>
              <w:t>6.29</w:t>
            </w:r>
            <w:r>
              <w:t>×10</w:t>
            </w:r>
            <w:r>
              <w:rPr>
                <w:rFonts w:hint="eastAsia"/>
                <w:vertAlign w:val="superscript"/>
              </w:rPr>
              <w:t>-3</w:t>
            </w:r>
          </w:p>
        </w:tc>
        <w:tc>
          <w:tcPr>
            <w:tcW w:w="1099" w:type="dxa"/>
            <w:vAlign w:val="center"/>
          </w:tcPr>
          <w:p w14:paraId="710A1843">
            <w:pPr>
              <w:jc w:val="center"/>
              <w:rPr>
                <w:szCs w:val="24"/>
              </w:rPr>
            </w:pPr>
            <w:r>
              <w:rPr>
                <w:rFonts w:hint="eastAsia"/>
                <w:szCs w:val="24"/>
              </w:rPr>
              <w:t>6.63</w:t>
            </w:r>
            <w:r>
              <w:t>×10</w:t>
            </w:r>
            <w:r>
              <w:rPr>
                <w:rFonts w:hint="eastAsia"/>
                <w:vertAlign w:val="superscript"/>
              </w:rPr>
              <w:t>-3</w:t>
            </w:r>
          </w:p>
        </w:tc>
        <w:tc>
          <w:tcPr>
            <w:tcW w:w="1099" w:type="dxa"/>
            <w:vAlign w:val="center"/>
          </w:tcPr>
          <w:p w14:paraId="2B51A5C5">
            <w:pPr>
              <w:jc w:val="center"/>
              <w:rPr>
                <w:szCs w:val="24"/>
              </w:rPr>
            </w:pPr>
            <w:r>
              <w:rPr>
                <w:rFonts w:hint="eastAsia"/>
                <w:szCs w:val="24"/>
              </w:rPr>
              <w:t>6.23</w:t>
            </w:r>
            <w:r>
              <w:t>×10</w:t>
            </w:r>
            <w:r>
              <w:rPr>
                <w:rFonts w:hint="eastAsia"/>
                <w:vertAlign w:val="superscript"/>
              </w:rPr>
              <w:t>-3</w:t>
            </w:r>
          </w:p>
        </w:tc>
        <w:tc>
          <w:tcPr>
            <w:tcW w:w="1099" w:type="dxa"/>
            <w:vAlign w:val="center"/>
          </w:tcPr>
          <w:p w14:paraId="765151E7">
            <w:pPr>
              <w:jc w:val="center"/>
              <w:rPr>
                <w:szCs w:val="24"/>
              </w:rPr>
            </w:pPr>
            <w:r>
              <w:rPr>
                <w:rFonts w:hint="eastAsia"/>
                <w:szCs w:val="24"/>
              </w:rPr>
              <w:t>6.38</w:t>
            </w:r>
            <w:r>
              <w:t>×10</w:t>
            </w:r>
            <w:r>
              <w:rPr>
                <w:rFonts w:hint="eastAsia"/>
                <w:vertAlign w:val="superscript"/>
              </w:rPr>
              <w:t>-3</w:t>
            </w:r>
          </w:p>
        </w:tc>
        <w:tc>
          <w:tcPr>
            <w:tcW w:w="679" w:type="dxa"/>
            <w:vAlign w:val="center"/>
          </w:tcPr>
          <w:p w14:paraId="28BFF4DE">
            <w:pPr>
              <w:jc w:val="center"/>
              <w:rPr>
                <w:szCs w:val="24"/>
              </w:rPr>
            </w:pPr>
            <w:r>
              <w:rPr>
                <w:rFonts w:hint="eastAsia"/>
                <w:szCs w:val="24"/>
              </w:rPr>
              <w:t>0.17</w:t>
            </w:r>
          </w:p>
        </w:tc>
      </w:tr>
      <w:tr w14:paraId="4D9136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vMerge w:val="restart"/>
            <w:vAlign w:val="center"/>
          </w:tcPr>
          <w:p w14:paraId="5AF59FD2">
            <w:pPr>
              <w:jc w:val="center"/>
              <w:rPr>
                <w:szCs w:val="24"/>
              </w:rPr>
            </w:pPr>
            <w:r>
              <w:rPr>
                <w:rFonts w:hint="eastAsia"/>
                <w:szCs w:val="24"/>
              </w:rPr>
              <w:t>监测日期</w:t>
            </w:r>
          </w:p>
        </w:tc>
        <w:tc>
          <w:tcPr>
            <w:tcW w:w="2007" w:type="dxa"/>
            <w:vMerge w:val="restart"/>
            <w:vAlign w:val="center"/>
          </w:tcPr>
          <w:p w14:paraId="1C01143B">
            <w:pPr>
              <w:jc w:val="center"/>
              <w:rPr>
                <w:szCs w:val="24"/>
              </w:rPr>
            </w:pPr>
            <w:r>
              <w:rPr>
                <w:szCs w:val="24"/>
              </w:rPr>
              <w:t>项目</w:t>
            </w:r>
          </w:p>
        </w:tc>
        <w:tc>
          <w:tcPr>
            <w:tcW w:w="851" w:type="dxa"/>
            <w:vMerge w:val="restart"/>
            <w:vAlign w:val="center"/>
          </w:tcPr>
          <w:p w14:paraId="7071E636">
            <w:pPr>
              <w:jc w:val="center"/>
              <w:rPr>
                <w:szCs w:val="24"/>
              </w:rPr>
            </w:pPr>
            <w:r>
              <w:rPr>
                <w:szCs w:val="24"/>
              </w:rPr>
              <w:t>单位</w:t>
            </w:r>
          </w:p>
        </w:tc>
        <w:tc>
          <w:tcPr>
            <w:tcW w:w="3296" w:type="dxa"/>
            <w:gridSpan w:val="3"/>
            <w:vAlign w:val="center"/>
          </w:tcPr>
          <w:p w14:paraId="5C998A18">
            <w:pPr>
              <w:jc w:val="center"/>
              <w:rPr>
                <w:szCs w:val="24"/>
              </w:rPr>
            </w:pPr>
            <w:r>
              <w:rPr>
                <w:rFonts w:hint="eastAsia"/>
                <w:szCs w:val="24"/>
              </w:rPr>
              <w:t>监测点位及编号</w:t>
            </w:r>
          </w:p>
        </w:tc>
        <w:tc>
          <w:tcPr>
            <w:tcW w:w="1099" w:type="dxa"/>
            <w:vMerge w:val="restart"/>
            <w:vAlign w:val="center"/>
          </w:tcPr>
          <w:p w14:paraId="0953AAE4">
            <w:pPr>
              <w:jc w:val="center"/>
              <w:rPr>
                <w:szCs w:val="24"/>
              </w:rPr>
            </w:pPr>
            <w:r>
              <w:rPr>
                <w:rFonts w:hint="eastAsia"/>
                <w:szCs w:val="24"/>
              </w:rPr>
              <w:t>平均值</w:t>
            </w:r>
          </w:p>
        </w:tc>
        <w:tc>
          <w:tcPr>
            <w:tcW w:w="679" w:type="dxa"/>
            <w:vMerge w:val="restart"/>
            <w:vAlign w:val="center"/>
          </w:tcPr>
          <w:p w14:paraId="69CF9D14">
            <w:pPr>
              <w:jc w:val="center"/>
              <w:rPr>
                <w:szCs w:val="24"/>
              </w:rPr>
            </w:pPr>
            <w:r>
              <w:rPr>
                <w:rFonts w:hint="eastAsia"/>
                <w:szCs w:val="24"/>
              </w:rPr>
              <w:t>排放</w:t>
            </w:r>
          </w:p>
          <w:p w14:paraId="5CCA0791">
            <w:pPr>
              <w:jc w:val="center"/>
              <w:rPr>
                <w:szCs w:val="24"/>
              </w:rPr>
            </w:pPr>
            <w:r>
              <w:rPr>
                <w:rFonts w:hint="eastAsia"/>
                <w:szCs w:val="24"/>
              </w:rPr>
              <w:t>限值</w:t>
            </w:r>
          </w:p>
        </w:tc>
      </w:tr>
      <w:tr w14:paraId="796163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vMerge w:val="continue"/>
            <w:vAlign w:val="center"/>
          </w:tcPr>
          <w:p w14:paraId="56F0D467">
            <w:pPr>
              <w:jc w:val="center"/>
              <w:rPr>
                <w:szCs w:val="24"/>
              </w:rPr>
            </w:pPr>
          </w:p>
        </w:tc>
        <w:tc>
          <w:tcPr>
            <w:tcW w:w="2007" w:type="dxa"/>
            <w:vMerge w:val="continue"/>
            <w:vAlign w:val="center"/>
          </w:tcPr>
          <w:p w14:paraId="70116382">
            <w:pPr>
              <w:jc w:val="center"/>
              <w:rPr>
                <w:szCs w:val="24"/>
              </w:rPr>
            </w:pPr>
          </w:p>
        </w:tc>
        <w:tc>
          <w:tcPr>
            <w:tcW w:w="851" w:type="dxa"/>
            <w:vMerge w:val="continue"/>
            <w:vAlign w:val="center"/>
          </w:tcPr>
          <w:p w14:paraId="6623683D">
            <w:pPr>
              <w:jc w:val="center"/>
              <w:rPr>
                <w:szCs w:val="24"/>
              </w:rPr>
            </w:pPr>
          </w:p>
        </w:tc>
        <w:tc>
          <w:tcPr>
            <w:tcW w:w="1098" w:type="dxa"/>
            <w:vAlign w:val="center"/>
          </w:tcPr>
          <w:p w14:paraId="7762C94B">
            <w:pPr>
              <w:jc w:val="center"/>
              <w:rPr>
                <w:spacing w:val="-8"/>
              </w:rPr>
            </w:pPr>
            <w:r>
              <w:rPr>
                <w:spacing w:val="-8"/>
              </w:rPr>
              <w:t>25HY0004</w:t>
            </w:r>
            <w:r>
              <w:rPr>
                <w:rFonts w:hint="eastAsia"/>
                <w:spacing w:val="-8"/>
              </w:rPr>
              <w:t>FQ2</w:t>
            </w:r>
            <w:r>
              <w:rPr>
                <w:spacing w:val="-8"/>
              </w:rPr>
              <w:t>-</w:t>
            </w:r>
            <w:r>
              <w:rPr>
                <w:rFonts w:hint="eastAsia"/>
                <w:spacing w:val="-8"/>
              </w:rPr>
              <w:t>2</w:t>
            </w:r>
            <w:r>
              <w:rPr>
                <w:spacing w:val="-8"/>
              </w:rPr>
              <w:t>-1</w:t>
            </w:r>
          </w:p>
        </w:tc>
        <w:tc>
          <w:tcPr>
            <w:tcW w:w="1099" w:type="dxa"/>
            <w:vAlign w:val="center"/>
          </w:tcPr>
          <w:p w14:paraId="23D139FC">
            <w:pPr>
              <w:jc w:val="center"/>
              <w:rPr>
                <w:spacing w:val="-8"/>
              </w:rPr>
            </w:pPr>
            <w:r>
              <w:rPr>
                <w:spacing w:val="-8"/>
              </w:rPr>
              <w:t>25HY0004</w:t>
            </w:r>
            <w:r>
              <w:rPr>
                <w:rFonts w:hint="eastAsia"/>
                <w:spacing w:val="-8"/>
              </w:rPr>
              <w:t>FQ2</w:t>
            </w:r>
            <w:r>
              <w:rPr>
                <w:spacing w:val="-8"/>
              </w:rPr>
              <w:t>-</w:t>
            </w:r>
            <w:r>
              <w:rPr>
                <w:rFonts w:hint="eastAsia"/>
                <w:spacing w:val="-8"/>
              </w:rPr>
              <w:t>2</w:t>
            </w:r>
            <w:r>
              <w:rPr>
                <w:spacing w:val="-8"/>
              </w:rPr>
              <w:t>-</w:t>
            </w:r>
            <w:r>
              <w:rPr>
                <w:rFonts w:hint="eastAsia"/>
                <w:spacing w:val="-8"/>
              </w:rPr>
              <w:t>2</w:t>
            </w:r>
          </w:p>
        </w:tc>
        <w:tc>
          <w:tcPr>
            <w:tcW w:w="1099" w:type="dxa"/>
            <w:vAlign w:val="center"/>
          </w:tcPr>
          <w:p w14:paraId="2CAA3637">
            <w:pPr>
              <w:jc w:val="center"/>
              <w:rPr>
                <w:spacing w:val="-8"/>
              </w:rPr>
            </w:pPr>
            <w:r>
              <w:rPr>
                <w:spacing w:val="-8"/>
              </w:rPr>
              <w:t>25HY0004</w:t>
            </w:r>
            <w:r>
              <w:rPr>
                <w:rFonts w:hint="eastAsia"/>
                <w:spacing w:val="-8"/>
              </w:rPr>
              <w:t>FQ2</w:t>
            </w:r>
            <w:r>
              <w:rPr>
                <w:spacing w:val="-8"/>
              </w:rPr>
              <w:t>-</w:t>
            </w:r>
            <w:r>
              <w:rPr>
                <w:rFonts w:hint="eastAsia"/>
                <w:spacing w:val="-8"/>
              </w:rPr>
              <w:t>2</w:t>
            </w:r>
            <w:r>
              <w:rPr>
                <w:spacing w:val="-8"/>
              </w:rPr>
              <w:t>-</w:t>
            </w:r>
            <w:r>
              <w:rPr>
                <w:rFonts w:hint="eastAsia"/>
                <w:spacing w:val="-8"/>
              </w:rPr>
              <w:t>3</w:t>
            </w:r>
          </w:p>
        </w:tc>
        <w:tc>
          <w:tcPr>
            <w:tcW w:w="1099" w:type="dxa"/>
            <w:vMerge w:val="continue"/>
            <w:vAlign w:val="center"/>
          </w:tcPr>
          <w:p w14:paraId="18EEA244">
            <w:pPr>
              <w:jc w:val="center"/>
              <w:rPr>
                <w:szCs w:val="24"/>
              </w:rPr>
            </w:pPr>
          </w:p>
        </w:tc>
        <w:tc>
          <w:tcPr>
            <w:tcW w:w="679" w:type="dxa"/>
            <w:vMerge w:val="continue"/>
            <w:vAlign w:val="center"/>
          </w:tcPr>
          <w:p w14:paraId="15D3CCB8">
            <w:pPr>
              <w:jc w:val="center"/>
              <w:rPr>
                <w:szCs w:val="24"/>
              </w:rPr>
            </w:pPr>
          </w:p>
        </w:tc>
      </w:tr>
      <w:tr w14:paraId="1B4B1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643" w:type="dxa"/>
            <w:vMerge w:val="restart"/>
            <w:vAlign w:val="center"/>
          </w:tcPr>
          <w:p w14:paraId="282B13C8">
            <w:pPr>
              <w:jc w:val="center"/>
              <w:rPr>
                <w:szCs w:val="24"/>
              </w:rPr>
            </w:pPr>
            <w:r>
              <w:rPr>
                <w:rFonts w:hint="eastAsia"/>
                <w:szCs w:val="24"/>
              </w:rPr>
              <w:t>20250425</w:t>
            </w:r>
          </w:p>
        </w:tc>
        <w:tc>
          <w:tcPr>
            <w:tcW w:w="2007" w:type="dxa"/>
            <w:vAlign w:val="center"/>
          </w:tcPr>
          <w:p w14:paraId="17A2A9EA">
            <w:pPr>
              <w:jc w:val="center"/>
              <w:rPr>
                <w:szCs w:val="24"/>
              </w:rPr>
            </w:pPr>
            <w:r>
              <w:t>烟气流速</w:t>
            </w:r>
          </w:p>
        </w:tc>
        <w:tc>
          <w:tcPr>
            <w:tcW w:w="851" w:type="dxa"/>
            <w:vAlign w:val="center"/>
          </w:tcPr>
          <w:p w14:paraId="565D29B5">
            <w:pPr>
              <w:jc w:val="center"/>
              <w:rPr>
                <w:szCs w:val="24"/>
              </w:rPr>
            </w:pPr>
            <w:r>
              <w:t>m/s</w:t>
            </w:r>
          </w:p>
        </w:tc>
        <w:tc>
          <w:tcPr>
            <w:tcW w:w="1098" w:type="dxa"/>
            <w:vAlign w:val="center"/>
          </w:tcPr>
          <w:p w14:paraId="4F15EB55">
            <w:pPr>
              <w:jc w:val="center"/>
              <w:rPr>
                <w:szCs w:val="24"/>
              </w:rPr>
            </w:pPr>
            <w:r>
              <w:rPr>
                <w:rFonts w:hint="eastAsia"/>
                <w:szCs w:val="24"/>
              </w:rPr>
              <w:t>7.8</w:t>
            </w:r>
          </w:p>
        </w:tc>
        <w:tc>
          <w:tcPr>
            <w:tcW w:w="1099" w:type="dxa"/>
            <w:vAlign w:val="center"/>
          </w:tcPr>
          <w:p w14:paraId="16F1E8E8">
            <w:pPr>
              <w:jc w:val="center"/>
              <w:rPr>
                <w:szCs w:val="24"/>
              </w:rPr>
            </w:pPr>
            <w:r>
              <w:rPr>
                <w:rFonts w:hint="eastAsia"/>
                <w:szCs w:val="24"/>
              </w:rPr>
              <w:t>8.0</w:t>
            </w:r>
          </w:p>
        </w:tc>
        <w:tc>
          <w:tcPr>
            <w:tcW w:w="1099" w:type="dxa"/>
            <w:vAlign w:val="center"/>
          </w:tcPr>
          <w:p w14:paraId="5980DBA1">
            <w:pPr>
              <w:jc w:val="center"/>
              <w:rPr>
                <w:szCs w:val="24"/>
              </w:rPr>
            </w:pPr>
            <w:r>
              <w:rPr>
                <w:rFonts w:hint="eastAsia"/>
                <w:szCs w:val="24"/>
              </w:rPr>
              <w:t>7.6</w:t>
            </w:r>
          </w:p>
        </w:tc>
        <w:tc>
          <w:tcPr>
            <w:tcW w:w="1099" w:type="dxa"/>
            <w:vAlign w:val="center"/>
          </w:tcPr>
          <w:p w14:paraId="3F76970A">
            <w:pPr>
              <w:jc w:val="center"/>
              <w:rPr>
                <w:szCs w:val="24"/>
              </w:rPr>
            </w:pPr>
            <w:r>
              <w:rPr>
                <w:rFonts w:hint="eastAsia"/>
                <w:szCs w:val="24"/>
              </w:rPr>
              <w:t>/</w:t>
            </w:r>
          </w:p>
        </w:tc>
        <w:tc>
          <w:tcPr>
            <w:tcW w:w="679" w:type="dxa"/>
            <w:vAlign w:val="center"/>
          </w:tcPr>
          <w:p w14:paraId="438D3585">
            <w:pPr>
              <w:jc w:val="center"/>
              <w:rPr>
                <w:szCs w:val="24"/>
              </w:rPr>
            </w:pPr>
            <w:r>
              <w:rPr>
                <w:rFonts w:hint="eastAsia"/>
                <w:szCs w:val="24"/>
              </w:rPr>
              <w:t>/</w:t>
            </w:r>
          </w:p>
        </w:tc>
      </w:tr>
      <w:tr w14:paraId="694FD9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vMerge w:val="continue"/>
            <w:vAlign w:val="center"/>
          </w:tcPr>
          <w:p w14:paraId="2A90DF59">
            <w:pPr>
              <w:jc w:val="center"/>
              <w:rPr>
                <w:szCs w:val="24"/>
              </w:rPr>
            </w:pPr>
          </w:p>
        </w:tc>
        <w:tc>
          <w:tcPr>
            <w:tcW w:w="2007" w:type="dxa"/>
            <w:vAlign w:val="center"/>
          </w:tcPr>
          <w:p w14:paraId="12D52CCE">
            <w:pPr>
              <w:jc w:val="center"/>
              <w:rPr>
                <w:szCs w:val="24"/>
              </w:rPr>
            </w:pPr>
            <w:r>
              <w:rPr>
                <w:szCs w:val="24"/>
              </w:rPr>
              <w:t>烟气流量</w:t>
            </w:r>
            <w:r>
              <w:rPr>
                <w:rFonts w:hint="eastAsia"/>
                <w:szCs w:val="24"/>
              </w:rPr>
              <w:t>（</w:t>
            </w:r>
            <w:r>
              <w:rPr>
                <w:szCs w:val="24"/>
              </w:rPr>
              <w:t>标.干</w:t>
            </w:r>
            <w:r>
              <w:rPr>
                <w:rFonts w:hint="eastAsia"/>
                <w:szCs w:val="24"/>
              </w:rPr>
              <w:t>）</w:t>
            </w:r>
          </w:p>
        </w:tc>
        <w:tc>
          <w:tcPr>
            <w:tcW w:w="851" w:type="dxa"/>
            <w:vAlign w:val="center"/>
          </w:tcPr>
          <w:p w14:paraId="17249BA7">
            <w:pPr>
              <w:jc w:val="center"/>
              <w:rPr>
                <w:szCs w:val="24"/>
              </w:rPr>
            </w:pPr>
            <w:r>
              <w:t>m</w:t>
            </w:r>
            <w:r>
              <w:rPr>
                <w:vertAlign w:val="superscript"/>
              </w:rPr>
              <w:t>3</w:t>
            </w:r>
            <w:r>
              <w:t>/h</w:t>
            </w:r>
          </w:p>
        </w:tc>
        <w:tc>
          <w:tcPr>
            <w:tcW w:w="1098" w:type="dxa"/>
            <w:vAlign w:val="center"/>
          </w:tcPr>
          <w:p w14:paraId="72740DB6">
            <w:pPr>
              <w:jc w:val="center"/>
              <w:rPr>
                <w:szCs w:val="24"/>
              </w:rPr>
            </w:pPr>
            <w:r>
              <w:rPr>
                <w:rFonts w:hint="eastAsia"/>
                <w:szCs w:val="24"/>
              </w:rPr>
              <w:t>7.04</w:t>
            </w:r>
            <w:r>
              <w:t>×10</w:t>
            </w:r>
            <w:r>
              <w:rPr>
                <w:rFonts w:hint="eastAsia"/>
                <w:vertAlign w:val="superscript"/>
              </w:rPr>
              <w:t>3</w:t>
            </w:r>
          </w:p>
        </w:tc>
        <w:tc>
          <w:tcPr>
            <w:tcW w:w="1099" w:type="dxa"/>
            <w:vAlign w:val="center"/>
          </w:tcPr>
          <w:p w14:paraId="693EFA39">
            <w:pPr>
              <w:jc w:val="center"/>
              <w:rPr>
                <w:szCs w:val="24"/>
              </w:rPr>
            </w:pPr>
            <w:r>
              <w:rPr>
                <w:rFonts w:hint="eastAsia"/>
                <w:szCs w:val="24"/>
              </w:rPr>
              <w:t>7.22</w:t>
            </w:r>
            <w:r>
              <w:t>×10</w:t>
            </w:r>
            <w:r>
              <w:rPr>
                <w:rFonts w:hint="eastAsia"/>
                <w:vertAlign w:val="superscript"/>
              </w:rPr>
              <w:t>3</w:t>
            </w:r>
          </w:p>
        </w:tc>
        <w:tc>
          <w:tcPr>
            <w:tcW w:w="1099" w:type="dxa"/>
            <w:vAlign w:val="center"/>
          </w:tcPr>
          <w:p w14:paraId="30124755">
            <w:pPr>
              <w:jc w:val="center"/>
              <w:rPr>
                <w:szCs w:val="24"/>
              </w:rPr>
            </w:pPr>
            <w:r>
              <w:rPr>
                <w:rFonts w:hint="eastAsia"/>
                <w:szCs w:val="24"/>
              </w:rPr>
              <w:t>6.84</w:t>
            </w:r>
            <w:r>
              <w:t>×10</w:t>
            </w:r>
            <w:r>
              <w:rPr>
                <w:rFonts w:hint="eastAsia"/>
                <w:vertAlign w:val="superscript"/>
              </w:rPr>
              <w:t>3</w:t>
            </w:r>
          </w:p>
        </w:tc>
        <w:tc>
          <w:tcPr>
            <w:tcW w:w="1099" w:type="dxa"/>
            <w:vAlign w:val="center"/>
          </w:tcPr>
          <w:p w14:paraId="48474D90">
            <w:pPr>
              <w:jc w:val="center"/>
              <w:rPr>
                <w:szCs w:val="24"/>
              </w:rPr>
            </w:pPr>
            <w:r>
              <w:rPr>
                <w:rFonts w:hint="eastAsia"/>
                <w:szCs w:val="24"/>
              </w:rPr>
              <w:t>/</w:t>
            </w:r>
          </w:p>
        </w:tc>
        <w:tc>
          <w:tcPr>
            <w:tcW w:w="679" w:type="dxa"/>
            <w:vAlign w:val="center"/>
          </w:tcPr>
          <w:p w14:paraId="7277644D">
            <w:pPr>
              <w:jc w:val="center"/>
              <w:rPr>
                <w:szCs w:val="24"/>
              </w:rPr>
            </w:pPr>
            <w:r>
              <w:rPr>
                <w:rFonts w:hint="eastAsia"/>
                <w:szCs w:val="24"/>
              </w:rPr>
              <w:t>/</w:t>
            </w:r>
          </w:p>
        </w:tc>
      </w:tr>
      <w:tr w14:paraId="750F68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vMerge w:val="continue"/>
            <w:vAlign w:val="center"/>
          </w:tcPr>
          <w:p w14:paraId="37619DA7">
            <w:pPr>
              <w:jc w:val="center"/>
              <w:rPr>
                <w:szCs w:val="24"/>
              </w:rPr>
            </w:pPr>
          </w:p>
        </w:tc>
        <w:tc>
          <w:tcPr>
            <w:tcW w:w="2007" w:type="dxa"/>
            <w:vAlign w:val="center"/>
          </w:tcPr>
          <w:p w14:paraId="36E9CFA8">
            <w:pPr>
              <w:jc w:val="center"/>
              <w:rPr>
                <w:szCs w:val="24"/>
              </w:rPr>
            </w:pPr>
            <w:r>
              <w:rPr>
                <w:rFonts w:hint="eastAsia"/>
                <w:szCs w:val="24"/>
              </w:rPr>
              <w:t>氟化物</w:t>
            </w:r>
            <w:r>
              <w:rPr>
                <w:szCs w:val="24"/>
              </w:rPr>
              <w:t>实测浓度</w:t>
            </w:r>
            <w:r>
              <w:rPr>
                <w:rFonts w:hint="eastAsia"/>
                <w:szCs w:val="24"/>
              </w:rPr>
              <w:t>（</w:t>
            </w:r>
            <w:r>
              <w:rPr>
                <w:szCs w:val="24"/>
              </w:rPr>
              <w:t>标.干</w:t>
            </w:r>
            <w:r>
              <w:rPr>
                <w:rFonts w:hint="eastAsia"/>
                <w:szCs w:val="24"/>
              </w:rPr>
              <w:t>）</w:t>
            </w:r>
          </w:p>
        </w:tc>
        <w:tc>
          <w:tcPr>
            <w:tcW w:w="851" w:type="dxa"/>
            <w:vAlign w:val="center"/>
          </w:tcPr>
          <w:p w14:paraId="42D03E84">
            <w:pPr>
              <w:jc w:val="center"/>
            </w:pPr>
            <w:r>
              <w:t>mg/m</w:t>
            </w:r>
            <w:r>
              <w:rPr>
                <w:vertAlign w:val="superscript"/>
              </w:rPr>
              <w:t>3</w:t>
            </w:r>
          </w:p>
        </w:tc>
        <w:tc>
          <w:tcPr>
            <w:tcW w:w="1098" w:type="dxa"/>
            <w:vAlign w:val="center"/>
          </w:tcPr>
          <w:p w14:paraId="49FB29AA">
            <w:pPr>
              <w:jc w:val="center"/>
              <w:rPr>
                <w:szCs w:val="24"/>
              </w:rPr>
            </w:pPr>
            <w:r>
              <w:rPr>
                <w:rFonts w:hint="eastAsia"/>
                <w:szCs w:val="24"/>
              </w:rPr>
              <w:t>0.930</w:t>
            </w:r>
          </w:p>
        </w:tc>
        <w:tc>
          <w:tcPr>
            <w:tcW w:w="1099" w:type="dxa"/>
            <w:vAlign w:val="center"/>
          </w:tcPr>
          <w:p w14:paraId="437A452F">
            <w:pPr>
              <w:jc w:val="center"/>
              <w:rPr>
                <w:szCs w:val="24"/>
              </w:rPr>
            </w:pPr>
            <w:r>
              <w:rPr>
                <w:rFonts w:hint="eastAsia"/>
                <w:szCs w:val="24"/>
              </w:rPr>
              <w:t>0.898</w:t>
            </w:r>
          </w:p>
        </w:tc>
        <w:tc>
          <w:tcPr>
            <w:tcW w:w="1099" w:type="dxa"/>
            <w:vAlign w:val="center"/>
          </w:tcPr>
          <w:p w14:paraId="44BD0187">
            <w:pPr>
              <w:jc w:val="center"/>
              <w:rPr>
                <w:szCs w:val="24"/>
              </w:rPr>
            </w:pPr>
            <w:r>
              <w:rPr>
                <w:rFonts w:hint="eastAsia"/>
                <w:szCs w:val="24"/>
              </w:rPr>
              <w:t>0.903</w:t>
            </w:r>
          </w:p>
        </w:tc>
        <w:tc>
          <w:tcPr>
            <w:tcW w:w="1099" w:type="dxa"/>
            <w:vAlign w:val="center"/>
          </w:tcPr>
          <w:p w14:paraId="21F06FA3">
            <w:pPr>
              <w:jc w:val="center"/>
              <w:rPr>
                <w:szCs w:val="24"/>
              </w:rPr>
            </w:pPr>
            <w:r>
              <w:rPr>
                <w:szCs w:val="24"/>
              </w:rPr>
              <w:t>/</w:t>
            </w:r>
          </w:p>
        </w:tc>
        <w:tc>
          <w:tcPr>
            <w:tcW w:w="679" w:type="dxa"/>
            <w:vAlign w:val="center"/>
          </w:tcPr>
          <w:p w14:paraId="1FF780A8">
            <w:pPr>
              <w:jc w:val="center"/>
              <w:rPr>
                <w:szCs w:val="24"/>
              </w:rPr>
            </w:pPr>
            <w:r>
              <w:rPr>
                <w:rFonts w:hint="eastAsia"/>
                <w:szCs w:val="24"/>
              </w:rPr>
              <w:t>/</w:t>
            </w:r>
          </w:p>
        </w:tc>
      </w:tr>
      <w:tr w14:paraId="22F201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vMerge w:val="continue"/>
            <w:vAlign w:val="center"/>
          </w:tcPr>
          <w:p w14:paraId="6B2C9EEE">
            <w:pPr>
              <w:jc w:val="center"/>
              <w:rPr>
                <w:szCs w:val="24"/>
              </w:rPr>
            </w:pPr>
          </w:p>
        </w:tc>
        <w:tc>
          <w:tcPr>
            <w:tcW w:w="2007" w:type="dxa"/>
            <w:vAlign w:val="center"/>
          </w:tcPr>
          <w:p w14:paraId="29D9F94A">
            <w:pPr>
              <w:jc w:val="center"/>
              <w:rPr>
                <w:szCs w:val="24"/>
              </w:rPr>
            </w:pPr>
            <w:r>
              <w:rPr>
                <w:rFonts w:hint="eastAsia"/>
                <w:szCs w:val="24"/>
              </w:rPr>
              <w:t>氟化物</w:t>
            </w:r>
            <w:r>
              <w:rPr>
                <w:szCs w:val="24"/>
              </w:rPr>
              <w:t>排放浓度</w:t>
            </w:r>
            <w:r>
              <w:rPr>
                <w:rFonts w:hint="eastAsia"/>
                <w:szCs w:val="24"/>
              </w:rPr>
              <w:t>（</w:t>
            </w:r>
            <w:r>
              <w:rPr>
                <w:szCs w:val="24"/>
              </w:rPr>
              <w:t>标.干</w:t>
            </w:r>
            <w:r>
              <w:rPr>
                <w:rFonts w:hint="eastAsia"/>
                <w:szCs w:val="24"/>
              </w:rPr>
              <w:t>）</w:t>
            </w:r>
          </w:p>
        </w:tc>
        <w:tc>
          <w:tcPr>
            <w:tcW w:w="851" w:type="dxa"/>
            <w:vAlign w:val="center"/>
          </w:tcPr>
          <w:p w14:paraId="2A3D43DB">
            <w:pPr>
              <w:jc w:val="center"/>
            </w:pPr>
            <w:r>
              <w:t>mg/m</w:t>
            </w:r>
            <w:r>
              <w:rPr>
                <w:vertAlign w:val="superscript"/>
              </w:rPr>
              <w:t>3</w:t>
            </w:r>
          </w:p>
        </w:tc>
        <w:tc>
          <w:tcPr>
            <w:tcW w:w="1098" w:type="dxa"/>
            <w:vAlign w:val="center"/>
          </w:tcPr>
          <w:p w14:paraId="0B60F656">
            <w:pPr>
              <w:jc w:val="center"/>
              <w:rPr>
                <w:szCs w:val="24"/>
              </w:rPr>
            </w:pPr>
            <w:r>
              <w:rPr>
                <w:rFonts w:hint="eastAsia"/>
                <w:szCs w:val="24"/>
              </w:rPr>
              <w:t>0.930</w:t>
            </w:r>
          </w:p>
        </w:tc>
        <w:tc>
          <w:tcPr>
            <w:tcW w:w="1099" w:type="dxa"/>
            <w:vAlign w:val="center"/>
          </w:tcPr>
          <w:p w14:paraId="21D7098D">
            <w:pPr>
              <w:jc w:val="center"/>
              <w:rPr>
                <w:szCs w:val="24"/>
              </w:rPr>
            </w:pPr>
            <w:r>
              <w:rPr>
                <w:rFonts w:hint="eastAsia"/>
                <w:szCs w:val="24"/>
              </w:rPr>
              <w:t>0.898</w:t>
            </w:r>
          </w:p>
        </w:tc>
        <w:tc>
          <w:tcPr>
            <w:tcW w:w="1099" w:type="dxa"/>
            <w:vAlign w:val="center"/>
          </w:tcPr>
          <w:p w14:paraId="51962490">
            <w:pPr>
              <w:jc w:val="center"/>
              <w:rPr>
                <w:szCs w:val="24"/>
              </w:rPr>
            </w:pPr>
            <w:r>
              <w:rPr>
                <w:rFonts w:hint="eastAsia"/>
                <w:szCs w:val="24"/>
              </w:rPr>
              <w:t>0.903</w:t>
            </w:r>
          </w:p>
        </w:tc>
        <w:tc>
          <w:tcPr>
            <w:tcW w:w="1099" w:type="dxa"/>
            <w:vAlign w:val="center"/>
          </w:tcPr>
          <w:p w14:paraId="080586F3">
            <w:pPr>
              <w:jc w:val="center"/>
              <w:rPr>
                <w:szCs w:val="24"/>
              </w:rPr>
            </w:pPr>
            <w:r>
              <w:rPr>
                <w:rFonts w:hint="eastAsia"/>
                <w:szCs w:val="24"/>
              </w:rPr>
              <w:t>0.910</w:t>
            </w:r>
          </w:p>
        </w:tc>
        <w:tc>
          <w:tcPr>
            <w:tcW w:w="679" w:type="dxa"/>
            <w:vAlign w:val="center"/>
          </w:tcPr>
          <w:p w14:paraId="5716DB90">
            <w:pPr>
              <w:jc w:val="center"/>
              <w:rPr>
                <w:szCs w:val="24"/>
              </w:rPr>
            </w:pPr>
            <w:r>
              <w:rPr>
                <w:rFonts w:hint="eastAsia"/>
                <w:szCs w:val="24"/>
              </w:rPr>
              <w:t>9</w:t>
            </w:r>
          </w:p>
        </w:tc>
      </w:tr>
      <w:tr w14:paraId="794F6C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643" w:type="dxa"/>
            <w:vMerge w:val="continue"/>
            <w:vAlign w:val="center"/>
          </w:tcPr>
          <w:p w14:paraId="39304B57">
            <w:pPr>
              <w:jc w:val="center"/>
              <w:rPr>
                <w:szCs w:val="24"/>
              </w:rPr>
            </w:pPr>
          </w:p>
        </w:tc>
        <w:tc>
          <w:tcPr>
            <w:tcW w:w="2007" w:type="dxa"/>
            <w:vAlign w:val="center"/>
          </w:tcPr>
          <w:p w14:paraId="0CC71928">
            <w:pPr>
              <w:jc w:val="center"/>
              <w:rPr>
                <w:szCs w:val="24"/>
              </w:rPr>
            </w:pPr>
            <w:r>
              <w:rPr>
                <w:rFonts w:hint="eastAsia"/>
                <w:szCs w:val="24"/>
              </w:rPr>
              <w:t>氟化物</w:t>
            </w:r>
            <w:r>
              <w:rPr>
                <w:szCs w:val="24"/>
              </w:rPr>
              <w:t>排放</w:t>
            </w:r>
            <w:r>
              <w:rPr>
                <w:rFonts w:hint="eastAsia"/>
                <w:szCs w:val="24"/>
              </w:rPr>
              <w:t>速率</w:t>
            </w:r>
          </w:p>
        </w:tc>
        <w:tc>
          <w:tcPr>
            <w:tcW w:w="851" w:type="dxa"/>
            <w:vAlign w:val="center"/>
          </w:tcPr>
          <w:p w14:paraId="4D1CD11F">
            <w:pPr>
              <w:jc w:val="center"/>
            </w:pPr>
            <w:r>
              <w:t>kg/h</w:t>
            </w:r>
          </w:p>
        </w:tc>
        <w:tc>
          <w:tcPr>
            <w:tcW w:w="1098" w:type="dxa"/>
            <w:vAlign w:val="center"/>
          </w:tcPr>
          <w:p w14:paraId="658F77F0">
            <w:pPr>
              <w:jc w:val="center"/>
              <w:rPr>
                <w:szCs w:val="24"/>
              </w:rPr>
            </w:pPr>
            <w:r>
              <w:rPr>
                <w:rFonts w:hint="eastAsia"/>
                <w:szCs w:val="24"/>
              </w:rPr>
              <w:t>6.55</w:t>
            </w:r>
            <w:r>
              <w:t>×10</w:t>
            </w:r>
            <w:r>
              <w:rPr>
                <w:rFonts w:hint="eastAsia"/>
                <w:vertAlign w:val="superscript"/>
              </w:rPr>
              <w:t>-3</w:t>
            </w:r>
          </w:p>
        </w:tc>
        <w:tc>
          <w:tcPr>
            <w:tcW w:w="1099" w:type="dxa"/>
            <w:vAlign w:val="center"/>
          </w:tcPr>
          <w:p w14:paraId="4BF91EAF">
            <w:pPr>
              <w:jc w:val="center"/>
              <w:rPr>
                <w:szCs w:val="24"/>
              </w:rPr>
            </w:pPr>
            <w:r>
              <w:rPr>
                <w:rFonts w:hint="eastAsia"/>
                <w:szCs w:val="24"/>
              </w:rPr>
              <w:t>6.48</w:t>
            </w:r>
            <w:r>
              <w:t>×10</w:t>
            </w:r>
            <w:r>
              <w:rPr>
                <w:rFonts w:hint="eastAsia"/>
                <w:vertAlign w:val="superscript"/>
              </w:rPr>
              <w:t>-3</w:t>
            </w:r>
          </w:p>
        </w:tc>
        <w:tc>
          <w:tcPr>
            <w:tcW w:w="1099" w:type="dxa"/>
            <w:vAlign w:val="center"/>
          </w:tcPr>
          <w:p w14:paraId="2F1AFA04">
            <w:pPr>
              <w:jc w:val="center"/>
              <w:rPr>
                <w:szCs w:val="24"/>
              </w:rPr>
            </w:pPr>
            <w:r>
              <w:rPr>
                <w:rFonts w:hint="eastAsia"/>
                <w:szCs w:val="24"/>
              </w:rPr>
              <w:t>6.18</w:t>
            </w:r>
            <w:r>
              <w:t>×10</w:t>
            </w:r>
            <w:r>
              <w:rPr>
                <w:rFonts w:hint="eastAsia"/>
                <w:vertAlign w:val="superscript"/>
              </w:rPr>
              <w:t>-3</w:t>
            </w:r>
          </w:p>
        </w:tc>
        <w:tc>
          <w:tcPr>
            <w:tcW w:w="1099" w:type="dxa"/>
            <w:vAlign w:val="center"/>
          </w:tcPr>
          <w:p w14:paraId="38F62825">
            <w:pPr>
              <w:jc w:val="center"/>
              <w:rPr>
                <w:szCs w:val="24"/>
              </w:rPr>
            </w:pPr>
            <w:r>
              <w:rPr>
                <w:rFonts w:hint="eastAsia"/>
                <w:szCs w:val="24"/>
              </w:rPr>
              <w:t>6.40</w:t>
            </w:r>
            <w:r>
              <w:t>×10</w:t>
            </w:r>
            <w:r>
              <w:rPr>
                <w:rFonts w:hint="eastAsia"/>
                <w:vertAlign w:val="superscript"/>
              </w:rPr>
              <w:t>-3</w:t>
            </w:r>
          </w:p>
        </w:tc>
        <w:tc>
          <w:tcPr>
            <w:tcW w:w="679" w:type="dxa"/>
            <w:vAlign w:val="center"/>
          </w:tcPr>
          <w:p w14:paraId="566EF23A">
            <w:pPr>
              <w:jc w:val="center"/>
              <w:rPr>
                <w:szCs w:val="24"/>
              </w:rPr>
            </w:pPr>
            <w:r>
              <w:rPr>
                <w:rFonts w:hint="eastAsia"/>
                <w:szCs w:val="24"/>
              </w:rPr>
              <w:t>0.17</w:t>
            </w:r>
          </w:p>
        </w:tc>
      </w:tr>
      <w:tr w14:paraId="14D664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vAlign w:val="center"/>
          </w:tcPr>
          <w:p w14:paraId="76FA4F30">
            <w:pPr>
              <w:jc w:val="center"/>
              <w:rPr>
                <w:szCs w:val="24"/>
              </w:rPr>
            </w:pPr>
            <w:r>
              <w:rPr>
                <w:rFonts w:hint="eastAsia"/>
                <w:szCs w:val="24"/>
              </w:rPr>
              <w:t>评价依据</w:t>
            </w:r>
          </w:p>
        </w:tc>
        <w:tc>
          <w:tcPr>
            <w:tcW w:w="7932" w:type="dxa"/>
            <w:gridSpan w:val="7"/>
            <w:vAlign w:val="center"/>
          </w:tcPr>
          <w:p w14:paraId="7BBCCB76">
            <w:pPr>
              <w:rPr>
                <w:szCs w:val="24"/>
              </w:rPr>
            </w:pPr>
            <w:r>
              <w:rPr>
                <w:rFonts w:hint="eastAsia"/>
              </w:rPr>
              <w:t>《大气污染物综合排放标准》（DB</w:t>
            </w:r>
            <w:r>
              <w:t xml:space="preserve"> </w:t>
            </w:r>
            <w:r>
              <w:rPr>
                <w:rFonts w:hint="eastAsia"/>
              </w:rPr>
              <w:t>50/418-2016）表1</w:t>
            </w:r>
          </w:p>
        </w:tc>
      </w:tr>
      <w:tr w14:paraId="2A8102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vAlign w:val="center"/>
          </w:tcPr>
          <w:p w14:paraId="7FE50A52">
            <w:pPr>
              <w:jc w:val="center"/>
              <w:rPr>
                <w:szCs w:val="24"/>
              </w:rPr>
            </w:pPr>
            <w:r>
              <w:rPr>
                <w:rFonts w:hint="eastAsia"/>
                <w:szCs w:val="24"/>
              </w:rPr>
              <w:t>监测结论</w:t>
            </w:r>
          </w:p>
        </w:tc>
        <w:tc>
          <w:tcPr>
            <w:tcW w:w="7932" w:type="dxa"/>
            <w:gridSpan w:val="7"/>
            <w:vAlign w:val="center"/>
          </w:tcPr>
          <w:p w14:paraId="10C9D870">
            <w:pPr>
              <w:rPr>
                <w:szCs w:val="24"/>
              </w:rPr>
            </w:pPr>
            <w:r>
              <w:rPr>
                <w:rFonts w:hint="eastAsia"/>
              </w:rPr>
              <w:t>本次监测活性炭吸附装装置（FQ2）废气：氟化物排放浓度及排放速率均达标</w:t>
            </w:r>
          </w:p>
        </w:tc>
      </w:tr>
      <w:tr w14:paraId="267E38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3" w:type="dxa"/>
            <w:vAlign w:val="center"/>
          </w:tcPr>
          <w:p w14:paraId="32572795">
            <w:pPr>
              <w:jc w:val="center"/>
              <w:rPr>
                <w:szCs w:val="24"/>
              </w:rPr>
            </w:pPr>
            <w:r>
              <w:rPr>
                <w:szCs w:val="24"/>
              </w:rPr>
              <w:t>备注</w:t>
            </w:r>
          </w:p>
        </w:tc>
        <w:tc>
          <w:tcPr>
            <w:tcW w:w="7932" w:type="dxa"/>
            <w:gridSpan w:val="7"/>
            <w:vAlign w:val="center"/>
          </w:tcPr>
          <w:p w14:paraId="5496566B">
            <w:pPr>
              <w:rPr>
                <w:szCs w:val="24"/>
              </w:rPr>
            </w:pPr>
            <w:r>
              <w:rPr>
                <w:rFonts w:hint="eastAsia"/>
              </w:rPr>
              <w:t>4月24日、4月25日生产负荷均为77%</w:t>
            </w:r>
            <w:r>
              <w:rPr>
                <w:szCs w:val="24"/>
              </w:rPr>
              <w:t xml:space="preserve"> </w:t>
            </w:r>
          </w:p>
        </w:tc>
      </w:tr>
    </w:tbl>
    <w:p w14:paraId="2248FC5A">
      <w:pPr>
        <w:spacing w:after="156" w:afterLines="50"/>
        <w:jc w:val="center"/>
        <w:rPr>
          <w:b/>
          <w:bCs/>
          <w:sz w:val="24"/>
          <w:szCs w:val="24"/>
        </w:rPr>
      </w:pPr>
    </w:p>
    <w:p w14:paraId="4E814210">
      <w:pPr>
        <w:spacing w:after="156" w:afterLines="50"/>
        <w:jc w:val="center"/>
        <w:rPr>
          <w:b/>
          <w:bCs/>
          <w:sz w:val="24"/>
          <w:szCs w:val="24"/>
        </w:rPr>
      </w:pPr>
      <w:r>
        <w:rPr>
          <w:b/>
          <w:bCs/>
          <w:sz w:val="24"/>
          <w:szCs w:val="24"/>
        </w:rPr>
        <w:t xml:space="preserve">表9-4  </w:t>
      </w:r>
      <w:r>
        <w:rPr>
          <w:rFonts w:hint="eastAsia"/>
          <w:b/>
          <w:bCs/>
          <w:color w:val="auto"/>
          <w:sz w:val="24"/>
          <w:szCs w:val="24"/>
        </w:rPr>
        <w:t>B01 AG蚀刻线蒙砂废气、化抛废气排放口（DA010）FQ2</w:t>
      </w:r>
      <w:r>
        <w:rPr>
          <w:b/>
          <w:bCs/>
          <w:sz w:val="24"/>
          <w:szCs w:val="24"/>
        </w:rPr>
        <w:t>监测结果表</w:t>
      </w:r>
    </w:p>
    <w:p w14:paraId="26821E9F">
      <w:pPr>
        <w:jc w:val="center"/>
        <w:rPr>
          <w:szCs w:val="24"/>
        </w:rPr>
      </w:pPr>
      <w:r>
        <w:rPr>
          <w:szCs w:val="24"/>
        </w:rPr>
        <w:t>烟囱高度：</w:t>
      </w:r>
      <w:r>
        <w:rPr>
          <w:rFonts w:hint="eastAsia"/>
          <w:szCs w:val="24"/>
        </w:rPr>
        <w:t>20</w:t>
      </w:r>
      <w:r>
        <w:rPr>
          <w:szCs w:val="24"/>
        </w:rPr>
        <w:t xml:space="preserve">m </w:t>
      </w:r>
      <w:r>
        <w:rPr>
          <w:rFonts w:hint="eastAsia"/>
          <w:szCs w:val="24"/>
        </w:rPr>
        <w:t xml:space="preserve">            </w:t>
      </w:r>
      <w:r>
        <w:rPr>
          <w:szCs w:val="24"/>
        </w:rPr>
        <w:t xml:space="preserve"> 排气筒编号：</w:t>
      </w:r>
      <w:r>
        <w:rPr>
          <w:rFonts w:hint="eastAsia"/>
          <w:szCs w:val="24"/>
        </w:rPr>
        <w:t>DA010</w:t>
      </w:r>
      <w:r>
        <w:rPr>
          <w:szCs w:val="24"/>
        </w:rPr>
        <w:t xml:space="preserve">  </w:t>
      </w:r>
      <w:r>
        <w:rPr>
          <w:rFonts w:hint="eastAsia"/>
          <w:szCs w:val="24"/>
        </w:rPr>
        <w:t xml:space="preserve"> </w:t>
      </w:r>
      <w:r>
        <w:rPr>
          <w:szCs w:val="24"/>
        </w:rPr>
        <w:t xml:space="preserve">           采样断面截面积：</w:t>
      </w:r>
      <w:r>
        <w:rPr>
          <w:rFonts w:hint="eastAsia"/>
          <w:szCs w:val="24"/>
        </w:rPr>
        <w:t>0.2827m</w:t>
      </w:r>
      <w:r>
        <w:rPr>
          <w:szCs w:val="24"/>
          <w:vertAlign w:val="superscript"/>
        </w:rPr>
        <w:t>2</w:t>
      </w:r>
    </w:p>
    <w:tbl>
      <w:tblPr>
        <w:tblStyle w:val="35"/>
        <w:tblW w:w="856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957"/>
        <w:gridCol w:w="851"/>
        <w:gridCol w:w="1098"/>
        <w:gridCol w:w="1099"/>
        <w:gridCol w:w="1099"/>
        <w:gridCol w:w="1099"/>
        <w:gridCol w:w="679"/>
      </w:tblGrid>
      <w:tr w14:paraId="229A08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1" w:type="dxa"/>
            <w:vMerge w:val="restart"/>
            <w:vAlign w:val="center"/>
          </w:tcPr>
          <w:p w14:paraId="68DD8FDA">
            <w:pPr>
              <w:jc w:val="center"/>
              <w:rPr>
                <w:szCs w:val="24"/>
              </w:rPr>
            </w:pPr>
            <w:r>
              <w:rPr>
                <w:rFonts w:hint="eastAsia"/>
                <w:szCs w:val="24"/>
              </w:rPr>
              <w:t>监测日期</w:t>
            </w:r>
          </w:p>
        </w:tc>
        <w:tc>
          <w:tcPr>
            <w:tcW w:w="1957" w:type="dxa"/>
            <w:vMerge w:val="restart"/>
            <w:vAlign w:val="center"/>
          </w:tcPr>
          <w:p w14:paraId="16E49316">
            <w:pPr>
              <w:jc w:val="center"/>
              <w:rPr>
                <w:szCs w:val="24"/>
              </w:rPr>
            </w:pPr>
            <w:r>
              <w:rPr>
                <w:szCs w:val="24"/>
              </w:rPr>
              <w:t>项目</w:t>
            </w:r>
          </w:p>
        </w:tc>
        <w:tc>
          <w:tcPr>
            <w:tcW w:w="851" w:type="dxa"/>
            <w:vMerge w:val="restart"/>
            <w:vAlign w:val="center"/>
          </w:tcPr>
          <w:p w14:paraId="59EB7441">
            <w:pPr>
              <w:jc w:val="center"/>
              <w:rPr>
                <w:szCs w:val="24"/>
              </w:rPr>
            </w:pPr>
            <w:r>
              <w:rPr>
                <w:szCs w:val="24"/>
              </w:rPr>
              <w:t>单位</w:t>
            </w:r>
          </w:p>
        </w:tc>
        <w:tc>
          <w:tcPr>
            <w:tcW w:w="3296" w:type="dxa"/>
            <w:gridSpan w:val="3"/>
            <w:vAlign w:val="center"/>
          </w:tcPr>
          <w:p w14:paraId="38D7C378">
            <w:pPr>
              <w:jc w:val="center"/>
              <w:rPr>
                <w:szCs w:val="24"/>
              </w:rPr>
            </w:pPr>
            <w:r>
              <w:rPr>
                <w:rFonts w:hint="eastAsia"/>
                <w:szCs w:val="24"/>
              </w:rPr>
              <w:t>监测点位及编号</w:t>
            </w:r>
          </w:p>
        </w:tc>
        <w:tc>
          <w:tcPr>
            <w:tcW w:w="1099" w:type="dxa"/>
            <w:vMerge w:val="restart"/>
            <w:vAlign w:val="center"/>
          </w:tcPr>
          <w:p w14:paraId="4872B4F9">
            <w:pPr>
              <w:jc w:val="center"/>
              <w:rPr>
                <w:szCs w:val="24"/>
              </w:rPr>
            </w:pPr>
            <w:r>
              <w:rPr>
                <w:rFonts w:hint="eastAsia"/>
                <w:szCs w:val="24"/>
              </w:rPr>
              <w:t>平均值</w:t>
            </w:r>
          </w:p>
        </w:tc>
        <w:tc>
          <w:tcPr>
            <w:tcW w:w="679" w:type="dxa"/>
            <w:vMerge w:val="restart"/>
            <w:vAlign w:val="center"/>
          </w:tcPr>
          <w:p w14:paraId="7395A140">
            <w:pPr>
              <w:jc w:val="center"/>
              <w:rPr>
                <w:szCs w:val="24"/>
              </w:rPr>
            </w:pPr>
            <w:r>
              <w:rPr>
                <w:rFonts w:hint="eastAsia"/>
                <w:szCs w:val="24"/>
              </w:rPr>
              <w:t>排放</w:t>
            </w:r>
          </w:p>
          <w:p w14:paraId="4E580A90">
            <w:pPr>
              <w:jc w:val="center"/>
              <w:rPr>
                <w:szCs w:val="24"/>
              </w:rPr>
            </w:pPr>
            <w:r>
              <w:rPr>
                <w:rFonts w:hint="eastAsia"/>
                <w:szCs w:val="24"/>
              </w:rPr>
              <w:t>限值</w:t>
            </w:r>
          </w:p>
        </w:tc>
      </w:tr>
      <w:tr w14:paraId="186FB2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1" w:type="dxa"/>
            <w:vMerge w:val="continue"/>
            <w:vAlign w:val="center"/>
          </w:tcPr>
          <w:p w14:paraId="0A568642">
            <w:pPr>
              <w:jc w:val="center"/>
              <w:rPr>
                <w:szCs w:val="24"/>
              </w:rPr>
            </w:pPr>
          </w:p>
        </w:tc>
        <w:tc>
          <w:tcPr>
            <w:tcW w:w="1957" w:type="dxa"/>
            <w:vMerge w:val="continue"/>
            <w:vAlign w:val="center"/>
          </w:tcPr>
          <w:p w14:paraId="346950FE">
            <w:pPr>
              <w:jc w:val="center"/>
              <w:rPr>
                <w:szCs w:val="24"/>
              </w:rPr>
            </w:pPr>
          </w:p>
        </w:tc>
        <w:tc>
          <w:tcPr>
            <w:tcW w:w="851" w:type="dxa"/>
            <w:vMerge w:val="continue"/>
            <w:vAlign w:val="center"/>
          </w:tcPr>
          <w:p w14:paraId="4754F0E5">
            <w:pPr>
              <w:jc w:val="center"/>
              <w:rPr>
                <w:szCs w:val="24"/>
              </w:rPr>
            </w:pPr>
          </w:p>
        </w:tc>
        <w:tc>
          <w:tcPr>
            <w:tcW w:w="1098" w:type="dxa"/>
            <w:vAlign w:val="center"/>
          </w:tcPr>
          <w:p w14:paraId="20AA6C1E">
            <w:pPr>
              <w:jc w:val="center"/>
              <w:rPr>
                <w:spacing w:val="-8"/>
              </w:rPr>
            </w:pPr>
            <w:r>
              <w:rPr>
                <w:spacing w:val="-8"/>
              </w:rPr>
              <w:t>25HY0004</w:t>
            </w:r>
            <w:r>
              <w:rPr>
                <w:rFonts w:hint="eastAsia"/>
                <w:spacing w:val="-8"/>
              </w:rPr>
              <w:t>FQ2</w:t>
            </w:r>
            <w:r>
              <w:rPr>
                <w:spacing w:val="-8"/>
              </w:rPr>
              <w:t>-1-1</w:t>
            </w:r>
          </w:p>
        </w:tc>
        <w:tc>
          <w:tcPr>
            <w:tcW w:w="1099" w:type="dxa"/>
            <w:vAlign w:val="center"/>
          </w:tcPr>
          <w:p w14:paraId="45027618">
            <w:pPr>
              <w:jc w:val="center"/>
              <w:rPr>
                <w:spacing w:val="-8"/>
              </w:rPr>
            </w:pPr>
            <w:r>
              <w:rPr>
                <w:spacing w:val="-8"/>
              </w:rPr>
              <w:t>25HY0004</w:t>
            </w:r>
            <w:r>
              <w:rPr>
                <w:rFonts w:hint="eastAsia"/>
                <w:spacing w:val="-8"/>
              </w:rPr>
              <w:t>FQ2</w:t>
            </w:r>
            <w:r>
              <w:rPr>
                <w:spacing w:val="-8"/>
              </w:rPr>
              <w:t>-1-</w:t>
            </w:r>
            <w:r>
              <w:rPr>
                <w:rFonts w:hint="eastAsia"/>
                <w:spacing w:val="-8"/>
              </w:rPr>
              <w:t>2</w:t>
            </w:r>
          </w:p>
        </w:tc>
        <w:tc>
          <w:tcPr>
            <w:tcW w:w="1099" w:type="dxa"/>
            <w:vAlign w:val="center"/>
          </w:tcPr>
          <w:p w14:paraId="0A793D3B">
            <w:pPr>
              <w:jc w:val="center"/>
              <w:rPr>
                <w:spacing w:val="-8"/>
              </w:rPr>
            </w:pPr>
            <w:r>
              <w:rPr>
                <w:spacing w:val="-8"/>
              </w:rPr>
              <w:t>25HY0004</w:t>
            </w:r>
            <w:r>
              <w:rPr>
                <w:rFonts w:hint="eastAsia"/>
                <w:spacing w:val="-8"/>
              </w:rPr>
              <w:t>FQ2</w:t>
            </w:r>
            <w:r>
              <w:rPr>
                <w:spacing w:val="-8"/>
              </w:rPr>
              <w:t>-1-</w:t>
            </w:r>
            <w:r>
              <w:rPr>
                <w:rFonts w:hint="eastAsia"/>
                <w:spacing w:val="-8"/>
              </w:rPr>
              <w:t>3</w:t>
            </w:r>
          </w:p>
        </w:tc>
        <w:tc>
          <w:tcPr>
            <w:tcW w:w="1099" w:type="dxa"/>
            <w:vMerge w:val="continue"/>
            <w:vAlign w:val="center"/>
          </w:tcPr>
          <w:p w14:paraId="682EB0FC">
            <w:pPr>
              <w:jc w:val="center"/>
              <w:rPr>
                <w:szCs w:val="24"/>
              </w:rPr>
            </w:pPr>
          </w:p>
        </w:tc>
        <w:tc>
          <w:tcPr>
            <w:tcW w:w="679" w:type="dxa"/>
            <w:vMerge w:val="continue"/>
            <w:vAlign w:val="center"/>
          </w:tcPr>
          <w:p w14:paraId="6248A85C">
            <w:pPr>
              <w:jc w:val="center"/>
              <w:rPr>
                <w:szCs w:val="24"/>
              </w:rPr>
            </w:pPr>
          </w:p>
        </w:tc>
      </w:tr>
      <w:tr w14:paraId="62976B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1" w:type="dxa"/>
            <w:vMerge w:val="restart"/>
            <w:vAlign w:val="center"/>
          </w:tcPr>
          <w:p w14:paraId="100F8F3F">
            <w:pPr>
              <w:jc w:val="center"/>
              <w:rPr>
                <w:szCs w:val="24"/>
              </w:rPr>
            </w:pPr>
            <w:r>
              <w:rPr>
                <w:rFonts w:hint="eastAsia"/>
                <w:szCs w:val="24"/>
              </w:rPr>
              <w:t>20250424</w:t>
            </w:r>
          </w:p>
        </w:tc>
        <w:tc>
          <w:tcPr>
            <w:tcW w:w="1957" w:type="dxa"/>
            <w:vAlign w:val="center"/>
          </w:tcPr>
          <w:p w14:paraId="3FF71F88">
            <w:pPr>
              <w:jc w:val="center"/>
              <w:rPr>
                <w:szCs w:val="24"/>
              </w:rPr>
            </w:pPr>
            <w:r>
              <w:t>烟气流速</w:t>
            </w:r>
          </w:p>
        </w:tc>
        <w:tc>
          <w:tcPr>
            <w:tcW w:w="851" w:type="dxa"/>
            <w:vAlign w:val="center"/>
          </w:tcPr>
          <w:p w14:paraId="06816E5D">
            <w:pPr>
              <w:jc w:val="center"/>
              <w:rPr>
                <w:szCs w:val="24"/>
              </w:rPr>
            </w:pPr>
            <w:r>
              <w:t>m/s</w:t>
            </w:r>
          </w:p>
        </w:tc>
        <w:tc>
          <w:tcPr>
            <w:tcW w:w="1098" w:type="dxa"/>
            <w:vAlign w:val="center"/>
          </w:tcPr>
          <w:p w14:paraId="2E73A3FA">
            <w:pPr>
              <w:jc w:val="center"/>
              <w:rPr>
                <w:szCs w:val="24"/>
              </w:rPr>
            </w:pPr>
            <w:r>
              <w:rPr>
                <w:rFonts w:hint="eastAsia"/>
                <w:szCs w:val="24"/>
              </w:rPr>
              <w:t>7.4</w:t>
            </w:r>
          </w:p>
        </w:tc>
        <w:tc>
          <w:tcPr>
            <w:tcW w:w="1099" w:type="dxa"/>
            <w:vAlign w:val="center"/>
          </w:tcPr>
          <w:p w14:paraId="25667E85">
            <w:pPr>
              <w:jc w:val="center"/>
              <w:rPr>
                <w:szCs w:val="24"/>
              </w:rPr>
            </w:pPr>
            <w:r>
              <w:rPr>
                <w:rFonts w:hint="eastAsia"/>
                <w:szCs w:val="24"/>
              </w:rPr>
              <w:t>7.7</w:t>
            </w:r>
          </w:p>
        </w:tc>
        <w:tc>
          <w:tcPr>
            <w:tcW w:w="1099" w:type="dxa"/>
            <w:vAlign w:val="center"/>
          </w:tcPr>
          <w:p w14:paraId="68107FD8">
            <w:pPr>
              <w:jc w:val="center"/>
              <w:rPr>
                <w:szCs w:val="24"/>
              </w:rPr>
            </w:pPr>
            <w:r>
              <w:rPr>
                <w:rFonts w:hint="eastAsia"/>
                <w:szCs w:val="24"/>
              </w:rPr>
              <w:t>7.2</w:t>
            </w:r>
          </w:p>
        </w:tc>
        <w:tc>
          <w:tcPr>
            <w:tcW w:w="1099" w:type="dxa"/>
            <w:vAlign w:val="center"/>
          </w:tcPr>
          <w:p w14:paraId="5C055EE7">
            <w:pPr>
              <w:jc w:val="center"/>
              <w:rPr>
                <w:szCs w:val="24"/>
              </w:rPr>
            </w:pPr>
            <w:r>
              <w:rPr>
                <w:rFonts w:hint="eastAsia"/>
                <w:szCs w:val="24"/>
              </w:rPr>
              <w:t>/</w:t>
            </w:r>
          </w:p>
        </w:tc>
        <w:tc>
          <w:tcPr>
            <w:tcW w:w="679" w:type="dxa"/>
            <w:vAlign w:val="center"/>
          </w:tcPr>
          <w:p w14:paraId="5516B12A">
            <w:pPr>
              <w:jc w:val="center"/>
              <w:rPr>
                <w:szCs w:val="24"/>
              </w:rPr>
            </w:pPr>
            <w:r>
              <w:rPr>
                <w:rFonts w:hint="eastAsia"/>
                <w:szCs w:val="24"/>
              </w:rPr>
              <w:t>/</w:t>
            </w:r>
          </w:p>
        </w:tc>
      </w:tr>
      <w:tr w14:paraId="2B129B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1" w:type="dxa"/>
            <w:vMerge w:val="continue"/>
            <w:vAlign w:val="center"/>
          </w:tcPr>
          <w:p w14:paraId="6609C5E0">
            <w:pPr>
              <w:jc w:val="center"/>
              <w:rPr>
                <w:szCs w:val="24"/>
              </w:rPr>
            </w:pPr>
          </w:p>
        </w:tc>
        <w:tc>
          <w:tcPr>
            <w:tcW w:w="1957" w:type="dxa"/>
            <w:vAlign w:val="center"/>
          </w:tcPr>
          <w:p w14:paraId="1FF904E8">
            <w:pPr>
              <w:jc w:val="center"/>
              <w:rPr>
                <w:szCs w:val="24"/>
              </w:rPr>
            </w:pPr>
            <w:r>
              <w:t>烟气流量</w:t>
            </w:r>
            <w:r>
              <w:rPr>
                <w:rFonts w:hint="eastAsia"/>
              </w:rPr>
              <w:t>（</w:t>
            </w:r>
            <w:r>
              <w:t>标.干</w:t>
            </w:r>
            <w:r>
              <w:rPr>
                <w:rFonts w:hint="eastAsia"/>
              </w:rPr>
              <w:t>）</w:t>
            </w:r>
          </w:p>
        </w:tc>
        <w:tc>
          <w:tcPr>
            <w:tcW w:w="851" w:type="dxa"/>
            <w:vAlign w:val="center"/>
          </w:tcPr>
          <w:p w14:paraId="2F3E0CA7">
            <w:pPr>
              <w:jc w:val="center"/>
              <w:rPr>
                <w:szCs w:val="24"/>
              </w:rPr>
            </w:pPr>
            <w:r>
              <w:t>m</w:t>
            </w:r>
            <w:r>
              <w:rPr>
                <w:vertAlign w:val="superscript"/>
              </w:rPr>
              <w:t>3</w:t>
            </w:r>
            <w:r>
              <w:t>/h</w:t>
            </w:r>
          </w:p>
        </w:tc>
        <w:tc>
          <w:tcPr>
            <w:tcW w:w="1098" w:type="dxa"/>
            <w:vAlign w:val="center"/>
          </w:tcPr>
          <w:p w14:paraId="7A782A5F">
            <w:pPr>
              <w:jc w:val="center"/>
              <w:rPr>
                <w:szCs w:val="24"/>
              </w:rPr>
            </w:pPr>
            <w:r>
              <w:rPr>
                <w:rFonts w:hint="eastAsia"/>
                <w:szCs w:val="24"/>
              </w:rPr>
              <w:t>6.69</w:t>
            </w:r>
            <w:r>
              <w:t>×10</w:t>
            </w:r>
            <w:r>
              <w:rPr>
                <w:rFonts w:hint="eastAsia"/>
                <w:vertAlign w:val="superscript"/>
              </w:rPr>
              <w:t>3</w:t>
            </w:r>
          </w:p>
        </w:tc>
        <w:tc>
          <w:tcPr>
            <w:tcW w:w="1099" w:type="dxa"/>
            <w:vAlign w:val="center"/>
          </w:tcPr>
          <w:p w14:paraId="6EFE7831">
            <w:pPr>
              <w:jc w:val="center"/>
              <w:rPr>
                <w:szCs w:val="24"/>
              </w:rPr>
            </w:pPr>
            <w:r>
              <w:rPr>
                <w:rFonts w:hint="eastAsia"/>
                <w:szCs w:val="24"/>
              </w:rPr>
              <w:t>6.94</w:t>
            </w:r>
            <w:r>
              <w:t>×10</w:t>
            </w:r>
            <w:r>
              <w:rPr>
                <w:rFonts w:hint="eastAsia"/>
                <w:vertAlign w:val="superscript"/>
              </w:rPr>
              <w:t>3</w:t>
            </w:r>
          </w:p>
        </w:tc>
        <w:tc>
          <w:tcPr>
            <w:tcW w:w="1099" w:type="dxa"/>
            <w:vAlign w:val="center"/>
          </w:tcPr>
          <w:p w14:paraId="3355EF68">
            <w:pPr>
              <w:jc w:val="center"/>
              <w:rPr>
                <w:szCs w:val="24"/>
              </w:rPr>
            </w:pPr>
            <w:r>
              <w:rPr>
                <w:rFonts w:hint="eastAsia"/>
                <w:szCs w:val="24"/>
              </w:rPr>
              <w:t>6.49</w:t>
            </w:r>
            <w:r>
              <w:t>×10</w:t>
            </w:r>
            <w:r>
              <w:rPr>
                <w:rFonts w:hint="eastAsia"/>
                <w:vertAlign w:val="superscript"/>
              </w:rPr>
              <w:t>3</w:t>
            </w:r>
          </w:p>
        </w:tc>
        <w:tc>
          <w:tcPr>
            <w:tcW w:w="1099" w:type="dxa"/>
            <w:vAlign w:val="center"/>
          </w:tcPr>
          <w:p w14:paraId="02CE2926">
            <w:pPr>
              <w:jc w:val="center"/>
              <w:rPr>
                <w:szCs w:val="24"/>
              </w:rPr>
            </w:pPr>
            <w:r>
              <w:rPr>
                <w:rFonts w:hint="eastAsia"/>
                <w:szCs w:val="24"/>
              </w:rPr>
              <w:t>/</w:t>
            </w:r>
          </w:p>
        </w:tc>
        <w:tc>
          <w:tcPr>
            <w:tcW w:w="679" w:type="dxa"/>
            <w:vAlign w:val="center"/>
          </w:tcPr>
          <w:p w14:paraId="3A0D4B68">
            <w:pPr>
              <w:jc w:val="center"/>
              <w:rPr>
                <w:szCs w:val="24"/>
              </w:rPr>
            </w:pPr>
            <w:r>
              <w:rPr>
                <w:rFonts w:hint="eastAsia"/>
                <w:szCs w:val="24"/>
              </w:rPr>
              <w:t>/</w:t>
            </w:r>
          </w:p>
        </w:tc>
      </w:tr>
      <w:tr w14:paraId="5FC2E5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1" w:type="dxa"/>
            <w:vMerge w:val="continue"/>
            <w:vAlign w:val="center"/>
          </w:tcPr>
          <w:p w14:paraId="03F352C6">
            <w:pPr>
              <w:jc w:val="center"/>
              <w:rPr>
                <w:szCs w:val="24"/>
              </w:rPr>
            </w:pPr>
          </w:p>
        </w:tc>
        <w:tc>
          <w:tcPr>
            <w:tcW w:w="1957" w:type="dxa"/>
            <w:vAlign w:val="center"/>
          </w:tcPr>
          <w:p w14:paraId="28BB1A59">
            <w:pPr>
              <w:jc w:val="center"/>
              <w:rPr>
                <w:szCs w:val="24"/>
              </w:rPr>
            </w:pPr>
            <w:r>
              <w:rPr>
                <w:rFonts w:hint="eastAsia"/>
                <w:szCs w:val="24"/>
              </w:rPr>
              <w:t>硫酸雾</w:t>
            </w:r>
            <w:r>
              <w:rPr>
                <w:szCs w:val="24"/>
              </w:rPr>
              <w:t>实测浓度</w:t>
            </w:r>
            <w:r>
              <w:rPr>
                <w:rFonts w:hint="eastAsia"/>
                <w:szCs w:val="24"/>
              </w:rPr>
              <w:t>（</w:t>
            </w:r>
            <w:r>
              <w:rPr>
                <w:szCs w:val="24"/>
              </w:rPr>
              <w:t>标.干</w:t>
            </w:r>
            <w:r>
              <w:rPr>
                <w:rFonts w:hint="eastAsia"/>
                <w:szCs w:val="24"/>
              </w:rPr>
              <w:t>）</w:t>
            </w:r>
          </w:p>
        </w:tc>
        <w:tc>
          <w:tcPr>
            <w:tcW w:w="851" w:type="dxa"/>
            <w:vAlign w:val="center"/>
          </w:tcPr>
          <w:p w14:paraId="2CEE8673">
            <w:pPr>
              <w:jc w:val="center"/>
            </w:pPr>
            <w:r>
              <w:t>mg/m</w:t>
            </w:r>
            <w:r>
              <w:rPr>
                <w:vertAlign w:val="superscript"/>
              </w:rPr>
              <w:t>3</w:t>
            </w:r>
          </w:p>
        </w:tc>
        <w:tc>
          <w:tcPr>
            <w:tcW w:w="1098" w:type="dxa"/>
            <w:vAlign w:val="center"/>
          </w:tcPr>
          <w:p w14:paraId="55A8B381">
            <w:pPr>
              <w:jc w:val="center"/>
              <w:rPr>
                <w:szCs w:val="24"/>
              </w:rPr>
            </w:pPr>
            <w:r>
              <w:rPr>
                <w:rFonts w:hint="eastAsia"/>
                <w:szCs w:val="24"/>
              </w:rPr>
              <w:t>0.61</w:t>
            </w:r>
          </w:p>
        </w:tc>
        <w:tc>
          <w:tcPr>
            <w:tcW w:w="1099" w:type="dxa"/>
            <w:vAlign w:val="center"/>
          </w:tcPr>
          <w:p w14:paraId="43FB51E0">
            <w:pPr>
              <w:jc w:val="center"/>
              <w:rPr>
                <w:szCs w:val="24"/>
              </w:rPr>
            </w:pPr>
            <w:r>
              <w:rPr>
                <w:rFonts w:hint="eastAsia"/>
                <w:szCs w:val="24"/>
              </w:rPr>
              <w:t>0.59</w:t>
            </w:r>
          </w:p>
        </w:tc>
        <w:tc>
          <w:tcPr>
            <w:tcW w:w="1099" w:type="dxa"/>
            <w:vAlign w:val="center"/>
          </w:tcPr>
          <w:p w14:paraId="1B80DB70">
            <w:pPr>
              <w:jc w:val="center"/>
              <w:rPr>
                <w:szCs w:val="24"/>
              </w:rPr>
            </w:pPr>
            <w:r>
              <w:rPr>
                <w:rFonts w:hint="eastAsia"/>
                <w:szCs w:val="24"/>
              </w:rPr>
              <w:t>0.63</w:t>
            </w:r>
          </w:p>
        </w:tc>
        <w:tc>
          <w:tcPr>
            <w:tcW w:w="1099" w:type="dxa"/>
            <w:vAlign w:val="center"/>
          </w:tcPr>
          <w:p w14:paraId="396F2218">
            <w:pPr>
              <w:jc w:val="center"/>
              <w:rPr>
                <w:szCs w:val="24"/>
              </w:rPr>
            </w:pPr>
            <w:r>
              <w:rPr>
                <w:szCs w:val="24"/>
              </w:rPr>
              <w:t>/</w:t>
            </w:r>
          </w:p>
        </w:tc>
        <w:tc>
          <w:tcPr>
            <w:tcW w:w="679" w:type="dxa"/>
            <w:vAlign w:val="center"/>
          </w:tcPr>
          <w:p w14:paraId="777BB45A">
            <w:pPr>
              <w:jc w:val="center"/>
              <w:rPr>
                <w:szCs w:val="24"/>
              </w:rPr>
            </w:pPr>
            <w:r>
              <w:rPr>
                <w:rFonts w:hint="eastAsia"/>
                <w:szCs w:val="24"/>
              </w:rPr>
              <w:t>/</w:t>
            </w:r>
          </w:p>
        </w:tc>
      </w:tr>
      <w:tr w14:paraId="321187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1" w:type="dxa"/>
            <w:vMerge w:val="continue"/>
            <w:vAlign w:val="center"/>
          </w:tcPr>
          <w:p w14:paraId="52E7218B">
            <w:pPr>
              <w:jc w:val="center"/>
              <w:rPr>
                <w:szCs w:val="24"/>
              </w:rPr>
            </w:pPr>
          </w:p>
        </w:tc>
        <w:tc>
          <w:tcPr>
            <w:tcW w:w="1957" w:type="dxa"/>
            <w:vAlign w:val="center"/>
          </w:tcPr>
          <w:p w14:paraId="07FEA0C6">
            <w:pPr>
              <w:jc w:val="center"/>
              <w:rPr>
                <w:szCs w:val="24"/>
              </w:rPr>
            </w:pPr>
            <w:r>
              <w:rPr>
                <w:rFonts w:hint="eastAsia"/>
                <w:szCs w:val="24"/>
              </w:rPr>
              <w:t>硫酸雾</w:t>
            </w:r>
            <w:r>
              <w:rPr>
                <w:szCs w:val="24"/>
              </w:rPr>
              <w:t>排放浓度</w:t>
            </w:r>
            <w:r>
              <w:rPr>
                <w:rFonts w:hint="eastAsia"/>
                <w:szCs w:val="24"/>
              </w:rPr>
              <w:t>（</w:t>
            </w:r>
            <w:r>
              <w:rPr>
                <w:szCs w:val="24"/>
              </w:rPr>
              <w:t>标.干</w:t>
            </w:r>
            <w:r>
              <w:rPr>
                <w:rFonts w:hint="eastAsia"/>
                <w:szCs w:val="24"/>
              </w:rPr>
              <w:t>）</w:t>
            </w:r>
          </w:p>
        </w:tc>
        <w:tc>
          <w:tcPr>
            <w:tcW w:w="851" w:type="dxa"/>
            <w:vAlign w:val="center"/>
          </w:tcPr>
          <w:p w14:paraId="4E6A8626">
            <w:pPr>
              <w:jc w:val="center"/>
            </w:pPr>
            <w:r>
              <w:t>mg/m</w:t>
            </w:r>
            <w:r>
              <w:rPr>
                <w:vertAlign w:val="superscript"/>
              </w:rPr>
              <w:t>3</w:t>
            </w:r>
          </w:p>
        </w:tc>
        <w:tc>
          <w:tcPr>
            <w:tcW w:w="1098" w:type="dxa"/>
            <w:vAlign w:val="center"/>
          </w:tcPr>
          <w:p w14:paraId="67A93ED0">
            <w:pPr>
              <w:jc w:val="center"/>
              <w:rPr>
                <w:szCs w:val="24"/>
              </w:rPr>
            </w:pPr>
            <w:r>
              <w:rPr>
                <w:rFonts w:hint="eastAsia"/>
                <w:szCs w:val="24"/>
              </w:rPr>
              <w:t>0.61</w:t>
            </w:r>
          </w:p>
        </w:tc>
        <w:tc>
          <w:tcPr>
            <w:tcW w:w="1099" w:type="dxa"/>
            <w:vAlign w:val="center"/>
          </w:tcPr>
          <w:p w14:paraId="62DB97B0">
            <w:pPr>
              <w:jc w:val="center"/>
              <w:rPr>
                <w:szCs w:val="24"/>
              </w:rPr>
            </w:pPr>
            <w:r>
              <w:rPr>
                <w:rFonts w:hint="eastAsia"/>
                <w:szCs w:val="24"/>
              </w:rPr>
              <w:t>0.59</w:t>
            </w:r>
          </w:p>
        </w:tc>
        <w:tc>
          <w:tcPr>
            <w:tcW w:w="1099" w:type="dxa"/>
            <w:vAlign w:val="center"/>
          </w:tcPr>
          <w:p w14:paraId="1D572AE2">
            <w:pPr>
              <w:jc w:val="center"/>
              <w:rPr>
                <w:szCs w:val="24"/>
              </w:rPr>
            </w:pPr>
            <w:r>
              <w:rPr>
                <w:rFonts w:hint="eastAsia"/>
                <w:szCs w:val="24"/>
              </w:rPr>
              <w:t>0.63</w:t>
            </w:r>
          </w:p>
        </w:tc>
        <w:tc>
          <w:tcPr>
            <w:tcW w:w="1099" w:type="dxa"/>
            <w:vAlign w:val="center"/>
          </w:tcPr>
          <w:p w14:paraId="3414E1D1">
            <w:pPr>
              <w:jc w:val="center"/>
              <w:rPr>
                <w:szCs w:val="24"/>
              </w:rPr>
            </w:pPr>
            <w:r>
              <w:rPr>
                <w:rFonts w:hint="eastAsia"/>
                <w:szCs w:val="24"/>
              </w:rPr>
              <w:t>0.61</w:t>
            </w:r>
          </w:p>
        </w:tc>
        <w:tc>
          <w:tcPr>
            <w:tcW w:w="679" w:type="dxa"/>
            <w:vAlign w:val="center"/>
          </w:tcPr>
          <w:p w14:paraId="2027CDDE">
            <w:pPr>
              <w:jc w:val="center"/>
              <w:rPr>
                <w:szCs w:val="24"/>
              </w:rPr>
            </w:pPr>
            <w:r>
              <w:rPr>
                <w:rFonts w:hint="eastAsia"/>
                <w:szCs w:val="24"/>
              </w:rPr>
              <w:t>45</w:t>
            </w:r>
          </w:p>
        </w:tc>
      </w:tr>
      <w:tr w14:paraId="4CF2D5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1" w:type="dxa"/>
            <w:vMerge w:val="continue"/>
            <w:vAlign w:val="center"/>
          </w:tcPr>
          <w:p w14:paraId="65808404">
            <w:pPr>
              <w:jc w:val="center"/>
              <w:rPr>
                <w:szCs w:val="24"/>
              </w:rPr>
            </w:pPr>
          </w:p>
        </w:tc>
        <w:tc>
          <w:tcPr>
            <w:tcW w:w="1957" w:type="dxa"/>
            <w:vAlign w:val="center"/>
          </w:tcPr>
          <w:p w14:paraId="0E556EA3">
            <w:pPr>
              <w:jc w:val="center"/>
              <w:rPr>
                <w:szCs w:val="24"/>
              </w:rPr>
            </w:pPr>
            <w:r>
              <w:rPr>
                <w:rFonts w:hint="eastAsia"/>
                <w:szCs w:val="24"/>
              </w:rPr>
              <w:t>硫酸雾</w:t>
            </w:r>
            <w:r>
              <w:rPr>
                <w:szCs w:val="24"/>
              </w:rPr>
              <w:t>排放</w:t>
            </w:r>
            <w:r>
              <w:rPr>
                <w:rFonts w:hint="eastAsia"/>
                <w:szCs w:val="24"/>
              </w:rPr>
              <w:t>速率</w:t>
            </w:r>
          </w:p>
        </w:tc>
        <w:tc>
          <w:tcPr>
            <w:tcW w:w="851" w:type="dxa"/>
            <w:vAlign w:val="center"/>
          </w:tcPr>
          <w:p w14:paraId="7E822D3E">
            <w:pPr>
              <w:jc w:val="center"/>
            </w:pPr>
            <w:r>
              <w:t>kg/h</w:t>
            </w:r>
          </w:p>
        </w:tc>
        <w:tc>
          <w:tcPr>
            <w:tcW w:w="1098" w:type="dxa"/>
            <w:vAlign w:val="center"/>
          </w:tcPr>
          <w:p w14:paraId="630E8F0B">
            <w:pPr>
              <w:jc w:val="center"/>
              <w:rPr>
                <w:szCs w:val="24"/>
              </w:rPr>
            </w:pPr>
            <w:r>
              <w:rPr>
                <w:rFonts w:hint="eastAsia"/>
                <w:szCs w:val="24"/>
              </w:rPr>
              <w:t>4.08</w:t>
            </w:r>
            <w:r>
              <w:t>×10</w:t>
            </w:r>
            <w:r>
              <w:rPr>
                <w:rFonts w:hint="eastAsia"/>
                <w:vertAlign w:val="superscript"/>
              </w:rPr>
              <w:t>-3</w:t>
            </w:r>
          </w:p>
        </w:tc>
        <w:tc>
          <w:tcPr>
            <w:tcW w:w="1099" w:type="dxa"/>
            <w:vAlign w:val="center"/>
          </w:tcPr>
          <w:p w14:paraId="40928C03">
            <w:pPr>
              <w:jc w:val="center"/>
              <w:rPr>
                <w:szCs w:val="24"/>
              </w:rPr>
            </w:pPr>
            <w:r>
              <w:rPr>
                <w:rFonts w:hint="eastAsia"/>
                <w:szCs w:val="24"/>
              </w:rPr>
              <w:t>4.09</w:t>
            </w:r>
            <w:r>
              <w:t>×10</w:t>
            </w:r>
            <w:r>
              <w:rPr>
                <w:rFonts w:hint="eastAsia"/>
                <w:vertAlign w:val="superscript"/>
              </w:rPr>
              <w:t>-3</w:t>
            </w:r>
          </w:p>
        </w:tc>
        <w:tc>
          <w:tcPr>
            <w:tcW w:w="1099" w:type="dxa"/>
            <w:vAlign w:val="center"/>
          </w:tcPr>
          <w:p w14:paraId="511221F6">
            <w:pPr>
              <w:jc w:val="center"/>
              <w:rPr>
                <w:szCs w:val="24"/>
              </w:rPr>
            </w:pPr>
            <w:r>
              <w:rPr>
                <w:rFonts w:hint="eastAsia"/>
                <w:szCs w:val="24"/>
              </w:rPr>
              <w:t>4.09</w:t>
            </w:r>
            <w:r>
              <w:t>×10</w:t>
            </w:r>
            <w:r>
              <w:rPr>
                <w:rFonts w:hint="eastAsia"/>
                <w:vertAlign w:val="superscript"/>
              </w:rPr>
              <w:t>-3</w:t>
            </w:r>
          </w:p>
        </w:tc>
        <w:tc>
          <w:tcPr>
            <w:tcW w:w="1099" w:type="dxa"/>
            <w:vAlign w:val="center"/>
          </w:tcPr>
          <w:p w14:paraId="3FADB029">
            <w:pPr>
              <w:jc w:val="center"/>
              <w:rPr>
                <w:szCs w:val="24"/>
              </w:rPr>
            </w:pPr>
            <w:r>
              <w:rPr>
                <w:rFonts w:hint="eastAsia"/>
                <w:szCs w:val="24"/>
              </w:rPr>
              <w:t>4.09</w:t>
            </w:r>
            <w:r>
              <w:t>×10</w:t>
            </w:r>
            <w:r>
              <w:rPr>
                <w:rFonts w:hint="eastAsia"/>
                <w:vertAlign w:val="superscript"/>
              </w:rPr>
              <w:t>-3</w:t>
            </w:r>
          </w:p>
        </w:tc>
        <w:tc>
          <w:tcPr>
            <w:tcW w:w="679" w:type="dxa"/>
            <w:vAlign w:val="center"/>
          </w:tcPr>
          <w:p w14:paraId="054BEDEA">
            <w:pPr>
              <w:jc w:val="center"/>
              <w:rPr>
                <w:szCs w:val="24"/>
              </w:rPr>
            </w:pPr>
            <w:r>
              <w:rPr>
                <w:rFonts w:hint="eastAsia"/>
                <w:szCs w:val="24"/>
              </w:rPr>
              <w:t>2.6</w:t>
            </w:r>
          </w:p>
        </w:tc>
      </w:tr>
      <w:tr w14:paraId="05B1C1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1" w:type="dxa"/>
            <w:vMerge w:val="continue"/>
            <w:vAlign w:val="center"/>
          </w:tcPr>
          <w:p w14:paraId="1AF13DB0">
            <w:pPr>
              <w:jc w:val="center"/>
              <w:rPr>
                <w:szCs w:val="24"/>
              </w:rPr>
            </w:pPr>
          </w:p>
        </w:tc>
        <w:tc>
          <w:tcPr>
            <w:tcW w:w="1957" w:type="dxa"/>
            <w:vAlign w:val="center"/>
          </w:tcPr>
          <w:p w14:paraId="33D8530B">
            <w:pPr>
              <w:jc w:val="center"/>
              <w:rPr>
                <w:szCs w:val="24"/>
              </w:rPr>
            </w:pPr>
            <w:r>
              <w:rPr>
                <w:rFonts w:hint="eastAsia"/>
                <w:szCs w:val="24"/>
              </w:rPr>
              <w:t>氯化氢</w:t>
            </w:r>
            <w:r>
              <w:rPr>
                <w:szCs w:val="24"/>
              </w:rPr>
              <w:t>实测浓度</w:t>
            </w:r>
            <w:r>
              <w:rPr>
                <w:rFonts w:hint="eastAsia"/>
                <w:szCs w:val="24"/>
              </w:rPr>
              <w:t>（</w:t>
            </w:r>
            <w:r>
              <w:rPr>
                <w:szCs w:val="24"/>
              </w:rPr>
              <w:t>标.干</w:t>
            </w:r>
            <w:r>
              <w:rPr>
                <w:rFonts w:hint="eastAsia"/>
                <w:szCs w:val="24"/>
              </w:rPr>
              <w:t>）</w:t>
            </w:r>
          </w:p>
        </w:tc>
        <w:tc>
          <w:tcPr>
            <w:tcW w:w="851" w:type="dxa"/>
            <w:vAlign w:val="center"/>
          </w:tcPr>
          <w:p w14:paraId="0CF69920">
            <w:pPr>
              <w:jc w:val="center"/>
            </w:pPr>
            <w:r>
              <w:t>mg/m</w:t>
            </w:r>
            <w:r>
              <w:rPr>
                <w:vertAlign w:val="superscript"/>
              </w:rPr>
              <w:t>3</w:t>
            </w:r>
          </w:p>
        </w:tc>
        <w:tc>
          <w:tcPr>
            <w:tcW w:w="1098" w:type="dxa"/>
            <w:vAlign w:val="center"/>
          </w:tcPr>
          <w:p w14:paraId="6B5D2914">
            <w:pPr>
              <w:jc w:val="center"/>
              <w:rPr>
                <w:szCs w:val="24"/>
              </w:rPr>
            </w:pPr>
            <w:r>
              <w:rPr>
                <w:rFonts w:hint="eastAsia"/>
                <w:szCs w:val="24"/>
              </w:rPr>
              <w:t>0.9L</w:t>
            </w:r>
          </w:p>
        </w:tc>
        <w:tc>
          <w:tcPr>
            <w:tcW w:w="1099" w:type="dxa"/>
            <w:vAlign w:val="center"/>
          </w:tcPr>
          <w:p w14:paraId="6FFDD6E7">
            <w:pPr>
              <w:jc w:val="center"/>
              <w:rPr>
                <w:szCs w:val="24"/>
              </w:rPr>
            </w:pPr>
            <w:r>
              <w:rPr>
                <w:rFonts w:hint="eastAsia"/>
                <w:szCs w:val="24"/>
              </w:rPr>
              <w:t>0.9L</w:t>
            </w:r>
          </w:p>
        </w:tc>
        <w:tc>
          <w:tcPr>
            <w:tcW w:w="1099" w:type="dxa"/>
            <w:vAlign w:val="center"/>
          </w:tcPr>
          <w:p w14:paraId="782A58D2">
            <w:pPr>
              <w:jc w:val="center"/>
              <w:rPr>
                <w:szCs w:val="24"/>
              </w:rPr>
            </w:pPr>
            <w:r>
              <w:rPr>
                <w:rFonts w:hint="eastAsia"/>
                <w:szCs w:val="24"/>
              </w:rPr>
              <w:t>0.9L</w:t>
            </w:r>
          </w:p>
        </w:tc>
        <w:tc>
          <w:tcPr>
            <w:tcW w:w="1099" w:type="dxa"/>
            <w:vAlign w:val="center"/>
          </w:tcPr>
          <w:p w14:paraId="0B9E68B4">
            <w:pPr>
              <w:jc w:val="center"/>
              <w:rPr>
                <w:szCs w:val="24"/>
              </w:rPr>
            </w:pPr>
            <w:r>
              <w:rPr>
                <w:rFonts w:hint="eastAsia"/>
                <w:szCs w:val="24"/>
              </w:rPr>
              <w:t>/</w:t>
            </w:r>
          </w:p>
        </w:tc>
        <w:tc>
          <w:tcPr>
            <w:tcW w:w="679" w:type="dxa"/>
            <w:vAlign w:val="center"/>
          </w:tcPr>
          <w:p w14:paraId="572370F8">
            <w:pPr>
              <w:jc w:val="center"/>
              <w:rPr>
                <w:szCs w:val="24"/>
              </w:rPr>
            </w:pPr>
            <w:r>
              <w:rPr>
                <w:rFonts w:hint="eastAsia"/>
                <w:szCs w:val="24"/>
              </w:rPr>
              <w:t>/</w:t>
            </w:r>
          </w:p>
        </w:tc>
      </w:tr>
      <w:tr w14:paraId="617EDF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1" w:type="dxa"/>
            <w:vMerge w:val="continue"/>
            <w:vAlign w:val="center"/>
          </w:tcPr>
          <w:p w14:paraId="0F47B2DE">
            <w:pPr>
              <w:jc w:val="center"/>
              <w:rPr>
                <w:szCs w:val="24"/>
              </w:rPr>
            </w:pPr>
          </w:p>
        </w:tc>
        <w:tc>
          <w:tcPr>
            <w:tcW w:w="1957" w:type="dxa"/>
            <w:vAlign w:val="center"/>
          </w:tcPr>
          <w:p w14:paraId="4CA5A964">
            <w:pPr>
              <w:jc w:val="center"/>
              <w:rPr>
                <w:szCs w:val="24"/>
              </w:rPr>
            </w:pPr>
            <w:r>
              <w:rPr>
                <w:rFonts w:hint="eastAsia"/>
                <w:szCs w:val="24"/>
              </w:rPr>
              <w:t>氯化氢</w:t>
            </w:r>
            <w:r>
              <w:rPr>
                <w:szCs w:val="24"/>
              </w:rPr>
              <w:t>排放浓度</w:t>
            </w:r>
            <w:r>
              <w:rPr>
                <w:rFonts w:hint="eastAsia"/>
                <w:szCs w:val="24"/>
              </w:rPr>
              <w:t>（</w:t>
            </w:r>
            <w:r>
              <w:rPr>
                <w:szCs w:val="24"/>
              </w:rPr>
              <w:t>标.干</w:t>
            </w:r>
            <w:r>
              <w:rPr>
                <w:rFonts w:hint="eastAsia"/>
                <w:szCs w:val="24"/>
              </w:rPr>
              <w:t>）</w:t>
            </w:r>
          </w:p>
        </w:tc>
        <w:tc>
          <w:tcPr>
            <w:tcW w:w="851" w:type="dxa"/>
            <w:vAlign w:val="center"/>
          </w:tcPr>
          <w:p w14:paraId="0A604AC1">
            <w:pPr>
              <w:jc w:val="center"/>
            </w:pPr>
            <w:r>
              <w:t>mg/m</w:t>
            </w:r>
            <w:r>
              <w:rPr>
                <w:vertAlign w:val="superscript"/>
              </w:rPr>
              <w:t>3</w:t>
            </w:r>
          </w:p>
        </w:tc>
        <w:tc>
          <w:tcPr>
            <w:tcW w:w="1098" w:type="dxa"/>
            <w:vAlign w:val="center"/>
          </w:tcPr>
          <w:p w14:paraId="2B209765">
            <w:pPr>
              <w:jc w:val="center"/>
              <w:rPr>
                <w:szCs w:val="24"/>
              </w:rPr>
            </w:pPr>
            <w:r>
              <w:rPr>
                <w:rFonts w:hint="eastAsia"/>
                <w:szCs w:val="24"/>
              </w:rPr>
              <w:t>0.9L</w:t>
            </w:r>
          </w:p>
        </w:tc>
        <w:tc>
          <w:tcPr>
            <w:tcW w:w="1099" w:type="dxa"/>
            <w:vAlign w:val="center"/>
          </w:tcPr>
          <w:p w14:paraId="1C5CC9E5">
            <w:pPr>
              <w:jc w:val="center"/>
              <w:rPr>
                <w:szCs w:val="24"/>
              </w:rPr>
            </w:pPr>
            <w:r>
              <w:rPr>
                <w:rFonts w:hint="eastAsia"/>
                <w:szCs w:val="24"/>
              </w:rPr>
              <w:t>0.9L</w:t>
            </w:r>
          </w:p>
        </w:tc>
        <w:tc>
          <w:tcPr>
            <w:tcW w:w="1099" w:type="dxa"/>
            <w:vAlign w:val="center"/>
          </w:tcPr>
          <w:p w14:paraId="2EBA259E">
            <w:pPr>
              <w:jc w:val="center"/>
              <w:rPr>
                <w:szCs w:val="24"/>
              </w:rPr>
            </w:pPr>
            <w:r>
              <w:rPr>
                <w:rFonts w:hint="eastAsia"/>
                <w:szCs w:val="24"/>
              </w:rPr>
              <w:t>0.9L</w:t>
            </w:r>
          </w:p>
        </w:tc>
        <w:tc>
          <w:tcPr>
            <w:tcW w:w="1099" w:type="dxa"/>
            <w:vAlign w:val="center"/>
          </w:tcPr>
          <w:p w14:paraId="3641E68E">
            <w:pPr>
              <w:jc w:val="center"/>
              <w:rPr>
                <w:rFonts w:hint="default" w:eastAsia="宋体"/>
                <w:szCs w:val="24"/>
                <w:lang w:val="en-US" w:eastAsia="zh-CN"/>
              </w:rPr>
            </w:pPr>
            <w:r>
              <w:rPr>
                <w:rFonts w:hint="eastAsia"/>
                <w:szCs w:val="24"/>
              </w:rPr>
              <w:t>0.9L</w:t>
            </w:r>
          </w:p>
        </w:tc>
        <w:tc>
          <w:tcPr>
            <w:tcW w:w="679" w:type="dxa"/>
            <w:vAlign w:val="center"/>
          </w:tcPr>
          <w:p w14:paraId="1936AC5B">
            <w:pPr>
              <w:jc w:val="center"/>
              <w:rPr>
                <w:szCs w:val="24"/>
              </w:rPr>
            </w:pPr>
            <w:r>
              <w:rPr>
                <w:rFonts w:hint="eastAsia"/>
                <w:szCs w:val="24"/>
              </w:rPr>
              <w:t>100</w:t>
            </w:r>
          </w:p>
        </w:tc>
      </w:tr>
      <w:tr w14:paraId="5D9B82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1" w:type="dxa"/>
            <w:vMerge w:val="continue"/>
            <w:vAlign w:val="center"/>
          </w:tcPr>
          <w:p w14:paraId="5B53CCF0">
            <w:pPr>
              <w:jc w:val="center"/>
              <w:rPr>
                <w:szCs w:val="24"/>
              </w:rPr>
            </w:pPr>
          </w:p>
        </w:tc>
        <w:tc>
          <w:tcPr>
            <w:tcW w:w="1957" w:type="dxa"/>
            <w:vAlign w:val="center"/>
          </w:tcPr>
          <w:p w14:paraId="38E9F86B">
            <w:pPr>
              <w:jc w:val="center"/>
              <w:rPr>
                <w:szCs w:val="24"/>
              </w:rPr>
            </w:pPr>
            <w:r>
              <w:rPr>
                <w:rFonts w:hint="eastAsia"/>
                <w:szCs w:val="24"/>
              </w:rPr>
              <w:t>氯化氢</w:t>
            </w:r>
            <w:r>
              <w:rPr>
                <w:szCs w:val="24"/>
              </w:rPr>
              <w:t>排放</w:t>
            </w:r>
            <w:r>
              <w:rPr>
                <w:rFonts w:hint="eastAsia"/>
                <w:szCs w:val="24"/>
              </w:rPr>
              <w:t>速率</w:t>
            </w:r>
          </w:p>
        </w:tc>
        <w:tc>
          <w:tcPr>
            <w:tcW w:w="851" w:type="dxa"/>
            <w:vAlign w:val="center"/>
          </w:tcPr>
          <w:p w14:paraId="02EBE390">
            <w:pPr>
              <w:jc w:val="center"/>
            </w:pPr>
            <w:r>
              <w:t>kg/h</w:t>
            </w:r>
          </w:p>
        </w:tc>
        <w:tc>
          <w:tcPr>
            <w:tcW w:w="1098" w:type="dxa"/>
            <w:vAlign w:val="center"/>
          </w:tcPr>
          <w:p w14:paraId="2E85B1C1">
            <w:pPr>
              <w:jc w:val="center"/>
              <w:rPr>
                <w:rFonts w:hint="eastAsia" w:eastAsia="宋体"/>
                <w:szCs w:val="24"/>
                <w:lang w:val="en-US" w:eastAsia="zh-CN"/>
              </w:rPr>
            </w:pPr>
            <w:r>
              <w:rPr>
                <w:rFonts w:hint="eastAsia"/>
                <w:szCs w:val="24"/>
              </w:rPr>
              <w:t>N</w:t>
            </w:r>
          </w:p>
        </w:tc>
        <w:tc>
          <w:tcPr>
            <w:tcW w:w="1099" w:type="dxa"/>
            <w:vAlign w:val="center"/>
          </w:tcPr>
          <w:p w14:paraId="5A00F38F">
            <w:pPr>
              <w:jc w:val="center"/>
              <w:rPr>
                <w:rFonts w:hint="eastAsia" w:eastAsia="宋体"/>
                <w:szCs w:val="24"/>
                <w:lang w:val="en-US" w:eastAsia="zh-CN"/>
              </w:rPr>
            </w:pPr>
            <w:r>
              <w:rPr>
                <w:rFonts w:hint="eastAsia"/>
                <w:szCs w:val="24"/>
              </w:rPr>
              <w:t>N</w:t>
            </w:r>
          </w:p>
        </w:tc>
        <w:tc>
          <w:tcPr>
            <w:tcW w:w="1099" w:type="dxa"/>
            <w:vAlign w:val="center"/>
          </w:tcPr>
          <w:p w14:paraId="718C9980">
            <w:pPr>
              <w:jc w:val="center"/>
              <w:rPr>
                <w:rFonts w:hint="eastAsia" w:eastAsia="宋体"/>
                <w:szCs w:val="24"/>
                <w:lang w:val="en-US" w:eastAsia="zh-CN"/>
              </w:rPr>
            </w:pPr>
            <w:r>
              <w:rPr>
                <w:rFonts w:hint="eastAsia"/>
                <w:szCs w:val="24"/>
              </w:rPr>
              <w:t>N</w:t>
            </w:r>
          </w:p>
        </w:tc>
        <w:tc>
          <w:tcPr>
            <w:tcW w:w="1099" w:type="dxa"/>
            <w:vAlign w:val="center"/>
          </w:tcPr>
          <w:p w14:paraId="39E9BA90">
            <w:pPr>
              <w:jc w:val="center"/>
              <w:rPr>
                <w:rFonts w:hint="eastAsia" w:eastAsia="宋体"/>
                <w:szCs w:val="24"/>
                <w:lang w:val="en-US" w:eastAsia="zh-CN"/>
              </w:rPr>
            </w:pPr>
            <w:r>
              <w:rPr>
                <w:rFonts w:hint="eastAsia"/>
                <w:szCs w:val="24"/>
              </w:rPr>
              <w:t>N</w:t>
            </w:r>
          </w:p>
        </w:tc>
        <w:tc>
          <w:tcPr>
            <w:tcW w:w="679" w:type="dxa"/>
            <w:vAlign w:val="center"/>
          </w:tcPr>
          <w:p w14:paraId="56A6F1EA">
            <w:pPr>
              <w:jc w:val="center"/>
              <w:rPr>
                <w:szCs w:val="24"/>
              </w:rPr>
            </w:pPr>
            <w:r>
              <w:rPr>
                <w:rFonts w:hint="eastAsia"/>
                <w:szCs w:val="24"/>
              </w:rPr>
              <w:t>0.43</w:t>
            </w:r>
          </w:p>
        </w:tc>
      </w:tr>
      <w:tr w14:paraId="4F27BC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1" w:type="dxa"/>
            <w:vMerge w:val="restart"/>
            <w:vAlign w:val="center"/>
          </w:tcPr>
          <w:p w14:paraId="31E6DF45">
            <w:pPr>
              <w:jc w:val="center"/>
              <w:rPr>
                <w:szCs w:val="24"/>
              </w:rPr>
            </w:pPr>
            <w:r>
              <w:rPr>
                <w:rFonts w:hint="eastAsia"/>
                <w:szCs w:val="24"/>
              </w:rPr>
              <w:t>监测日期</w:t>
            </w:r>
          </w:p>
        </w:tc>
        <w:tc>
          <w:tcPr>
            <w:tcW w:w="1957" w:type="dxa"/>
            <w:vMerge w:val="restart"/>
            <w:vAlign w:val="center"/>
          </w:tcPr>
          <w:p w14:paraId="01102DD7">
            <w:pPr>
              <w:jc w:val="center"/>
              <w:rPr>
                <w:szCs w:val="24"/>
              </w:rPr>
            </w:pPr>
            <w:r>
              <w:rPr>
                <w:szCs w:val="24"/>
              </w:rPr>
              <w:t>项目</w:t>
            </w:r>
          </w:p>
        </w:tc>
        <w:tc>
          <w:tcPr>
            <w:tcW w:w="851" w:type="dxa"/>
            <w:vMerge w:val="restart"/>
            <w:vAlign w:val="center"/>
          </w:tcPr>
          <w:p w14:paraId="64BB476D">
            <w:pPr>
              <w:jc w:val="center"/>
              <w:rPr>
                <w:szCs w:val="24"/>
              </w:rPr>
            </w:pPr>
            <w:r>
              <w:rPr>
                <w:szCs w:val="24"/>
              </w:rPr>
              <w:t>单位</w:t>
            </w:r>
          </w:p>
        </w:tc>
        <w:tc>
          <w:tcPr>
            <w:tcW w:w="3296" w:type="dxa"/>
            <w:gridSpan w:val="3"/>
            <w:vAlign w:val="center"/>
          </w:tcPr>
          <w:p w14:paraId="7FB014E2">
            <w:pPr>
              <w:jc w:val="center"/>
              <w:rPr>
                <w:szCs w:val="24"/>
              </w:rPr>
            </w:pPr>
            <w:r>
              <w:rPr>
                <w:rFonts w:hint="eastAsia"/>
                <w:szCs w:val="24"/>
              </w:rPr>
              <w:t>监测点位及编号</w:t>
            </w:r>
          </w:p>
        </w:tc>
        <w:tc>
          <w:tcPr>
            <w:tcW w:w="1099" w:type="dxa"/>
            <w:vMerge w:val="restart"/>
            <w:vAlign w:val="center"/>
          </w:tcPr>
          <w:p w14:paraId="211E2A2C">
            <w:pPr>
              <w:jc w:val="center"/>
              <w:rPr>
                <w:szCs w:val="24"/>
              </w:rPr>
            </w:pPr>
            <w:r>
              <w:rPr>
                <w:rFonts w:hint="eastAsia"/>
                <w:szCs w:val="24"/>
              </w:rPr>
              <w:t>平均值</w:t>
            </w:r>
          </w:p>
        </w:tc>
        <w:tc>
          <w:tcPr>
            <w:tcW w:w="679" w:type="dxa"/>
            <w:vMerge w:val="restart"/>
            <w:vAlign w:val="center"/>
          </w:tcPr>
          <w:p w14:paraId="1D44AE6E">
            <w:pPr>
              <w:jc w:val="center"/>
              <w:rPr>
                <w:szCs w:val="24"/>
              </w:rPr>
            </w:pPr>
            <w:r>
              <w:rPr>
                <w:rFonts w:hint="eastAsia"/>
                <w:szCs w:val="24"/>
              </w:rPr>
              <w:t>排放</w:t>
            </w:r>
          </w:p>
          <w:p w14:paraId="6EE480A2">
            <w:pPr>
              <w:jc w:val="center"/>
              <w:rPr>
                <w:szCs w:val="24"/>
              </w:rPr>
            </w:pPr>
            <w:r>
              <w:rPr>
                <w:rFonts w:hint="eastAsia"/>
                <w:szCs w:val="24"/>
              </w:rPr>
              <w:t>限值</w:t>
            </w:r>
          </w:p>
        </w:tc>
      </w:tr>
      <w:tr w14:paraId="65AC93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1" w:type="dxa"/>
            <w:vMerge w:val="continue"/>
            <w:vAlign w:val="center"/>
          </w:tcPr>
          <w:p w14:paraId="42740832">
            <w:pPr>
              <w:jc w:val="center"/>
              <w:rPr>
                <w:szCs w:val="24"/>
              </w:rPr>
            </w:pPr>
          </w:p>
        </w:tc>
        <w:tc>
          <w:tcPr>
            <w:tcW w:w="1957" w:type="dxa"/>
            <w:vMerge w:val="continue"/>
            <w:vAlign w:val="center"/>
          </w:tcPr>
          <w:p w14:paraId="786B5042">
            <w:pPr>
              <w:jc w:val="center"/>
              <w:rPr>
                <w:szCs w:val="24"/>
              </w:rPr>
            </w:pPr>
          </w:p>
        </w:tc>
        <w:tc>
          <w:tcPr>
            <w:tcW w:w="851" w:type="dxa"/>
            <w:vMerge w:val="continue"/>
            <w:vAlign w:val="center"/>
          </w:tcPr>
          <w:p w14:paraId="47F2FBF9">
            <w:pPr>
              <w:jc w:val="center"/>
              <w:rPr>
                <w:szCs w:val="24"/>
              </w:rPr>
            </w:pPr>
          </w:p>
        </w:tc>
        <w:tc>
          <w:tcPr>
            <w:tcW w:w="1098" w:type="dxa"/>
            <w:vAlign w:val="center"/>
          </w:tcPr>
          <w:p w14:paraId="4FB94D02">
            <w:pPr>
              <w:jc w:val="center"/>
              <w:rPr>
                <w:spacing w:val="-8"/>
              </w:rPr>
            </w:pPr>
            <w:r>
              <w:rPr>
                <w:spacing w:val="-8"/>
              </w:rPr>
              <w:t>25HY0004</w:t>
            </w:r>
            <w:r>
              <w:rPr>
                <w:rFonts w:hint="eastAsia"/>
                <w:spacing w:val="-8"/>
              </w:rPr>
              <w:t>FQ2</w:t>
            </w:r>
            <w:r>
              <w:rPr>
                <w:spacing w:val="-8"/>
              </w:rPr>
              <w:t>-</w:t>
            </w:r>
            <w:r>
              <w:rPr>
                <w:rFonts w:hint="eastAsia"/>
                <w:spacing w:val="-8"/>
              </w:rPr>
              <w:t>2</w:t>
            </w:r>
            <w:r>
              <w:rPr>
                <w:spacing w:val="-8"/>
              </w:rPr>
              <w:t>-1</w:t>
            </w:r>
          </w:p>
        </w:tc>
        <w:tc>
          <w:tcPr>
            <w:tcW w:w="1099" w:type="dxa"/>
            <w:vAlign w:val="center"/>
          </w:tcPr>
          <w:p w14:paraId="12CC1F7E">
            <w:pPr>
              <w:jc w:val="center"/>
              <w:rPr>
                <w:spacing w:val="-8"/>
              </w:rPr>
            </w:pPr>
            <w:r>
              <w:rPr>
                <w:spacing w:val="-8"/>
              </w:rPr>
              <w:t>25HY0004</w:t>
            </w:r>
            <w:r>
              <w:rPr>
                <w:rFonts w:hint="eastAsia"/>
                <w:spacing w:val="-8"/>
              </w:rPr>
              <w:t>FQ2</w:t>
            </w:r>
            <w:r>
              <w:rPr>
                <w:spacing w:val="-8"/>
              </w:rPr>
              <w:t>-</w:t>
            </w:r>
            <w:r>
              <w:rPr>
                <w:rFonts w:hint="eastAsia"/>
                <w:spacing w:val="-8"/>
              </w:rPr>
              <w:t>2</w:t>
            </w:r>
            <w:r>
              <w:rPr>
                <w:spacing w:val="-8"/>
              </w:rPr>
              <w:t>-</w:t>
            </w:r>
            <w:r>
              <w:rPr>
                <w:rFonts w:hint="eastAsia"/>
                <w:spacing w:val="-8"/>
              </w:rPr>
              <w:t>2</w:t>
            </w:r>
          </w:p>
        </w:tc>
        <w:tc>
          <w:tcPr>
            <w:tcW w:w="1099" w:type="dxa"/>
            <w:vAlign w:val="center"/>
          </w:tcPr>
          <w:p w14:paraId="3BE0EF7A">
            <w:pPr>
              <w:jc w:val="center"/>
              <w:rPr>
                <w:spacing w:val="-8"/>
              </w:rPr>
            </w:pPr>
            <w:r>
              <w:rPr>
                <w:spacing w:val="-8"/>
              </w:rPr>
              <w:t>25HY0004</w:t>
            </w:r>
            <w:r>
              <w:rPr>
                <w:rFonts w:hint="eastAsia"/>
                <w:spacing w:val="-8"/>
              </w:rPr>
              <w:t>FQ2</w:t>
            </w:r>
            <w:r>
              <w:rPr>
                <w:spacing w:val="-8"/>
              </w:rPr>
              <w:t>-</w:t>
            </w:r>
            <w:r>
              <w:rPr>
                <w:rFonts w:hint="eastAsia"/>
                <w:spacing w:val="-8"/>
              </w:rPr>
              <w:t>2</w:t>
            </w:r>
            <w:r>
              <w:rPr>
                <w:spacing w:val="-8"/>
              </w:rPr>
              <w:t>-</w:t>
            </w:r>
            <w:r>
              <w:rPr>
                <w:rFonts w:hint="eastAsia"/>
                <w:spacing w:val="-8"/>
              </w:rPr>
              <w:t>3</w:t>
            </w:r>
          </w:p>
        </w:tc>
        <w:tc>
          <w:tcPr>
            <w:tcW w:w="1099" w:type="dxa"/>
            <w:vMerge w:val="continue"/>
            <w:vAlign w:val="center"/>
          </w:tcPr>
          <w:p w14:paraId="3F4FF8D5">
            <w:pPr>
              <w:jc w:val="center"/>
              <w:rPr>
                <w:szCs w:val="24"/>
              </w:rPr>
            </w:pPr>
          </w:p>
        </w:tc>
        <w:tc>
          <w:tcPr>
            <w:tcW w:w="679" w:type="dxa"/>
            <w:vMerge w:val="continue"/>
            <w:vAlign w:val="center"/>
          </w:tcPr>
          <w:p w14:paraId="7A09D13A">
            <w:pPr>
              <w:jc w:val="center"/>
              <w:rPr>
                <w:szCs w:val="24"/>
              </w:rPr>
            </w:pPr>
          </w:p>
        </w:tc>
      </w:tr>
      <w:tr w14:paraId="5CD9A9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1" w:type="dxa"/>
            <w:vMerge w:val="restart"/>
            <w:vAlign w:val="center"/>
          </w:tcPr>
          <w:p w14:paraId="28AB677D">
            <w:pPr>
              <w:jc w:val="center"/>
              <w:rPr>
                <w:szCs w:val="24"/>
              </w:rPr>
            </w:pPr>
            <w:r>
              <w:rPr>
                <w:rFonts w:hint="eastAsia"/>
                <w:szCs w:val="24"/>
              </w:rPr>
              <w:t>20250425</w:t>
            </w:r>
          </w:p>
        </w:tc>
        <w:tc>
          <w:tcPr>
            <w:tcW w:w="1957" w:type="dxa"/>
            <w:vAlign w:val="center"/>
          </w:tcPr>
          <w:p w14:paraId="52ADECFE">
            <w:pPr>
              <w:jc w:val="center"/>
              <w:rPr>
                <w:szCs w:val="24"/>
              </w:rPr>
            </w:pPr>
            <w:r>
              <w:t>烟气流速</w:t>
            </w:r>
          </w:p>
        </w:tc>
        <w:tc>
          <w:tcPr>
            <w:tcW w:w="851" w:type="dxa"/>
            <w:vAlign w:val="center"/>
          </w:tcPr>
          <w:p w14:paraId="7569AA28">
            <w:pPr>
              <w:jc w:val="center"/>
              <w:rPr>
                <w:szCs w:val="24"/>
              </w:rPr>
            </w:pPr>
            <w:r>
              <w:t>m/s</w:t>
            </w:r>
          </w:p>
        </w:tc>
        <w:tc>
          <w:tcPr>
            <w:tcW w:w="1098" w:type="dxa"/>
            <w:vAlign w:val="center"/>
          </w:tcPr>
          <w:p w14:paraId="71B1B138">
            <w:pPr>
              <w:jc w:val="center"/>
              <w:rPr>
                <w:szCs w:val="24"/>
              </w:rPr>
            </w:pPr>
            <w:r>
              <w:rPr>
                <w:rFonts w:hint="eastAsia"/>
                <w:szCs w:val="24"/>
              </w:rPr>
              <w:t>8.1</w:t>
            </w:r>
          </w:p>
        </w:tc>
        <w:tc>
          <w:tcPr>
            <w:tcW w:w="1099" w:type="dxa"/>
            <w:vAlign w:val="center"/>
          </w:tcPr>
          <w:p w14:paraId="48E8B8BD">
            <w:pPr>
              <w:jc w:val="center"/>
              <w:rPr>
                <w:szCs w:val="24"/>
              </w:rPr>
            </w:pPr>
            <w:r>
              <w:rPr>
                <w:rFonts w:hint="eastAsia"/>
                <w:szCs w:val="24"/>
              </w:rPr>
              <w:t>7.5</w:t>
            </w:r>
          </w:p>
        </w:tc>
        <w:tc>
          <w:tcPr>
            <w:tcW w:w="1099" w:type="dxa"/>
            <w:vAlign w:val="center"/>
          </w:tcPr>
          <w:p w14:paraId="23040D31">
            <w:pPr>
              <w:jc w:val="center"/>
              <w:rPr>
                <w:szCs w:val="24"/>
              </w:rPr>
            </w:pPr>
            <w:r>
              <w:rPr>
                <w:rFonts w:hint="eastAsia"/>
                <w:szCs w:val="24"/>
              </w:rPr>
              <w:t>7.8</w:t>
            </w:r>
          </w:p>
        </w:tc>
        <w:tc>
          <w:tcPr>
            <w:tcW w:w="1099" w:type="dxa"/>
            <w:vAlign w:val="center"/>
          </w:tcPr>
          <w:p w14:paraId="6D7AE52B">
            <w:pPr>
              <w:jc w:val="center"/>
              <w:rPr>
                <w:szCs w:val="24"/>
              </w:rPr>
            </w:pPr>
            <w:r>
              <w:rPr>
                <w:rFonts w:hint="eastAsia"/>
                <w:szCs w:val="24"/>
              </w:rPr>
              <w:t>/</w:t>
            </w:r>
          </w:p>
        </w:tc>
        <w:tc>
          <w:tcPr>
            <w:tcW w:w="679" w:type="dxa"/>
            <w:vAlign w:val="center"/>
          </w:tcPr>
          <w:p w14:paraId="1EB690B1">
            <w:pPr>
              <w:jc w:val="center"/>
              <w:rPr>
                <w:szCs w:val="24"/>
              </w:rPr>
            </w:pPr>
            <w:r>
              <w:rPr>
                <w:rFonts w:hint="eastAsia"/>
                <w:szCs w:val="24"/>
              </w:rPr>
              <w:t>/</w:t>
            </w:r>
          </w:p>
        </w:tc>
      </w:tr>
      <w:tr w14:paraId="7057B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1" w:type="dxa"/>
            <w:vMerge w:val="continue"/>
            <w:vAlign w:val="center"/>
          </w:tcPr>
          <w:p w14:paraId="254FF1E0">
            <w:pPr>
              <w:jc w:val="center"/>
              <w:rPr>
                <w:szCs w:val="24"/>
              </w:rPr>
            </w:pPr>
          </w:p>
        </w:tc>
        <w:tc>
          <w:tcPr>
            <w:tcW w:w="1957" w:type="dxa"/>
            <w:vAlign w:val="center"/>
          </w:tcPr>
          <w:p w14:paraId="06FEDA8C">
            <w:pPr>
              <w:jc w:val="center"/>
              <w:rPr>
                <w:szCs w:val="24"/>
              </w:rPr>
            </w:pPr>
            <w:r>
              <w:rPr>
                <w:szCs w:val="24"/>
              </w:rPr>
              <w:t>烟气流量</w:t>
            </w:r>
            <w:r>
              <w:rPr>
                <w:rFonts w:hint="eastAsia"/>
                <w:szCs w:val="24"/>
              </w:rPr>
              <w:t>（</w:t>
            </w:r>
            <w:r>
              <w:rPr>
                <w:szCs w:val="24"/>
              </w:rPr>
              <w:t>标.干</w:t>
            </w:r>
            <w:r>
              <w:rPr>
                <w:rFonts w:hint="eastAsia"/>
                <w:szCs w:val="24"/>
              </w:rPr>
              <w:t>）</w:t>
            </w:r>
          </w:p>
        </w:tc>
        <w:tc>
          <w:tcPr>
            <w:tcW w:w="851" w:type="dxa"/>
            <w:vAlign w:val="center"/>
          </w:tcPr>
          <w:p w14:paraId="7A12DADD">
            <w:pPr>
              <w:jc w:val="center"/>
              <w:rPr>
                <w:szCs w:val="24"/>
              </w:rPr>
            </w:pPr>
            <w:r>
              <w:t>m</w:t>
            </w:r>
            <w:r>
              <w:rPr>
                <w:vertAlign w:val="superscript"/>
              </w:rPr>
              <w:t>3</w:t>
            </w:r>
            <w:r>
              <w:t>/h</w:t>
            </w:r>
          </w:p>
        </w:tc>
        <w:tc>
          <w:tcPr>
            <w:tcW w:w="1098" w:type="dxa"/>
            <w:vAlign w:val="center"/>
          </w:tcPr>
          <w:p w14:paraId="40633E5B">
            <w:pPr>
              <w:jc w:val="center"/>
              <w:rPr>
                <w:szCs w:val="24"/>
              </w:rPr>
            </w:pPr>
            <w:r>
              <w:rPr>
                <w:rFonts w:hint="eastAsia"/>
                <w:szCs w:val="24"/>
              </w:rPr>
              <w:t>7.30</w:t>
            </w:r>
            <w:r>
              <w:t>×10</w:t>
            </w:r>
            <w:r>
              <w:rPr>
                <w:rFonts w:hint="eastAsia"/>
                <w:vertAlign w:val="superscript"/>
              </w:rPr>
              <w:t>3</w:t>
            </w:r>
          </w:p>
        </w:tc>
        <w:tc>
          <w:tcPr>
            <w:tcW w:w="1099" w:type="dxa"/>
            <w:vAlign w:val="center"/>
          </w:tcPr>
          <w:p w14:paraId="3A5BFC74">
            <w:pPr>
              <w:jc w:val="center"/>
              <w:rPr>
                <w:szCs w:val="24"/>
              </w:rPr>
            </w:pPr>
            <w:r>
              <w:rPr>
                <w:rFonts w:hint="eastAsia"/>
                <w:szCs w:val="24"/>
              </w:rPr>
              <w:t>6.74</w:t>
            </w:r>
            <w:r>
              <w:t>×10</w:t>
            </w:r>
            <w:r>
              <w:rPr>
                <w:rFonts w:hint="eastAsia"/>
                <w:vertAlign w:val="superscript"/>
              </w:rPr>
              <w:t>3</w:t>
            </w:r>
          </w:p>
        </w:tc>
        <w:tc>
          <w:tcPr>
            <w:tcW w:w="1099" w:type="dxa"/>
            <w:vAlign w:val="center"/>
          </w:tcPr>
          <w:p w14:paraId="75F0CE58">
            <w:pPr>
              <w:jc w:val="center"/>
              <w:rPr>
                <w:szCs w:val="24"/>
              </w:rPr>
            </w:pPr>
            <w:r>
              <w:rPr>
                <w:rFonts w:hint="eastAsia"/>
                <w:szCs w:val="24"/>
              </w:rPr>
              <w:t>7.01</w:t>
            </w:r>
            <w:r>
              <w:t>×10</w:t>
            </w:r>
            <w:r>
              <w:rPr>
                <w:rFonts w:hint="eastAsia"/>
                <w:vertAlign w:val="superscript"/>
              </w:rPr>
              <w:t>3</w:t>
            </w:r>
          </w:p>
        </w:tc>
        <w:tc>
          <w:tcPr>
            <w:tcW w:w="1099" w:type="dxa"/>
            <w:vAlign w:val="center"/>
          </w:tcPr>
          <w:p w14:paraId="32290EDD">
            <w:pPr>
              <w:jc w:val="center"/>
              <w:rPr>
                <w:szCs w:val="24"/>
              </w:rPr>
            </w:pPr>
            <w:r>
              <w:rPr>
                <w:rFonts w:hint="eastAsia"/>
                <w:szCs w:val="24"/>
              </w:rPr>
              <w:t>/</w:t>
            </w:r>
          </w:p>
        </w:tc>
        <w:tc>
          <w:tcPr>
            <w:tcW w:w="679" w:type="dxa"/>
            <w:vAlign w:val="center"/>
          </w:tcPr>
          <w:p w14:paraId="6C2C08BA">
            <w:pPr>
              <w:jc w:val="center"/>
              <w:rPr>
                <w:szCs w:val="24"/>
              </w:rPr>
            </w:pPr>
            <w:r>
              <w:rPr>
                <w:rFonts w:hint="eastAsia"/>
                <w:szCs w:val="24"/>
              </w:rPr>
              <w:t>/</w:t>
            </w:r>
          </w:p>
        </w:tc>
      </w:tr>
      <w:tr w14:paraId="4CCC63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1" w:type="dxa"/>
            <w:vMerge w:val="continue"/>
            <w:vAlign w:val="center"/>
          </w:tcPr>
          <w:p w14:paraId="70EB7C05">
            <w:pPr>
              <w:jc w:val="center"/>
              <w:rPr>
                <w:szCs w:val="24"/>
              </w:rPr>
            </w:pPr>
          </w:p>
        </w:tc>
        <w:tc>
          <w:tcPr>
            <w:tcW w:w="1957" w:type="dxa"/>
            <w:vAlign w:val="center"/>
          </w:tcPr>
          <w:p w14:paraId="1501B372">
            <w:pPr>
              <w:jc w:val="center"/>
              <w:rPr>
                <w:szCs w:val="24"/>
              </w:rPr>
            </w:pPr>
            <w:r>
              <w:rPr>
                <w:rFonts w:hint="eastAsia"/>
                <w:szCs w:val="24"/>
              </w:rPr>
              <w:t>硫酸雾</w:t>
            </w:r>
            <w:r>
              <w:rPr>
                <w:szCs w:val="24"/>
              </w:rPr>
              <w:t>实测浓度</w:t>
            </w:r>
            <w:r>
              <w:rPr>
                <w:rFonts w:hint="eastAsia"/>
                <w:szCs w:val="24"/>
              </w:rPr>
              <w:t>（</w:t>
            </w:r>
            <w:r>
              <w:rPr>
                <w:szCs w:val="24"/>
              </w:rPr>
              <w:t>标.干</w:t>
            </w:r>
            <w:r>
              <w:rPr>
                <w:rFonts w:hint="eastAsia"/>
                <w:szCs w:val="24"/>
              </w:rPr>
              <w:t>）</w:t>
            </w:r>
          </w:p>
        </w:tc>
        <w:tc>
          <w:tcPr>
            <w:tcW w:w="851" w:type="dxa"/>
            <w:vAlign w:val="center"/>
          </w:tcPr>
          <w:p w14:paraId="7D4DD7FB">
            <w:pPr>
              <w:jc w:val="center"/>
            </w:pPr>
            <w:r>
              <w:t>mg/m</w:t>
            </w:r>
            <w:r>
              <w:rPr>
                <w:vertAlign w:val="superscript"/>
              </w:rPr>
              <w:t>3</w:t>
            </w:r>
          </w:p>
        </w:tc>
        <w:tc>
          <w:tcPr>
            <w:tcW w:w="1098" w:type="dxa"/>
            <w:vAlign w:val="center"/>
          </w:tcPr>
          <w:p w14:paraId="2E63A189">
            <w:pPr>
              <w:jc w:val="center"/>
              <w:rPr>
                <w:szCs w:val="24"/>
              </w:rPr>
            </w:pPr>
            <w:r>
              <w:rPr>
                <w:rFonts w:hint="eastAsia"/>
                <w:szCs w:val="24"/>
              </w:rPr>
              <w:t>0.56</w:t>
            </w:r>
          </w:p>
        </w:tc>
        <w:tc>
          <w:tcPr>
            <w:tcW w:w="1099" w:type="dxa"/>
            <w:vAlign w:val="center"/>
          </w:tcPr>
          <w:p w14:paraId="3F38C73B">
            <w:pPr>
              <w:jc w:val="center"/>
              <w:rPr>
                <w:szCs w:val="24"/>
              </w:rPr>
            </w:pPr>
            <w:r>
              <w:rPr>
                <w:rFonts w:hint="eastAsia"/>
                <w:szCs w:val="24"/>
              </w:rPr>
              <w:t>0.63</w:t>
            </w:r>
          </w:p>
        </w:tc>
        <w:tc>
          <w:tcPr>
            <w:tcW w:w="1099" w:type="dxa"/>
            <w:vAlign w:val="center"/>
          </w:tcPr>
          <w:p w14:paraId="004000B3">
            <w:pPr>
              <w:jc w:val="center"/>
              <w:rPr>
                <w:szCs w:val="24"/>
              </w:rPr>
            </w:pPr>
            <w:r>
              <w:rPr>
                <w:rFonts w:hint="eastAsia"/>
                <w:szCs w:val="24"/>
              </w:rPr>
              <w:t>0.60</w:t>
            </w:r>
          </w:p>
        </w:tc>
        <w:tc>
          <w:tcPr>
            <w:tcW w:w="1099" w:type="dxa"/>
            <w:vAlign w:val="center"/>
          </w:tcPr>
          <w:p w14:paraId="32677379">
            <w:pPr>
              <w:jc w:val="center"/>
              <w:rPr>
                <w:szCs w:val="24"/>
              </w:rPr>
            </w:pPr>
            <w:r>
              <w:rPr>
                <w:szCs w:val="24"/>
              </w:rPr>
              <w:t>/</w:t>
            </w:r>
          </w:p>
        </w:tc>
        <w:tc>
          <w:tcPr>
            <w:tcW w:w="679" w:type="dxa"/>
            <w:vAlign w:val="center"/>
          </w:tcPr>
          <w:p w14:paraId="45C5B563">
            <w:pPr>
              <w:jc w:val="center"/>
              <w:rPr>
                <w:szCs w:val="24"/>
              </w:rPr>
            </w:pPr>
            <w:r>
              <w:rPr>
                <w:rFonts w:hint="eastAsia"/>
                <w:szCs w:val="24"/>
              </w:rPr>
              <w:t>/</w:t>
            </w:r>
          </w:p>
        </w:tc>
      </w:tr>
      <w:tr w14:paraId="2BB9F3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1" w:type="dxa"/>
            <w:vMerge w:val="continue"/>
            <w:vAlign w:val="center"/>
          </w:tcPr>
          <w:p w14:paraId="580AF7C9">
            <w:pPr>
              <w:jc w:val="center"/>
              <w:rPr>
                <w:szCs w:val="24"/>
              </w:rPr>
            </w:pPr>
          </w:p>
        </w:tc>
        <w:tc>
          <w:tcPr>
            <w:tcW w:w="1957" w:type="dxa"/>
            <w:vAlign w:val="center"/>
          </w:tcPr>
          <w:p w14:paraId="37D0C04C">
            <w:pPr>
              <w:jc w:val="center"/>
              <w:rPr>
                <w:szCs w:val="24"/>
              </w:rPr>
            </w:pPr>
            <w:r>
              <w:rPr>
                <w:rFonts w:hint="eastAsia"/>
                <w:szCs w:val="24"/>
              </w:rPr>
              <w:t>硫酸雾</w:t>
            </w:r>
            <w:r>
              <w:rPr>
                <w:szCs w:val="24"/>
              </w:rPr>
              <w:t>排放浓度</w:t>
            </w:r>
            <w:r>
              <w:rPr>
                <w:rFonts w:hint="eastAsia"/>
                <w:szCs w:val="24"/>
              </w:rPr>
              <w:t>（</w:t>
            </w:r>
            <w:r>
              <w:rPr>
                <w:szCs w:val="24"/>
              </w:rPr>
              <w:t>标.干</w:t>
            </w:r>
            <w:r>
              <w:rPr>
                <w:rFonts w:hint="eastAsia"/>
                <w:szCs w:val="24"/>
              </w:rPr>
              <w:t>）</w:t>
            </w:r>
          </w:p>
        </w:tc>
        <w:tc>
          <w:tcPr>
            <w:tcW w:w="851" w:type="dxa"/>
            <w:vAlign w:val="center"/>
          </w:tcPr>
          <w:p w14:paraId="5E6DFB20">
            <w:pPr>
              <w:jc w:val="center"/>
            </w:pPr>
            <w:r>
              <w:t>mg/m</w:t>
            </w:r>
            <w:r>
              <w:rPr>
                <w:vertAlign w:val="superscript"/>
              </w:rPr>
              <w:t>3</w:t>
            </w:r>
          </w:p>
        </w:tc>
        <w:tc>
          <w:tcPr>
            <w:tcW w:w="1098" w:type="dxa"/>
            <w:vAlign w:val="center"/>
          </w:tcPr>
          <w:p w14:paraId="3C47DA75">
            <w:pPr>
              <w:jc w:val="center"/>
              <w:rPr>
                <w:szCs w:val="24"/>
              </w:rPr>
            </w:pPr>
            <w:r>
              <w:rPr>
                <w:rFonts w:hint="eastAsia"/>
                <w:szCs w:val="24"/>
              </w:rPr>
              <w:t>0.56</w:t>
            </w:r>
          </w:p>
        </w:tc>
        <w:tc>
          <w:tcPr>
            <w:tcW w:w="1099" w:type="dxa"/>
            <w:vAlign w:val="center"/>
          </w:tcPr>
          <w:p w14:paraId="2B94A08F">
            <w:pPr>
              <w:jc w:val="center"/>
              <w:rPr>
                <w:szCs w:val="24"/>
              </w:rPr>
            </w:pPr>
            <w:r>
              <w:rPr>
                <w:rFonts w:hint="eastAsia"/>
                <w:szCs w:val="24"/>
              </w:rPr>
              <w:t>0.63</w:t>
            </w:r>
          </w:p>
        </w:tc>
        <w:tc>
          <w:tcPr>
            <w:tcW w:w="1099" w:type="dxa"/>
            <w:vAlign w:val="center"/>
          </w:tcPr>
          <w:p w14:paraId="7FE0508F">
            <w:pPr>
              <w:jc w:val="center"/>
              <w:rPr>
                <w:szCs w:val="24"/>
              </w:rPr>
            </w:pPr>
            <w:r>
              <w:rPr>
                <w:rFonts w:hint="eastAsia"/>
                <w:szCs w:val="24"/>
              </w:rPr>
              <w:t>0.60</w:t>
            </w:r>
          </w:p>
        </w:tc>
        <w:tc>
          <w:tcPr>
            <w:tcW w:w="1099" w:type="dxa"/>
            <w:vAlign w:val="center"/>
          </w:tcPr>
          <w:p w14:paraId="5B7F6A25">
            <w:pPr>
              <w:jc w:val="center"/>
              <w:rPr>
                <w:szCs w:val="24"/>
              </w:rPr>
            </w:pPr>
            <w:r>
              <w:rPr>
                <w:rFonts w:hint="eastAsia"/>
                <w:szCs w:val="24"/>
              </w:rPr>
              <w:t>0.60</w:t>
            </w:r>
          </w:p>
        </w:tc>
        <w:tc>
          <w:tcPr>
            <w:tcW w:w="679" w:type="dxa"/>
            <w:vAlign w:val="center"/>
          </w:tcPr>
          <w:p w14:paraId="4217F25F">
            <w:pPr>
              <w:jc w:val="center"/>
              <w:rPr>
                <w:szCs w:val="24"/>
              </w:rPr>
            </w:pPr>
            <w:r>
              <w:rPr>
                <w:rFonts w:hint="eastAsia"/>
                <w:szCs w:val="24"/>
              </w:rPr>
              <w:t>45</w:t>
            </w:r>
          </w:p>
        </w:tc>
      </w:tr>
      <w:tr w14:paraId="20B644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1" w:type="dxa"/>
            <w:vMerge w:val="continue"/>
            <w:vAlign w:val="center"/>
          </w:tcPr>
          <w:p w14:paraId="17C6843A">
            <w:pPr>
              <w:jc w:val="center"/>
              <w:rPr>
                <w:szCs w:val="24"/>
              </w:rPr>
            </w:pPr>
          </w:p>
        </w:tc>
        <w:tc>
          <w:tcPr>
            <w:tcW w:w="1957" w:type="dxa"/>
            <w:vAlign w:val="center"/>
          </w:tcPr>
          <w:p w14:paraId="35CB5E04">
            <w:pPr>
              <w:jc w:val="center"/>
              <w:rPr>
                <w:szCs w:val="24"/>
              </w:rPr>
            </w:pPr>
            <w:r>
              <w:rPr>
                <w:rFonts w:hint="eastAsia"/>
                <w:szCs w:val="24"/>
              </w:rPr>
              <w:t>硫酸雾</w:t>
            </w:r>
            <w:r>
              <w:rPr>
                <w:szCs w:val="24"/>
              </w:rPr>
              <w:t>排放</w:t>
            </w:r>
            <w:r>
              <w:rPr>
                <w:rFonts w:hint="eastAsia"/>
                <w:szCs w:val="24"/>
              </w:rPr>
              <w:t>速率</w:t>
            </w:r>
          </w:p>
        </w:tc>
        <w:tc>
          <w:tcPr>
            <w:tcW w:w="851" w:type="dxa"/>
            <w:vAlign w:val="center"/>
          </w:tcPr>
          <w:p w14:paraId="55E29B17">
            <w:pPr>
              <w:jc w:val="center"/>
            </w:pPr>
            <w:r>
              <w:t>kg/h</w:t>
            </w:r>
          </w:p>
        </w:tc>
        <w:tc>
          <w:tcPr>
            <w:tcW w:w="1098" w:type="dxa"/>
            <w:vAlign w:val="center"/>
          </w:tcPr>
          <w:p w14:paraId="7164A0D0">
            <w:pPr>
              <w:jc w:val="center"/>
              <w:rPr>
                <w:szCs w:val="24"/>
              </w:rPr>
            </w:pPr>
            <w:r>
              <w:rPr>
                <w:rFonts w:hint="eastAsia"/>
                <w:szCs w:val="24"/>
              </w:rPr>
              <w:t>4.09</w:t>
            </w:r>
            <w:r>
              <w:t>×10</w:t>
            </w:r>
            <w:r>
              <w:rPr>
                <w:rFonts w:hint="eastAsia"/>
                <w:vertAlign w:val="superscript"/>
              </w:rPr>
              <w:t>-3</w:t>
            </w:r>
          </w:p>
        </w:tc>
        <w:tc>
          <w:tcPr>
            <w:tcW w:w="1099" w:type="dxa"/>
            <w:vAlign w:val="center"/>
          </w:tcPr>
          <w:p w14:paraId="3C7A3523">
            <w:pPr>
              <w:jc w:val="center"/>
              <w:rPr>
                <w:szCs w:val="24"/>
              </w:rPr>
            </w:pPr>
            <w:r>
              <w:rPr>
                <w:rFonts w:hint="eastAsia"/>
                <w:szCs w:val="24"/>
              </w:rPr>
              <w:t>4.25</w:t>
            </w:r>
            <w:r>
              <w:t>×10</w:t>
            </w:r>
            <w:r>
              <w:rPr>
                <w:rFonts w:hint="eastAsia"/>
                <w:vertAlign w:val="superscript"/>
              </w:rPr>
              <w:t>-3</w:t>
            </w:r>
          </w:p>
        </w:tc>
        <w:tc>
          <w:tcPr>
            <w:tcW w:w="1099" w:type="dxa"/>
            <w:vAlign w:val="center"/>
          </w:tcPr>
          <w:p w14:paraId="37555702">
            <w:pPr>
              <w:jc w:val="center"/>
              <w:rPr>
                <w:szCs w:val="24"/>
              </w:rPr>
            </w:pPr>
            <w:r>
              <w:rPr>
                <w:rFonts w:hint="eastAsia"/>
                <w:szCs w:val="24"/>
              </w:rPr>
              <w:t>4.21</w:t>
            </w:r>
            <w:r>
              <w:t>×10</w:t>
            </w:r>
            <w:r>
              <w:rPr>
                <w:rFonts w:hint="eastAsia"/>
                <w:vertAlign w:val="superscript"/>
              </w:rPr>
              <w:t>-3</w:t>
            </w:r>
          </w:p>
        </w:tc>
        <w:tc>
          <w:tcPr>
            <w:tcW w:w="1099" w:type="dxa"/>
            <w:vAlign w:val="center"/>
          </w:tcPr>
          <w:p w14:paraId="5FF7B2A7">
            <w:pPr>
              <w:jc w:val="center"/>
              <w:rPr>
                <w:szCs w:val="24"/>
              </w:rPr>
            </w:pPr>
            <w:r>
              <w:rPr>
                <w:rFonts w:hint="eastAsia"/>
                <w:szCs w:val="24"/>
              </w:rPr>
              <w:t>4.18</w:t>
            </w:r>
            <w:r>
              <w:t>×10</w:t>
            </w:r>
            <w:r>
              <w:rPr>
                <w:rFonts w:hint="eastAsia"/>
                <w:vertAlign w:val="superscript"/>
              </w:rPr>
              <w:t>-3</w:t>
            </w:r>
          </w:p>
        </w:tc>
        <w:tc>
          <w:tcPr>
            <w:tcW w:w="679" w:type="dxa"/>
            <w:vAlign w:val="center"/>
          </w:tcPr>
          <w:p w14:paraId="3C8DA316">
            <w:pPr>
              <w:jc w:val="center"/>
              <w:rPr>
                <w:szCs w:val="24"/>
              </w:rPr>
            </w:pPr>
            <w:r>
              <w:rPr>
                <w:rFonts w:hint="eastAsia"/>
                <w:szCs w:val="24"/>
              </w:rPr>
              <w:t>2.6</w:t>
            </w:r>
          </w:p>
        </w:tc>
      </w:tr>
      <w:tr w14:paraId="72248A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1" w:type="dxa"/>
            <w:vMerge w:val="continue"/>
            <w:vAlign w:val="center"/>
          </w:tcPr>
          <w:p w14:paraId="0B6DF316">
            <w:pPr>
              <w:jc w:val="center"/>
              <w:rPr>
                <w:szCs w:val="24"/>
              </w:rPr>
            </w:pPr>
          </w:p>
        </w:tc>
        <w:tc>
          <w:tcPr>
            <w:tcW w:w="1957" w:type="dxa"/>
            <w:vAlign w:val="center"/>
          </w:tcPr>
          <w:p w14:paraId="141342A6">
            <w:pPr>
              <w:jc w:val="center"/>
              <w:rPr>
                <w:szCs w:val="24"/>
              </w:rPr>
            </w:pPr>
            <w:r>
              <w:rPr>
                <w:rFonts w:hint="eastAsia"/>
                <w:szCs w:val="24"/>
              </w:rPr>
              <w:t>氯化氢</w:t>
            </w:r>
            <w:r>
              <w:rPr>
                <w:szCs w:val="24"/>
              </w:rPr>
              <w:t>实测浓度</w:t>
            </w:r>
            <w:r>
              <w:rPr>
                <w:rFonts w:hint="eastAsia"/>
                <w:szCs w:val="24"/>
              </w:rPr>
              <w:t>（</w:t>
            </w:r>
            <w:r>
              <w:rPr>
                <w:szCs w:val="24"/>
              </w:rPr>
              <w:t>标.干</w:t>
            </w:r>
            <w:r>
              <w:rPr>
                <w:rFonts w:hint="eastAsia"/>
                <w:szCs w:val="24"/>
              </w:rPr>
              <w:t>）</w:t>
            </w:r>
          </w:p>
        </w:tc>
        <w:tc>
          <w:tcPr>
            <w:tcW w:w="851" w:type="dxa"/>
            <w:vAlign w:val="center"/>
          </w:tcPr>
          <w:p w14:paraId="41F0A1DD">
            <w:pPr>
              <w:jc w:val="center"/>
            </w:pPr>
            <w:r>
              <w:t>mg/m</w:t>
            </w:r>
            <w:r>
              <w:rPr>
                <w:vertAlign w:val="superscript"/>
              </w:rPr>
              <w:t>3</w:t>
            </w:r>
          </w:p>
        </w:tc>
        <w:tc>
          <w:tcPr>
            <w:tcW w:w="1098" w:type="dxa"/>
            <w:shd w:val="clear" w:color="auto" w:fill="auto"/>
            <w:vAlign w:val="center"/>
          </w:tcPr>
          <w:p w14:paraId="477E60AB">
            <w:pPr>
              <w:jc w:val="center"/>
              <w:rPr>
                <w:rFonts w:ascii="Times New Roman" w:hAnsi="Times New Roman" w:eastAsia="宋体" w:cs="Times New Roman"/>
                <w:kern w:val="2"/>
                <w:sz w:val="21"/>
                <w:szCs w:val="24"/>
                <w:lang w:val="en-US" w:eastAsia="zh-CN" w:bidi="ar-SA"/>
              </w:rPr>
            </w:pPr>
            <w:r>
              <w:rPr>
                <w:rFonts w:hint="eastAsia"/>
                <w:szCs w:val="24"/>
              </w:rPr>
              <w:t>0.9L</w:t>
            </w:r>
          </w:p>
        </w:tc>
        <w:tc>
          <w:tcPr>
            <w:tcW w:w="1099" w:type="dxa"/>
            <w:shd w:val="clear" w:color="auto" w:fill="auto"/>
            <w:vAlign w:val="center"/>
          </w:tcPr>
          <w:p w14:paraId="564F619A">
            <w:pPr>
              <w:jc w:val="center"/>
              <w:rPr>
                <w:rFonts w:ascii="Times New Roman" w:hAnsi="Times New Roman" w:eastAsia="宋体" w:cs="Times New Roman"/>
                <w:kern w:val="2"/>
                <w:sz w:val="21"/>
                <w:szCs w:val="24"/>
                <w:lang w:val="en-US" w:eastAsia="zh-CN" w:bidi="ar-SA"/>
              </w:rPr>
            </w:pPr>
            <w:r>
              <w:rPr>
                <w:rFonts w:hint="eastAsia"/>
                <w:szCs w:val="24"/>
              </w:rPr>
              <w:t>0.9L</w:t>
            </w:r>
          </w:p>
        </w:tc>
        <w:tc>
          <w:tcPr>
            <w:tcW w:w="1099" w:type="dxa"/>
            <w:shd w:val="clear" w:color="auto" w:fill="auto"/>
            <w:vAlign w:val="center"/>
          </w:tcPr>
          <w:p w14:paraId="3E6036D9">
            <w:pPr>
              <w:jc w:val="center"/>
              <w:rPr>
                <w:rFonts w:ascii="Times New Roman" w:hAnsi="Times New Roman" w:eastAsia="宋体" w:cs="Times New Roman"/>
                <w:kern w:val="2"/>
                <w:sz w:val="21"/>
                <w:szCs w:val="24"/>
                <w:lang w:val="en-US" w:eastAsia="zh-CN" w:bidi="ar-SA"/>
              </w:rPr>
            </w:pPr>
            <w:r>
              <w:rPr>
                <w:rFonts w:hint="eastAsia"/>
                <w:szCs w:val="24"/>
              </w:rPr>
              <w:t>0.9L</w:t>
            </w:r>
          </w:p>
        </w:tc>
        <w:tc>
          <w:tcPr>
            <w:tcW w:w="1099" w:type="dxa"/>
            <w:shd w:val="clear" w:color="auto" w:fill="auto"/>
            <w:vAlign w:val="center"/>
          </w:tcPr>
          <w:p w14:paraId="0C24FDE0">
            <w:pPr>
              <w:jc w:val="center"/>
              <w:rPr>
                <w:rFonts w:ascii="Times New Roman" w:hAnsi="Times New Roman" w:eastAsia="宋体" w:cs="Times New Roman"/>
                <w:kern w:val="2"/>
                <w:sz w:val="21"/>
                <w:szCs w:val="24"/>
                <w:lang w:val="en-US" w:eastAsia="zh-CN" w:bidi="ar-SA"/>
              </w:rPr>
            </w:pPr>
            <w:r>
              <w:rPr>
                <w:rFonts w:hint="eastAsia"/>
                <w:szCs w:val="24"/>
              </w:rPr>
              <w:t>/</w:t>
            </w:r>
          </w:p>
        </w:tc>
        <w:tc>
          <w:tcPr>
            <w:tcW w:w="679" w:type="dxa"/>
            <w:vAlign w:val="center"/>
          </w:tcPr>
          <w:p w14:paraId="022C2217">
            <w:pPr>
              <w:jc w:val="center"/>
              <w:rPr>
                <w:szCs w:val="24"/>
              </w:rPr>
            </w:pPr>
            <w:r>
              <w:rPr>
                <w:rFonts w:hint="eastAsia"/>
                <w:szCs w:val="24"/>
              </w:rPr>
              <w:t>/</w:t>
            </w:r>
          </w:p>
        </w:tc>
      </w:tr>
      <w:tr w14:paraId="7F2E1D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1" w:type="dxa"/>
            <w:vMerge w:val="continue"/>
            <w:vAlign w:val="center"/>
          </w:tcPr>
          <w:p w14:paraId="7ED58E34">
            <w:pPr>
              <w:jc w:val="center"/>
              <w:rPr>
                <w:szCs w:val="24"/>
              </w:rPr>
            </w:pPr>
          </w:p>
        </w:tc>
        <w:tc>
          <w:tcPr>
            <w:tcW w:w="1957" w:type="dxa"/>
            <w:vAlign w:val="center"/>
          </w:tcPr>
          <w:p w14:paraId="61BD581A">
            <w:pPr>
              <w:jc w:val="center"/>
              <w:rPr>
                <w:szCs w:val="24"/>
              </w:rPr>
            </w:pPr>
            <w:r>
              <w:rPr>
                <w:rFonts w:hint="eastAsia"/>
                <w:szCs w:val="24"/>
              </w:rPr>
              <w:t>氯化氢</w:t>
            </w:r>
            <w:r>
              <w:rPr>
                <w:szCs w:val="24"/>
              </w:rPr>
              <w:t>排放浓度</w:t>
            </w:r>
            <w:r>
              <w:rPr>
                <w:rFonts w:hint="eastAsia"/>
                <w:szCs w:val="24"/>
              </w:rPr>
              <w:t>（</w:t>
            </w:r>
            <w:r>
              <w:rPr>
                <w:szCs w:val="24"/>
              </w:rPr>
              <w:t>标.干</w:t>
            </w:r>
            <w:r>
              <w:rPr>
                <w:rFonts w:hint="eastAsia"/>
                <w:szCs w:val="24"/>
              </w:rPr>
              <w:t>）</w:t>
            </w:r>
          </w:p>
        </w:tc>
        <w:tc>
          <w:tcPr>
            <w:tcW w:w="851" w:type="dxa"/>
            <w:vAlign w:val="center"/>
          </w:tcPr>
          <w:p w14:paraId="37E9B6FC">
            <w:pPr>
              <w:jc w:val="center"/>
            </w:pPr>
            <w:r>
              <w:t>mg/m</w:t>
            </w:r>
            <w:r>
              <w:rPr>
                <w:vertAlign w:val="superscript"/>
              </w:rPr>
              <w:t>3</w:t>
            </w:r>
          </w:p>
        </w:tc>
        <w:tc>
          <w:tcPr>
            <w:tcW w:w="1098" w:type="dxa"/>
            <w:shd w:val="clear" w:color="auto" w:fill="auto"/>
            <w:vAlign w:val="center"/>
          </w:tcPr>
          <w:p w14:paraId="1C1DBDB6">
            <w:pPr>
              <w:jc w:val="center"/>
              <w:rPr>
                <w:rFonts w:ascii="Times New Roman" w:hAnsi="Times New Roman" w:eastAsia="宋体" w:cs="Times New Roman"/>
                <w:kern w:val="2"/>
                <w:sz w:val="21"/>
                <w:szCs w:val="24"/>
                <w:lang w:val="en-US" w:eastAsia="zh-CN" w:bidi="ar-SA"/>
              </w:rPr>
            </w:pPr>
            <w:r>
              <w:rPr>
                <w:rFonts w:hint="eastAsia"/>
                <w:szCs w:val="24"/>
              </w:rPr>
              <w:t>0.9L</w:t>
            </w:r>
          </w:p>
        </w:tc>
        <w:tc>
          <w:tcPr>
            <w:tcW w:w="1099" w:type="dxa"/>
            <w:shd w:val="clear" w:color="auto" w:fill="auto"/>
            <w:vAlign w:val="center"/>
          </w:tcPr>
          <w:p w14:paraId="3C03B2A1">
            <w:pPr>
              <w:jc w:val="center"/>
              <w:rPr>
                <w:rFonts w:ascii="Times New Roman" w:hAnsi="Times New Roman" w:eastAsia="宋体" w:cs="Times New Roman"/>
                <w:kern w:val="2"/>
                <w:sz w:val="21"/>
                <w:szCs w:val="24"/>
                <w:lang w:val="en-US" w:eastAsia="zh-CN" w:bidi="ar-SA"/>
              </w:rPr>
            </w:pPr>
            <w:r>
              <w:rPr>
                <w:rFonts w:hint="eastAsia"/>
                <w:szCs w:val="24"/>
              </w:rPr>
              <w:t>0.9L</w:t>
            </w:r>
          </w:p>
        </w:tc>
        <w:tc>
          <w:tcPr>
            <w:tcW w:w="1099" w:type="dxa"/>
            <w:shd w:val="clear" w:color="auto" w:fill="auto"/>
            <w:vAlign w:val="center"/>
          </w:tcPr>
          <w:p w14:paraId="74E89736">
            <w:pPr>
              <w:jc w:val="center"/>
              <w:rPr>
                <w:rFonts w:ascii="Times New Roman" w:hAnsi="Times New Roman" w:eastAsia="宋体" w:cs="Times New Roman"/>
                <w:kern w:val="2"/>
                <w:sz w:val="21"/>
                <w:szCs w:val="24"/>
                <w:lang w:val="en-US" w:eastAsia="zh-CN" w:bidi="ar-SA"/>
              </w:rPr>
            </w:pPr>
            <w:r>
              <w:rPr>
                <w:rFonts w:hint="eastAsia"/>
                <w:szCs w:val="24"/>
              </w:rPr>
              <w:t>0.9L</w:t>
            </w:r>
          </w:p>
        </w:tc>
        <w:tc>
          <w:tcPr>
            <w:tcW w:w="1099" w:type="dxa"/>
            <w:shd w:val="clear" w:color="auto" w:fill="auto"/>
            <w:vAlign w:val="center"/>
          </w:tcPr>
          <w:p w14:paraId="19FDF2D2">
            <w:pPr>
              <w:jc w:val="center"/>
              <w:rPr>
                <w:rFonts w:hint="default" w:ascii="Times New Roman" w:hAnsi="Times New Roman" w:eastAsia="宋体" w:cs="Times New Roman"/>
                <w:kern w:val="2"/>
                <w:sz w:val="21"/>
                <w:szCs w:val="24"/>
                <w:lang w:val="en-US" w:eastAsia="zh-CN" w:bidi="ar-SA"/>
              </w:rPr>
            </w:pPr>
            <w:r>
              <w:rPr>
                <w:rFonts w:hint="eastAsia"/>
                <w:szCs w:val="24"/>
              </w:rPr>
              <w:t>0.9L</w:t>
            </w:r>
          </w:p>
        </w:tc>
        <w:tc>
          <w:tcPr>
            <w:tcW w:w="679" w:type="dxa"/>
            <w:vAlign w:val="center"/>
          </w:tcPr>
          <w:p w14:paraId="3E593409">
            <w:pPr>
              <w:jc w:val="center"/>
              <w:rPr>
                <w:szCs w:val="24"/>
              </w:rPr>
            </w:pPr>
            <w:r>
              <w:rPr>
                <w:rFonts w:hint="eastAsia"/>
                <w:szCs w:val="24"/>
              </w:rPr>
              <w:t>100</w:t>
            </w:r>
          </w:p>
        </w:tc>
      </w:tr>
      <w:tr w14:paraId="2F4E67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1" w:type="dxa"/>
            <w:vMerge w:val="continue"/>
            <w:vAlign w:val="center"/>
          </w:tcPr>
          <w:p w14:paraId="27337398">
            <w:pPr>
              <w:jc w:val="center"/>
              <w:rPr>
                <w:szCs w:val="24"/>
              </w:rPr>
            </w:pPr>
          </w:p>
        </w:tc>
        <w:tc>
          <w:tcPr>
            <w:tcW w:w="1957" w:type="dxa"/>
            <w:vAlign w:val="center"/>
          </w:tcPr>
          <w:p w14:paraId="7BE65A6B">
            <w:pPr>
              <w:jc w:val="center"/>
              <w:rPr>
                <w:szCs w:val="24"/>
              </w:rPr>
            </w:pPr>
            <w:r>
              <w:rPr>
                <w:rFonts w:hint="eastAsia"/>
                <w:szCs w:val="24"/>
              </w:rPr>
              <w:t>氯化氢</w:t>
            </w:r>
            <w:r>
              <w:rPr>
                <w:szCs w:val="24"/>
              </w:rPr>
              <w:t>排放</w:t>
            </w:r>
            <w:r>
              <w:rPr>
                <w:rFonts w:hint="eastAsia"/>
                <w:szCs w:val="24"/>
              </w:rPr>
              <w:t>速率</w:t>
            </w:r>
          </w:p>
        </w:tc>
        <w:tc>
          <w:tcPr>
            <w:tcW w:w="851" w:type="dxa"/>
            <w:vAlign w:val="center"/>
          </w:tcPr>
          <w:p w14:paraId="4F27B0A8">
            <w:pPr>
              <w:jc w:val="center"/>
            </w:pPr>
            <w:r>
              <w:t>kg/h</w:t>
            </w:r>
          </w:p>
        </w:tc>
        <w:tc>
          <w:tcPr>
            <w:tcW w:w="1098" w:type="dxa"/>
            <w:shd w:val="clear" w:color="auto" w:fill="auto"/>
            <w:vAlign w:val="center"/>
          </w:tcPr>
          <w:p w14:paraId="40B10B8D">
            <w:pPr>
              <w:jc w:val="center"/>
              <w:rPr>
                <w:rFonts w:hint="eastAsia" w:ascii="Times New Roman" w:hAnsi="Times New Roman" w:eastAsia="宋体" w:cs="Times New Roman"/>
                <w:kern w:val="2"/>
                <w:sz w:val="21"/>
                <w:szCs w:val="24"/>
                <w:lang w:val="en-US" w:eastAsia="zh-CN" w:bidi="ar-SA"/>
              </w:rPr>
            </w:pPr>
            <w:r>
              <w:rPr>
                <w:rFonts w:hint="eastAsia"/>
                <w:szCs w:val="24"/>
              </w:rPr>
              <w:t>N</w:t>
            </w:r>
          </w:p>
        </w:tc>
        <w:tc>
          <w:tcPr>
            <w:tcW w:w="1099" w:type="dxa"/>
            <w:shd w:val="clear" w:color="auto" w:fill="auto"/>
            <w:vAlign w:val="center"/>
          </w:tcPr>
          <w:p w14:paraId="6314F6FD">
            <w:pPr>
              <w:jc w:val="center"/>
              <w:rPr>
                <w:rFonts w:hint="eastAsia" w:ascii="Times New Roman" w:hAnsi="Times New Roman" w:eastAsia="宋体" w:cs="Times New Roman"/>
                <w:kern w:val="2"/>
                <w:sz w:val="21"/>
                <w:szCs w:val="24"/>
                <w:lang w:val="en-US" w:eastAsia="zh-CN" w:bidi="ar-SA"/>
              </w:rPr>
            </w:pPr>
            <w:r>
              <w:rPr>
                <w:rFonts w:hint="eastAsia"/>
                <w:szCs w:val="24"/>
              </w:rPr>
              <w:t>N</w:t>
            </w:r>
          </w:p>
        </w:tc>
        <w:tc>
          <w:tcPr>
            <w:tcW w:w="1099" w:type="dxa"/>
            <w:shd w:val="clear" w:color="auto" w:fill="auto"/>
            <w:vAlign w:val="center"/>
          </w:tcPr>
          <w:p w14:paraId="36542ECA">
            <w:pPr>
              <w:jc w:val="center"/>
              <w:rPr>
                <w:rFonts w:hint="eastAsia" w:ascii="Times New Roman" w:hAnsi="Times New Roman" w:eastAsia="宋体" w:cs="Times New Roman"/>
                <w:kern w:val="2"/>
                <w:sz w:val="21"/>
                <w:szCs w:val="24"/>
                <w:lang w:val="en-US" w:eastAsia="zh-CN" w:bidi="ar-SA"/>
              </w:rPr>
            </w:pPr>
            <w:r>
              <w:rPr>
                <w:rFonts w:hint="eastAsia"/>
                <w:szCs w:val="24"/>
              </w:rPr>
              <w:t>N</w:t>
            </w:r>
          </w:p>
        </w:tc>
        <w:tc>
          <w:tcPr>
            <w:tcW w:w="1099" w:type="dxa"/>
            <w:shd w:val="clear" w:color="auto" w:fill="auto"/>
            <w:vAlign w:val="center"/>
          </w:tcPr>
          <w:p w14:paraId="5693BDEB">
            <w:pPr>
              <w:jc w:val="center"/>
              <w:rPr>
                <w:rFonts w:hint="eastAsia" w:ascii="Times New Roman" w:hAnsi="Times New Roman" w:eastAsia="宋体" w:cs="Times New Roman"/>
                <w:kern w:val="2"/>
                <w:sz w:val="21"/>
                <w:szCs w:val="24"/>
                <w:lang w:val="en-US" w:eastAsia="zh-CN" w:bidi="ar-SA"/>
              </w:rPr>
            </w:pPr>
            <w:r>
              <w:rPr>
                <w:rFonts w:hint="eastAsia"/>
                <w:szCs w:val="24"/>
              </w:rPr>
              <w:t>N</w:t>
            </w:r>
          </w:p>
        </w:tc>
        <w:tc>
          <w:tcPr>
            <w:tcW w:w="679" w:type="dxa"/>
            <w:vAlign w:val="center"/>
          </w:tcPr>
          <w:p w14:paraId="7CE9C599">
            <w:pPr>
              <w:jc w:val="center"/>
              <w:rPr>
                <w:szCs w:val="24"/>
              </w:rPr>
            </w:pPr>
            <w:r>
              <w:rPr>
                <w:rFonts w:hint="eastAsia"/>
                <w:szCs w:val="24"/>
              </w:rPr>
              <w:t>0.43</w:t>
            </w:r>
          </w:p>
        </w:tc>
      </w:tr>
      <w:tr w14:paraId="62DDC2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681" w:type="dxa"/>
            <w:vAlign w:val="center"/>
          </w:tcPr>
          <w:p w14:paraId="6DEA7ECD">
            <w:pPr>
              <w:jc w:val="center"/>
              <w:rPr>
                <w:szCs w:val="24"/>
              </w:rPr>
            </w:pPr>
            <w:r>
              <w:rPr>
                <w:rFonts w:hint="eastAsia"/>
                <w:szCs w:val="24"/>
              </w:rPr>
              <w:t>评价依据</w:t>
            </w:r>
          </w:p>
        </w:tc>
        <w:tc>
          <w:tcPr>
            <w:tcW w:w="7882" w:type="dxa"/>
            <w:gridSpan w:val="7"/>
            <w:vAlign w:val="center"/>
          </w:tcPr>
          <w:p w14:paraId="580F6D37">
            <w:pPr>
              <w:rPr>
                <w:szCs w:val="24"/>
              </w:rPr>
            </w:pPr>
            <w:r>
              <w:rPr>
                <w:rFonts w:hint="eastAsia"/>
              </w:rPr>
              <w:t>《大气污染物综合排放标准》（DB</w:t>
            </w:r>
            <w:r>
              <w:t xml:space="preserve"> </w:t>
            </w:r>
            <w:r>
              <w:rPr>
                <w:rFonts w:hint="eastAsia"/>
              </w:rPr>
              <w:t>50/418-2016）表1</w:t>
            </w:r>
          </w:p>
        </w:tc>
      </w:tr>
      <w:tr w14:paraId="2346F0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1" w:type="dxa"/>
            <w:vAlign w:val="center"/>
          </w:tcPr>
          <w:p w14:paraId="70871AEC">
            <w:pPr>
              <w:jc w:val="center"/>
              <w:rPr>
                <w:szCs w:val="24"/>
              </w:rPr>
            </w:pPr>
            <w:r>
              <w:rPr>
                <w:rFonts w:hint="eastAsia"/>
                <w:szCs w:val="24"/>
              </w:rPr>
              <w:t>监测结论</w:t>
            </w:r>
          </w:p>
        </w:tc>
        <w:tc>
          <w:tcPr>
            <w:tcW w:w="7882" w:type="dxa"/>
            <w:gridSpan w:val="7"/>
            <w:vAlign w:val="center"/>
          </w:tcPr>
          <w:p w14:paraId="0A20B185">
            <w:pPr>
              <w:rPr>
                <w:szCs w:val="24"/>
              </w:rPr>
            </w:pPr>
            <w:r>
              <w:rPr>
                <w:rFonts w:hint="eastAsia"/>
              </w:rPr>
              <w:t>本次监测活性炭吸附装装置（FQ2）废气：硫酸雾、氯化氢排放浓度及排放速率均达标</w:t>
            </w:r>
          </w:p>
        </w:tc>
      </w:tr>
      <w:tr w14:paraId="0EFE62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1" w:type="dxa"/>
            <w:vAlign w:val="center"/>
          </w:tcPr>
          <w:p w14:paraId="7382F092">
            <w:pPr>
              <w:jc w:val="center"/>
              <w:rPr>
                <w:szCs w:val="24"/>
              </w:rPr>
            </w:pPr>
            <w:r>
              <w:rPr>
                <w:szCs w:val="24"/>
              </w:rPr>
              <w:t>备注</w:t>
            </w:r>
          </w:p>
        </w:tc>
        <w:tc>
          <w:tcPr>
            <w:tcW w:w="7882" w:type="dxa"/>
            <w:gridSpan w:val="7"/>
            <w:vAlign w:val="center"/>
          </w:tcPr>
          <w:p w14:paraId="015402DC">
            <w:pPr>
              <w:rPr>
                <w:szCs w:val="24"/>
              </w:rPr>
            </w:pPr>
            <w:r>
              <w:rPr>
                <w:rFonts w:hint="eastAsia"/>
              </w:rPr>
              <w:t>4月24日、4月25日生产负荷均为77%</w:t>
            </w:r>
            <w:r>
              <w:rPr>
                <w:rFonts w:hint="eastAsia"/>
                <w:lang w:eastAsia="zh-CN"/>
              </w:rPr>
              <w:t>；</w:t>
            </w:r>
            <w:r>
              <w:rPr>
                <w:rFonts w:hint="eastAsia"/>
              </w:rPr>
              <w:t>带“L”的数据表示未检出，报出结果以检出限加“L”表示；当排放浓度为未检出时，排放速率以“N”表示</w:t>
            </w:r>
            <w:r>
              <w:rPr>
                <w:szCs w:val="24"/>
              </w:rPr>
              <w:t xml:space="preserve">  </w:t>
            </w:r>
          </w:p>
        </w:tc>
      </w:tr>
    </w:tbl>
    <w:p w14:paraId="0B5CAA3E">
      <w:pPr>
        <w:widowControl/>
        <w:spacing w:before="156" w:beforeLines="50" w:line="360" w:lineRule="auto"/>
        <w:ind w:firstLine="480" w:firstLineChars="200"/>
        <w:rPr>
          <w:sz w:val="24"/>
          <w:szCs w:val="24"/>
        </w:rPr>
      </w:pPr>
      <w:r>
        <w:rPr>
          <w:rFonts w:hint="eastAsia"/>
          <w:sz w:val="24"/>
          <w:szCs w:val="24"/>
        </w:rPr>
        <w:t>无组织废气监测结果见表</w:t>
      </w:r>
      <w:r>
        <w:rPr>
          <w:sz w:val="24"/>
          <w:szCs w:val="24"/>
        </w:rPr>
        <w:t>9-</w:t>
      </w:r>
      <w:r>
        <w:rPr>
          <w:rFonts w:hint="eastAsia"/>
          <w:sz w:val="24"/>
          <w:szCs w:val="24"/>
        </w:rPr>
        <w:t>5至表9</w:t>
      </w:r>
      <w:r>
        <w:rPr>
          <w:sz w:val="24"/>
          <w:szCs w:val="24"/>
        </w:rPr>
        <w:t>-</w:t>
      </w:r>
      <w:r>
        <w:rPr>
          <w:rFonts w:hint="eastAsia"/>
          <w:sz w:val="24"/>
          <w:szCs w:val="24"/>
        </w:rPr>
        <w:t>7。</w:t>
      </w:r>
    </w:p>
    <w:p w14:paraId="40BBF013">
      <w:pPr>
        <w:spacing w:before="156" w:beforeLines="50"/>
        <w:jc w:val="center"/>
        <w:rPr>
          <w:b/>
          <w:bCs/>
          <w:sz w:val="24"/>
          <w:szCs w:val="24"/>
        </w:rPr>
      </w:pPr>
      <w:r>
        <w:rPr>
          <w:b/>
          <w:bCs/>
          <w:sz w:val="24"/>
          <w:szCs w:val="24"/>
        </w:rPr>
        <w:t>表9-</w:t>
      </w:r>
      <w:r>
        <w:rPr>
          <w:rFonts w:hint="eastAsia"/>
          <w:b/>
          <w:bCs/>
          <w:sz w:val="24"/>
          <w:szCs w:val="24"/>
        </w:rPr>
        <w:t>5</w:t>
      </w:r>
      <w:r>
        <w:rPr>
          <w:b/>
          <w:bCs/>
          <w:sz w:val="24"/>
          <w:szCs w:val="24"/>
        </w:rPr>
        <w:t xml:space="preserve">  无组织废气监测结果表</w:t>
      </w:r>
    </w:p>
    <w:tbl>
      <w:tblPr>
        <w:tblStyle w:val="35"/>
        <w:tblW w:w="85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289"/>
        <w:gridCol w:w="850"/>
        <w:gridCol w:w="1274"/>
        <w:gridCol w:w="1275"/>
        <w:gridCol w:w="1275"/>
        <w:gridCol w:w="1137"/>
        <w:gridCol w:w="824"/>
        <w:gridCol w:w="10"/>
      </w:tblGrid>
      <w:tr w14:paraId="20C041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369" w:hRule="atLeast"/>
          <w:jc w:val="center"/>
        </w:trPr>
        <w:tc>
          <w:tcPr>
            <w:tcW w:w="662" w:type="dxa"/>
            <w:vMerge w:val="restart"/>
            <w:vAlign w:val="center"/>
          </w:tcPr>
          <w:p w14:paraId="24260AE4">
            <w:pPr>
              <w:jc w:val="center"/>
            </w:pPr>
            <w:bookmarkStart w:id="219" w:name="_Hlk150803325"/>
            <w:r>
              <w:t>监测日期</w:t>
            </w:r>
          </w:p>
        </w:tc>
        <w:tc>
          <w:tcPr>
            <w:tcW w:w="1289" w:type="dxa"/>
            <w:vMerge w:val="restart"/>
            <w:vAlign w:val="center"/>
          </w:tcPr>
          <w:p w14:paraId="627C889E">
            <w:pPr>
              <w:jc w:val="center"/>
            </w:pPr>
            <w:r>
              <w:t>项目</w:t>
            </w:r>
          </w:p>
        </w:tc>
        <w:tc>
          <w:tcPr>
            <w:tcW w:w="850" w:type="dxa"/>
            <w:vMerge w:val="restart"/>
            <w:vAlign w:val="center"/>
          </w:tcPr>
          <w:p w14:paraId="5E9213A7">
            <w:pPr>
              <w:jc w:val="center"/>
            </w:pPr>
            <w:r>
              <w:t>单位</w:t>
            </w:r>
          </w:p>
        </w:tc>
        <w:tc>
          <w:tcPr>
            <w:tcW w:w="3824" w:type="dxa"/>
            <w:gridSpan w:val="3"/>
            <w:vAlign w:val="center"/>
          </w:tcPr>
          <w:p w14:paraId="2508C9FB">
            <w:pPr>
              <w:jc w:val="center"/>
            </w:pPr>
            <w:r>
              <w:t>监测点位及编号</w:t>
            </w:r>
          </w:p>
        </w:tc>
        <w:tc>
          <w:tcPr>
            <w:tcW w:w="1137" w:type="dxa"/>
            <w:vMerge w:val="restart"/>
            <w:vAlign w:val="center"/>
          </w:tcPr>
          <w:p w14:paraId="5D3973A1">
            <w:pPr>
              <w:jc w:val="center"/>
            </w:pPr>
            <w:r>
              <w:t>平均值</w:t>
            </w:r>
          </w:p>
        </w:tc>
        <w:tc>
          <w:tcPr>
            <w:tcW w:w="824" w:type="dxa"/>
            <w:vMerge w:val="restart"/>
            <w:vAlign w:val="center"/>
          </w:tcPr>
          <w:p w14:paraId="0015D257">
            <w:pPr>
              <w:jc w:val="center"/>
            </w:pPr>
            <w:r>
              <w:t>排放</w:t>
            </w:r>
          </w:p>
          <w:p w14:paraId="603307D4">
            <w:pPr>
              <w:jc w:val="center"/>
            </w:pPr>
            <w:r>
              <w:t>限值</w:t>
            </w:r>
          </w:p>
        </w:tc>
      </w:tr>
      <w:tr w14:paraId="7E668C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369" w:hRule="atLeast"/>
          <w:jc w:val="center"/>
        </w:trPr>
        <w:tc>
          <w:tcPr>
            <w:tcW w:w="662" w:type="dxa"/>
            <w:vMerge w:val="continue"/>
            <w:vAlign w:val="center"/>
          </w:tcPr>
          <w:p w14:paraId="0A8ACDE9">
            <w:pPr>
              <w:jc w:val="center"/>
            </w:pPr>
          </w:p>
        </w:tc>
        <w:tc>
          <w:tcPr>
            <w:tcW w:w="1289" w:type="dxa"/>
            <w:vMerge w:val="continue"/>
            <w:vAlign w:val="center"/>
          </w:tcPr>
          <w:p w14:paraId="0A0A1181">
            <w:pPr>
              <w:jc w:val="center"/>
            </w:pPr>
          </w:p>
        </w:tc>
        <w:tc>
          <w:tcPr>
            <w:tcW w:w="850" w:type="dxa"/>
            <w:vMerge w:val="continue"/>
            <w:vAlign w:val="center"/>
          </w:tcPr>
          <w:p w14:paraId="3F4E3BA2">
            <w:pPr>
              <w:jc w:val="center"/>
            </w:pPr>
          </w:p>
        </w:tc>
        <w:tc>
          <w:tcPr>
            <w:tcW w:w="1274" w:type="dxa"/>
            <w:vAlign w:val="center"/>
          </w:tcPr>
          <w:p w14:paraId="3752916A">
            <w:pPr>
              <w:jc w:val="center"/>
            </w:pPr>
            <w:r>
              <w:t>25HY0004</w:t>
            </w:r>
          </w:p>
          <w:p w14:paraId="75A167FF">
            <w:pPr>
              <w:jc w:val="center"/>
            </w:pPr>
            <w:r>
              <w:t>A1-1-1</w:t>
            </w:r>
          </w:p>
        </w:tc>
        <w:tc>
          <w:tcPr>
            <w:tcW w:w="1275" w:type="dxa"/>
            <w:vAlign w:val="center"/>
          </w:tcPr>
          <w:p w14:paraId="4C1F8F55">
            <w:pPr>
              <w:jc w:val="center"/>
            </w:pPr>
            <w:r>
              <w:t>25HY0004</w:t>
            </w:r>
          </w:p>
          <w:p w14:paraId="71CA86B8">
            <w:pPr>
              <w:jc w:val="center"/>
            </w:pPr>
            <w:r>
              <w:t>A1-1-2</w:t>
            </w:r>
          </w:p>
        </w:tc>
        <w:tc>
          <w:tcPr>
            <w:tcW w:w="1275" w:type="dxa"/>
            <w:vAlign w:val="center"/>
          </w:tcPr>
          <w:p w14:paraId="019F2EB1">
            <w:pPr>
              <w:jc w:val="center"/>
            </w:pPr>
            <w:r>
              <w:t>25HY0004</w:t>
            </w:r>
          </w:p>
          <w:p w14:paraId="52CEFADD">
            <w:pPr>
              <w:jc w:val="center"/>
            </w:pPr>
            <w:r>
              <w:t>A1-1-3</w:t>
            </w:r>
          </w:p>
        </w:tc>
        <w:tc>
          <w:tcPr>
            <w:tcW w:w="1137" w:type="dxa"/>
            <w:vMerge w:val="continue"/>
            <w:vAlign w:val="center"/>
          </w:tcPr>
          <w:p w14:paraId="697AE3D3">
            <w:pPr>
              <w:jc w:val="center"/>
            </w:pPr>
          </w:p>
        </w:tc>
        <w:tc>
          <w:tcPr>
            <w:tcW w:w="824" w:type="dxa"/>
            <w:vMerge w:val="continue"/>
            <w:vAlign w:val="center"/>
          </w:tcPr>
          <w:p w14:paraId="2A82FE67">
            <w:pPr>
              <w:jc w:val="center"/>
            </w:pPr>
          </w:p>
        </w:tc>
      </w:tr>
      <w:tr w14:paraId="53664F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369" w:hRule="atLeast"/>
          <w:jc w:val="center"/>
        </w:trPr>
        <w:tc>
          <w:tcPr>
            <w:tcW w:w="662" w:type="dxa"/>
            <w:vMerge w:val="restart"/>
            <w:vAlign w:val="center"/>
          </w:tcPr>
          <w:p w14:paraId="3F30ED0C">
            <w:pPr>
              <w:jc w:val="center"/>
            </w:pPr>
            <w:r>
              <w:t>20250424</w:t>
            </w:r>
          </w:p>
        </w:tc>
        <w:tc>
          <w:tcPr>
            <w:tcW w:w="1289" w:type="dxa"/>
            <w:vAlign w:val="center"/>
          </w:tcPr>
          <w:p w14:paraId="5302B169">
            <w:pPr>
              <w:jc w:val="center"/>
            </w:pPr>
            <w:r>
              <w:rPr>
                <w:rFonts w:hint="eastAsia"/>
              </w:rPr>
              <w:t>非甲烷总烃</w:t>
            </w:r>
          </w:p>
        </w:tc>
        <w:tc>
          <w:tcPr>
            <w:tcW w:w="850" w:type="dxa"/>
            <w:vAlign w:val="center"/>
          </w:tcPr>
          <w:p w14:paraId="295CF0FF">
            <w:pPr>
              <w:jc w:val="center"/>
            </w:pPr>
            <w:r>
              <w:t>mg/m</w:t>
            </w:r>
            <w:r>
              <w:rPr>
                <w:vertAlign w:val="superscript"/>
              </w:rPr>
              <w:t>3</w:t>
            </w:r>
          </w:p>
        </w:tc>
        <w:tc>
          <w:tcPr>
            <w:tcW w:w="1274" w:type="dxa"/>
            <w:vAlign w:val="center"/>
          </w:tcPr>
          <w:p w14:paraId="6D963708">
            <w:pPr>
              <w:jc w:val="center"/>
            </w:pPr>
            <w:r>
              <w:rPr>
                <w:rFonts w:hint="eastAsia"/>
              </w:rPr>
              <w:t>0.94</w:t>
            </w:r>
          </w:p>
        </w:tc>
        <w:tc>
          <w:tcPr>
            <w:tcW w:w="1275" w:type="dxa"/>
            <w:vAlign w:val="center"/>
          </w:tcPr>
          <w:p w14:paraId="36CA2A4A">
            <w:pPr>
              <w:jc w:val="center"/>
            </w:pPr>
            <w:r>
              <w:rPr>
                <w:rFonts w:hint="eastAsia"/>
              </w:rPr>
              <w:t>0.95</w:t>
            </w:r>
          </w:p>
        </w:tc>
        <w:tc>
          <w:tcPr>
            <w:tcW w:w="1275" w:type="dxa"/>
            <w:vAlign w:val="center"/>
          </w:tcPr>
          <w:p w14:paraId="04C52071">
            <w:pPr>
              <w:jc w:val="center"/>
            </w:pPr>
            <w:r>
              <w:rPr>
                <w:rFonts w:hint="eastAsia"/>
              </w:rPr>
              <w:t>0.76</w:t>
            </w:r>
          </w:p>
        </w:tc>
        <w:tc>
          <w:tcPr>
            <w:tcW w:w="1137" w:type="dxa"/>
            <w:vAlign w:val="center"/>
          </w:tcPr>
          <w:p w14:paraId="197A5470">
            <w:pPr>
              <w:jc w:val="center"/>
            </w:pPr>
            <w:r>
              <w:rPr>
                <w:rFonts w:hint="eastAsia"/>
              </w:rPr>
              <w:t>0.88</w:t>
            </w:r>
          </w:p>
        </w:tc>
        <w:tc>
          <w:tcPr>
            <w:tcW w:w="824" w:type="dxa"/>
            <w:vAlign w:val="center"/>
          </w:tcPr>
          <w:p w14:paraId="050607CF">
            <w:pPr>
              <w:jc w:val="center"/>
            </w:pPr>
            <w:r>
              <w:rPr>
                <w:rFonts w:hint="eastAsia"/>
              </w:rPr>
              <w:t>4.0</w:t>
            </w:r>
          </w:p>
        </w:tc>
      </w:tr>
      <w:tr w14:paraId="5BA6B0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369" w:hRule="atLeast"/>
          <w:jc w:val="center"/>
        </w:trPr>
        <w:tc>
          <w:tcPr>
            <w:tcW w:w="662" w:type="dxa"/>
            <w:vMerge w:val="continue"/>
            <w:vAlign w:val="center"/>
          </w:tcPr>
          <w:p w14:paraId="170DE0B3">
            <w:pPr>
              <w:jc w:val="center"/>
            </w:pPr>
          </w:p>
        </w:tc>
        <w:tc>
          <w:tcPr>
            <w:tcW w:w="1289" w:type="dxa"/>
            <w:vAlign w:val="center"/>
          </w:tcPr>
          <w:p w14:paraId="0A72011B">
            <w:pPr>
              <w:jc w:val="center"/>
            </w:pPr>
            <w:r>
              <w:rPr>
                <w:rFonts w:hint="eastAsia"/>
              </w:rPr>
              <w:t>氯化氢</w:t>
            </w:r>
          </w:p>
        </w:tc>
        <w:tc>
          <w:tcPr>
            <w:tcW w:w="850" w:type="dxa"/>
            <w:vAlign w:val="center"/>
          </w:tcPr>
          <w:p w14:paraId="52A126A0">
            <w:pPr>
              <w:jc w:val="center"/>
            </w:pPr>
            <w:r>
              <w:t>mg/m</w:t>
            </w:r>
            <w:r>
              <w:rPr>
                <w:vertAlign w:val="superscript"/>
              </w:rPr>
              <w:t>3</w:t>
            </w:r>
          </w:p>
        </w:tc>
        <w:tc>
          <w:tcPr>
            <w:tcW w:w="1274" w:type="dxa"/>
            <w:vAlign w:val="center"/>
          </w:tcPr>
          <w:p w14:paraId="0B539C59">
            <w:pPr>
              <w:jc w:val="center"/>
            </w:pPr>
            <w:r>
              <w:rPr>
                <w:rFonts w:hint="eastAsia"/>
              </w:rPr>
              <w:t>0.02L</w:t>
            </w:r>
          </w:p>
        </w:tc>
        <w:tc>
          <w:tcPr>
            <w:tcW w:w="1275" w:type="dxa"/>
            <w:vAlign w:val="center"/>
          </w:tcPr>
          <w:p w14:paraId="21A1BC1B">
            <w:pPr>
              <w:jc w:val="center"/>
            </w:pPr>
            <w:r>
              <w:rPr>
                <w:rFonts w:hint="eastAsia"/>
              </w:rPr>
              <w:t>0.02L</w:t>
            </w:r>
          </w:p>
        </w:tc>
        <w:tc>
          <w:tcPr>
            <w:tcW w:w="1275" w:type="dxa"/>
            <w:vAlign w:val="center"/>
          </w:tcPr>
          <w:p w14:paraId="54BA0D02">
            <w:pPr>
              <w:jc w:val="center"/>
            </w:pPr>
            <w:r>
              <w:rPr>
                <w:rFonts w:hint="eastAsia"/>
              </w:rPr>
              <w:t>0.02L</w:t>
            </w:r>
          </w:p>
        </w:tc>
        <w:tc>
          <w:tcPr>
            <w:tcW w:w="1137" w:type="dxa"/>
            <w:vAlign w:val="center"/>
          </w:tcPr>
          <w:p w14:paraId="0091DE39">
            <w:pPr>
              <w:jc w:val="center"/>
            </w:pPr>
            <w:r>
              <w:rPr>
                <w:rFonts w:hint="eastAsia"/>
              </w:rPr>
              <w:t>0.02L</w:t>
            </w:r>
          </w:p>
        </w:tc>
        <w:tc>
          <w:tcPr>
            <w:tcW w:w="824" w:type="dxa"/>
            <w:vAlign w:val="center"/>
          </w:tcPr>
          <w:p w14:paraId="7706D1AC">
            <w:pPr>
              <w:jc w:val="center"/>
            </w:pPr>
            <w:r>
              <w:rPr>
                <w:rFonts w:hint="eastAsia"/>
              </w:rPr>
              <w:t>0.2</w:t>
            </w:r>
          </w:p>
        </w:tc>
      </w:tr>
      <w:tr w14:paraId="48ED70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369" w:hRule="atLeast"/>
          <w:jc w:val="center"/>
        </w:trPr>
        <w:tc>
          <w:tcPr>
            <w:tcW w:w="662" w:type="dxa"/>
            <w:vMerge w:val="continue"/>
            <w:vAlign w:val="center"/>
          </w:tcPr>
          <w:p w14:paraId="24D54966">
            <w:pPr>
              <w:jc w:val="center"/>
            </w:pPr>
          </w:p>
        </w:tc>
        <w:tc>
          <w:tcPr>
            <w:tcW w:w="1289" w:type="dxa"/>
            <w:vAlign w:val="center"/>
          </w:tcPr>
          <w:p w14:paraId="256D9264">
            <w:pPr>
              <w:jc w:val="center"/>
            </w:pPr>
            <w:r>
              <w:rPr>
                <w:rFonts w:hint="eastAsia"/>
              </w:rPr>
              <w:t>硫酸雾</w:t>
            </w:r>
          </w:p>
        </w:tc>
        <w:tc>
          <w:tcPr>
            <w:tcW w:w="850" w:type="dxa"/>
            <w:vAlign w:val="center"/>
          </w:tcPr>
          <w:p w14:paraId="7795D2FA">
            <w:pPr>
              <w:jc w:val="center"/>
            </w:pPr>
            <w:r>
              <w:t>mg/m</w:t>
            </w:r>
            <w:r>
              <w:rPr>
                <w:vertAlign w:val="superscript"/>
              </w:rPr>
              <w:t>3</w:t>
            </w:r>
          </w:p>
        </w:tc>
        <w:tc>
          <w:tcPr>
            <w:tcW w:w="1274" w:type="dxa"/>
            <w:vAlign w:val="center"/>
          </w:tcPr>
          <w:p w14:paraId="49CBBA0E">
            <w:pPr>
              <w:jc w:val="center"/>
            </w:pPr>
            <w:r>
              <w:rPr>
                <w:rFonts w:hint="eastAsia"/>
              </w:rPr>
              <w:t>0.020</w:t>
            </w:r>
          </w:p>
        </w:tc>
        <w:tc>
          <w:tcPr>
            <w:tcW w:w="1275" w:type="dxa"/>
            <w:vAlign w:val="center"/>
          </w:tcPr>
          <w:p w14:paraId="27AD8108">
            <w:pPr>
              <w:jc w:val="center"/>
            </w:pPr>
            <w:r>
              <w:rPr>
                <w:rFonts w:hint="eastAsia"/>
              </w:rPr>
              <w:t>0.018</w:t>
            </w:r>
          </w:p>
        </w:tc>
        <w:tc>
          <w:tcPr>
            <w:tcW w:w="1275" w:type="dxa"/>
            <w:vAlign w:val="center"/>
          </w:tcPr>
          <w:p w14:paraId="463BD07F">
            <w:pPr>
              <w:jc w:val="center"/>
            </w:pPr>
            <w:r>
              <w:rPr>
                <w:rFonts w:hint="eastAsia"/>
              </w:rPr>
              <w:t>0.017</w:t>
            </w:r>
          </w:p>
        </w:tc>
        <w:tc>
          <w:tcPr>
            <w:tcW w:w="1137" w:type="dxa"/>
            <w:vAlign w:val="center"/>
          </w:tcPr>
          <w:p w14:paraId="7FBA61A3">
            <w:pPr>
              <w:jc w:val="center"/>
            </w:pPr>
            <w:r>
              <w:rPr>
                <w:rFonts w:hint="eastAsia"/>
              </w:rPr>
              <w:t>0.018</w:t>
            </w:r>
          </w:p>
        </w:tc>
        <w:tc>
          <w:tcPr>
            <w:tcW w:w="824" w:type="dxa"/>
            <w:vAlign w:val="center"/>
          </w:tcPr>
          <w:p w14:paraId="2C40B1B0">
            <w:pPr>
              <w:jc w:val="center"/>
            </w:pPr>
            <w:r>
              <w:rPr>
                <w:rFonts w:hint="eastAsia"/>
              </w:rPr>
              <w:t>1.2</w:t>
            </w:r>
          </w:p>
        </w:tc>
      </w:tr>
      <w:tr w14:paraId="3B056C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2" w:type="dxa"/>
            <w:vMerge w:val="restart"/>
            <w:vAlign w:val="center"/>
          </w:tcPr>
          <w:p w14:paraId="57EE7947">
            <w:pPr>
              <w:jc w:val="center"/>
            </w:pPr>
            <w:r>
              <w:t>监测日期</w:t>
            </w:r>
          </w:p>
        </w:tc>
        <w:tc>
          <w:tcPr>
            <w:tcW w:w="1289" w:type="dxa"/>
            <w:vMerge w:val="restart"/>
            <w:vAlign w:val="center"/>
          </w:tcPr>
          <w:p w14:paraId="72AF8B5B">
            <w:pPr>
              <w:jc w:val="center"/>
            </w:pPr>
            <w:r>
              <w:t>项目</w:t>
            </w:r>
          </w:p>
        </w:tc>
        <w:tc>
          <w:tcPr>
            <w:tcW w:w="850" w:type="dxa"/>
            <w:vMerge w:val="restart"/>
            <w:vAlign w:val="center"/>
          </w:tcPr>
          <w:p w14:paraId="538217D8">
            <w:pPr>
              <w:jc w:val="center"/>
            </w:pPr>
            <w:r>
              <w:t>单位</w:t>
            </w:r>
          </w:p>
        </w:tc>
        <w:tc>
          <w:tcPr>
            <w:tcW w:w="3824" w:type="dxa"/>
            <w:gridSpan w:val="3"/>
            <w:vAlign w:val="center"/>
          </w:tcPr>
          <w:p w14:paraId="40D9A7FD">
            <w:pPr>
              <w:jc w:val="center"/>
            </w:pPr>
            <w:r>
              <w:t>监测点位及编号</w:t>
            </w:r>
          </w:p>
        </w:tc>
        <w:tc>
          <w:tcPr>
            <w:tcW w:w="1137" w:type="dxa"/>
            <w:vMerge w:val="restart"/>
            <w:vAlign w:val="center"/>
          </w:tcPr>
          <w:p w14:paraId="790E6BAD">
            <w:pPr>
              <w:jc w:val="center"/>
            </w:pPr>
            <w:r>
              <w:t>平均值</w:t>
            </w:r>
          </w:p>
        </w:tc>
        <w:tc>
          <w:tcPr>
            <w:tcW w:w="834" w:type="dxa"/>
            <w:gridSpan w:val="2"/>
            <w:vMerge w:val="restart"/>
            <w:vAlign w:val="center"/>
          </w:tcPr>
          <w:p w14:paraId="3945B2BA">
            <w:pPr>
              <w:jc w:val="center"/>
            </w:pPr>
            <w:r>
              <w:t>排放</w:t>
            </w:r>
          </w:p>
          <w:p w14:paraId="41E64C2F">
            <w:pPr>
              <w:jc w:val="center"/>
            </w:pPr>
            <w:r>
              <w:t>限值</w:t>
            </w:r>
          </w:p>
        </w:tc>
      </w:tr>
      <w:tr w14:paraId="63F97F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2" w:type="dxa"/>
            <w:vMerge w:val="continue"/>
            <w:vAlign w:val="center"/>
          </w:tcPr>
          <w:p w14:paraId="5A2FE535">
            <w:pPr>
              <w:jc w:val="center"/>
            </w:pPr>
          </w:p>
        </w:tc>
        <w:tc>
          <w:tcPr>
            <w:tcW w:w="1289" w:type="dxa"/>
            <w:vMerge w:val="continue"/>
            <w:vAlign w:val="center"/>
          </w:tcPr>
          <w:p w14:paraId="7A7915CA">
            <w:pPr>
              <w:jc w:val="center"/>
            </w:pPr>
          </w:p>
        </w:tc>
        <w:tc>
          <w:tcPr>
            <w:tcW w:w="850" w:type="dxa"/>
            <w:vMerge w:val="continue"/>
            <w:vAlign w:val="center"/>
          </w:tcPr>
          <w:p w14:paraId="1245EA09">
            <w:pPr>
              <w:jc w:val="center"/>
            </w:pPr>
          </w:p>
        </w:tc>
        <w:tc>
          <w:tcPr>
            <w:tcW w:w="1274" w:type="dxa"/>
            <w:vAlign w:val="center"/>
          </w:tcPr>
          <w:p w14:paraId="1F30144B">
            <w:pPr>
              <w:jc w:val="center"/>
            </w:pPr>
            <w:r>
              <w:t>25HY0004</w:t>
            </w:r>
          </w:p>
          <w:p w14:paraId="12873D7E">
            <w:pPr>
              <w:jc w:val="center"/>
            </w:pPr>
            <w:r>
              <w:t>A1-2-1</w:t>
            </w:r>
          </w:p>
        </w:tc>
        <w:tc>
          <w:tcPr>
            <w:tcW w:w="1275" w:type="dxa"/>
            <w:vAlign w:val="center"/>
          </w:tcPr>
          <w:p w14:paraId="694EBFBF">
            <w:pPr>
              <w:jc w:val="center"/>
            </w:pPr>
            <w:r>
              <w:t>25HY0004</w:t>
            </w:r>
          </w:p>
          <w:p w14:paraId="0D1EEC57">
            <w:pPr>
              <w:jc w:val="center"/>
            </w:pPr>
            <w:r>
              <w:t>A1-2-2</w:t>
            </w:r>
          </w:p>
        </w:tc>
        <w:tc>
          <w:tcPr>
            <w:tcW w:w="1275" w:type="dxa"/>
            <w:vAlign w:val="center"/>
          </w:tcPr>
          <w:p w14:paraId="765D72EF">
            <w:pPr>
              <w:jc w:val="center"/>
            </w:pPr>
            <w:r>
              <w:t>25HY0004</w:t>
            </w:r>
          </w:p>
          <w:p w14:paraId="7A0F36E7">
            <w:pPr>
              <w:jc w:val="center"/>
            </w:pPr>
            <w:r>
              <w:t>A1-2-3</w:t>
            </w:r>
          </w:p>
        </w:tc>
        <w:tc>
          <w:tcPr>
            <w:tcW w:w="1137" w:type="dxa"/>
            <w:vMerge w:val="continue"/>
            <w:vAlign w:val="center"/>
          </w:tcPr>
          <w:p w14:paraId="34BA3454">
            <w:pPr>
              <w:jc w:val="center"/>
            </w:pPr>
          </w:p>
        </w:tc>
        <w:tc>
          <w:tcPr>
            <w:tcW w:w="834" w:type="dxa"/>
            <w:gridSpan w:val="2"/>
            <w:vMerge w:val="continue"/>
            <w:vAlign w:val="center"/>
          </w:tcPr>
          <w:p w14:paraId="66765075">
            <w:pPr>
              <w:jc w:val="center"/>
            </w:pPr>
          </w:p>
        </w:tc>
      </w:tr>
      <w:tr w14:paraId="61D830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2" w:type="dxa"/>
            <w:vMerge w:val="restart"/>
            <w:vAlign w:val="center"/>
          </w:tcPr>
          <w:p w14:paraId="759B7501">
            <w:pPr>
              <w:jc w:val="center"/>
            </w:pPr>
            <w:r>
              <w:t>20250425</w:t>
            </w:r>
          </w:p>
        </w:tc>
        <w:tc>
          <w:tcPr>
            <w:tcW w:w="1289" w:type="dxa"/>
            <w:vAlign w:val="center"/>
          </w:tcPr>
          <w:p w14:paraId="67E4AED5">
            <w:pPr>
              <w:jc w:val="center"/>
            </w:pPr>
            <w:r>
              <w:rPr>
                <w:rFonts w:hint="eastAsia"/>
              </w:rPr>
              <w:t>非甲烷总烃</w:t>
            </w:r>
          </w:p>
        </w:tc>
        <w:tc>
          <w:tcPr>
            <w:tcW w:w="850" w:type="dxa"/>
            <w:vAlign w:val="center"/>
          </w:tcPr>
          <w:p w14:paraId="4B140ACD">
            <w:pPr>
              <w:jc w:val="center"/>
            </w:pPr>
            <w:r>
              <w:t>mg/m</w:t>
            </w:r>
            <w:r>
              <w:rPr>
                <w:vertAlign w:val="superscript"/>
              </w:rPr>
              <w:t>3</w:t>
            </w:r>
          </w:p>
        </w:tc>
        <w:tc>
          <w:tcPr>
            <w:tcW w:w="1274" w:type="dxa"/>
            <w:vAlign w:val="center"/>
          </w:tcPr>
          <w:p w14:paraId="5AEF4A1D">
            <w:pPr>
              <w:jc w:val="center"/>
            </w:pPr>
            <w:r>
              <w:rPr>
                <w:rFonts w:hint="eastAsia"/>
              </w:rPr>
              <w:t>0.86</w:t>
            </w:r>
          </w:p>
        </w:tc>
        <w:tc>
          <w:tcPr>
            <w:tcW w:w="1275" w:type="dxa"/>
            <w:vAlign w:val="center"/>
          </w:tcPr>
          <w:p w14:paraId="28FB2D1A">
            <w:pPr>
              <w:jc w:val="center"/>
            </w:pPr>
            <w:r>
              <w:rPr>
                <w:rFonts w:hint="eastAsia"/>
              </w:rPr>
              <w:t>0.76</w:t>
            </w:r>
          </w:p>
        </w:tc>
        <w:tc>
          <w:tcPr>
            <w:tcW w:w="1275" w:type="dxa"/>
            <w:vAlign w:val="center"/>
          </w:tcPr>
          <w:p w14:paraId="46FE0DDF">
            <w:pPr>
              <w:jc w:val="center"/>
            </w:pPr>
            <w:r>
              <w:rPr>
                <w:rFonts w:hint="eastAsia"/>
              </w:rPr>
              <w:t>0.70</w:t>
            </w:r>
          </w:p>
        </w:tc>
        <w:tc>
          <w:tcPr>
            <w:tcW w:w="1137" w:type="dxa"/>
            <w:vAlign w:val="center"/>
          </w:tcPr>
          <w:p w14:paraId="1B66EC2C">
            <w:pPr>
              <w:jc w:val="center"/>
            </w:pPr>
            <w:r>
              <w:rPr>
                <w:rFonts w:hint="eastAsia"/>
              </w:rPr>
              <w:t>0.77</w:t>
            </w:r>
          </w:p>
        </w:tc>
        <w:tc>
          <w:tcPr>
            <w:tcW w:w="834" w:type="dxa"/>
            <w:gridSpan w:val="2"/>
            <w:vAlign w:val="center"/>
          </w:tcPr>
          <w:p w14:paraId="567F0463">
            <w:pPr>
              <w:jc w:val="center"/>
            </w:pPr>
            <w:r>
              <w:rPr>
                <w:rFonts w:hint="eastAsia"/>
              </w:rPr>
              <w:t>4.0</w:t>
            </w:r>
          </w:p>
        </w:tc>
      </w:tr>
      <w:tr w14:paraId="7C75A0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2" w:type="dxa"/>
            <w:vMerge w:val="continue"/>
            <w:vAlign w:val="center"/>
          </w:tcPr>
          <w:p w14:paraId="3DD69101">
            <w:pPr>
              <w:jc w:val="center"/>
            </w:pPr>
          </w:p>
        </w:tc>
        <w:tc>
          <w:tcPr>
            <w:tcW w:w="1289" w:type="dxa"/>
            <w:vAlign w:val="center"/>
          </w:tcPr>
          <w:p w14:paraId="6B85B897">
            <w:pPr>
              <w:jc w:val="center"/>
            </w:pPr>
            <w:r>
              <w:rPr>
                <w:rFonts w:hint="eastAsia"/>
              </w:rPr>
              <w:t>氯化氢</w:t>
            </w:r>
          </w:p>
        </w:tc>
        <w:tc>
          <w:tcPr>
            <w:tcW w:w="850" w:type="dxa"/>
            <w:vAlign w:val="center"/>
          </w:tcPr>
          <w:p w14:paraId="040761E9">
            <w:pPr>
              <w:jc w:val="center"/>
            </w:pPr>
            <w:r>
              <w:t>mg/m</w:t>
            </w:r>
            <w:r>
              <w:rPr>
                <w:vertAlign w:val="superscript"/>
              </w:rPr>
              <w:t>3</w:t>
            </w:r>
          </w:p>
        </w:tc>
        <w:tc>
          <w:tcPr>
            <w:tcW w:w="1274" w:type="dxa"/>
            <w:vAlign w:val="center"/>
          </w:tcPr>
          <w:p w14:paraId="2A43CE3C">
            <w:pPr>
              <w:jc w:val="center"/>
            </w:pPr>
            <w:r>
              <w:rPr>
                <w:rFonts w:hint="eastAsia"/>
              </w:rPr>
              <w:t>0.02L</w:t>
            </w:r>
          </w:p>
        </w:tc>
        <w:tc>
          <w:tcPr>
            <w:tcW w:w="1275" w:type="dxa"/>
            <w:vAlign w:val="center"/>
          </w:tcPr>
          <w:p w14:paraId="064B9C2E">
            <w:pPr>
              <w:jc w:val="center"/>
            </w:pPr>
            <w:r>
              <w:rPr>
                <w:rFonts w:hint="eastAsia"/>
              </w:rPr>
              <w:t>0.02L</w:t>
            </w:r>
          </w:p>
        </w:tc>
        <w:tc>
          <w:tcPr>
            <w:tcW w:w="1275" w:type="dxa"/>
            <w:vAlign w:val="center"/>
          </w:tcPr>
          <w:p w14:paraId="1DB35606">
            <w:pPr>
              <w:jc w:val="center"/>
            </w:pPr>
            <w:r>
              <w:rPr>
                <w:rFonts w:hint="eastAsia"/>
              </w:rPr>
              <w:t>0.02L</w:t>
            </w:r>
          </w:p>
        </w:tc>
        <w:tc>
          <w:tcPr>
            <w:tcW w:w="1137" w:type="dxa"/>
            <w:vAlign w:val="center"/>
          </w:tcPr>
          <w:p w14:paraId="03F7D855">
            <w:pPr>
              <w:jc w:val="center"/>
            </w:pPr>
            <w:r>
              <w:rPr>
                <w:rFonts w:hint="eastAsia"/>
              </w:rPr>
              <w:t>0.02L</w:t>
            </w:r>
          </w:p>
        </w:tc>
        <w:tc>
          <w:tcPr>
            <w:tcW w:w="834" w:type="dxa"/>
            <w:gridSpan w:val="2"/>
            <w:vAlign w:val="center"/>
          </w:tcPr>
          <w:p w14:paraId="5632F88A">
            <w:pPr>
              <w:jc w:val="center"/>
            </w:pPr>
            <w:r>
              <w:rPr>
                <w:rFonts w:hint="eastAsia"/>
              </w:rPr>
              <w:t>0.2</w:t>
            </w:r>
          </w:p>
        </w:tc>
      </w:tr>
      <w:tr w14:paraId="6B7DBF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2" w:type="dxa"/>
            <w:vMerge w:val="continue"/>
            <w:vAlign w:val="center"/>
          </w:tcPr>
          <w:p w14:paraId="47A683B5">
            <w:pPr>
              <w:jc w:val="center"/>
            </w:pPr>
          </w:p>
        </w:tc>
        <w:tc>
          <w:tcPr>
            <w:tcW w:w="1289" w:type="dxa"/>
            <w:vAlign w:val="center"/>
          </w:tcPr>
          <w:p w14:paraId="5A178940">
            <w:pPr>
              <w:jc w:val="center"/>
            </w:pPr>
            <w:r>
              <w:rPr>
                <w:rFonts w:hint="eastAsia"/>
              </w:rPr>
              <w:t>硫酸雾</w:t>
            </w:r>
          </w:p>
        </w:tc>
        <w:tc>
          <w:tcPr>
            <w:tcW w:w="850" w:type="dxa"/>
            <w:vAlign w:val="center"/>
          </w:tcPr>
          <w:p w14:paraId="53F93590">
            <w:pPr>
              <w:jc w:val="center"/>
            </w:pPr>
            <w:r>
              <w:t>mg/m</w:t>
            </w:r>
            <w:r>
              <w:rPr>
                <w:vertAlign w:val="superscript"/>
              </w:rPr>
              <w:t>3</w:t>
            </w:r>
          </w:p>
        </w:tc>
        <w:tc>
          <w:tcPr>
            <w:tcW w:w="1274" w:type="dxa"/>
            <w:vAlign w:val="center"/>
          </w:tcPr>
          <w:p w14:paraId="1A88C2EF">
            <w:pPr>
              <w:jc w:val="center"/>
            </w:pPr>
            <w:r>
              <w:rPr>
                <w:rFonts w:hint="eastAsia"/>
              </w:rPr>
              <w:t>0.018</w:t>
            </w:r>
          </w:p>
        </w:tc>
        <w:tc>
          <w:tcPr>
            <w:tcW w:w="1275" w:type="dxa"/>
            <w:vAlign w:val="center"/>
          </w:tcPr>
          <w:p w14:paraId="0BAB1AB4">
            <w:pPr>
              <w:jc w:val="center"/>
            </w:pPr>
            <w:r>
              <w:rPr>
                <w:rFonts w:hint="eastAsia"/>
              </w:rPr>
              <w:t>0.052</w:t>
            </w:r>
          </w:p>
        </w:tc>
        <w:tc>
          <w:tcPr>
            <w:tcW w:w="1275" w:type="dxa"/>
            <w:vAlign w:val="center"/>
          </w:tcPr>
          <w:p w14:paraId="3E2C10A1">
            <w:pPr>
              <w:jc w:val="center"/>
            </w:pPr>
            <w:r>
              <w:rPr>
                <w:rFonts w:hint="eastAsia"/>
              </w:rPr>
              <w:t>0.150</w:t>
            </w:r>
          </w:p>
        </w:tc>
        <w:tc>
          <w:tcPr>
            <w:tcW w:w="1137" w:type="dxa"/>
            <w:vAlign w:val="center"/>
          </w:tcPr>
          <w:p w14:paraId="3B86D4E5">
            <w:pPr>
              <w:jc w:val="center"/>
            </w:pPr>
            <w:r>
              <w:rPr>
                <w:rFonts w:hint="eastAsia"/>
              </w:rPr>
              <w:t>0.073</w:t>
            </w:r>
          </w:p>
        </w:tc>
        <w:tc>
          <w:tcPr>
            <w:tcW w:w="834" w:type="dxa"/>
            <w:gridSpan w:val="2"/>
            <w:vAlign w:val="center"/>
          </w:tcPr>
          <w:p w14:paraId="3EA217F4">
            <w:pPr>
              <w:jc w:val="center"/>
            </w:pPr>
            <w:r>
              <w:rPr>
                <w:rFonts w:hint="eastAsia"/>
              </w:rPr>
              <w:t>1.2</w:t>
            </w:r>
          </w:p>
        </w:tc>
      </w:tr>
      <w:tr w14:paraId="7936C9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2" w:type="dxa"/>
            <w:vMerge w:val="restart"/>
            <w:vAlign w:val="center"/>
          </w:tcPr>
          <w:p w14:paraId="5224FBD4">
            <w:pPr>
              <w:jc w:val="center"/>
            </w:pPr>
            <w:r>
              <w:t>监测日期</w:t>
            </w:r>
          </w:p>
        </w:tc>
        <w:tc>
          <w:tcPr>
            <w:tcW w:w="1289" w:type="dxa"/>
            <w:vMerge w:val="restart"/>
            <w:vAlign w:val="center"/>
          </w:tcPr>
          <w:p w14:paraId="6FDDE860">
            <w:pPr>
              <w:jc w:val="center"/>
            </w:pPr>
            <w:r>
              <w:t>项目</w:t>
            </w:r>
          </w:p>
        </w:tc>
        <w:tc>
          <w:tcPr>
            <w:tcW w:w="850" w:type="dxa"/>
            <w:vMerge w:val="restart"/>
            <w:vAlign w:val="center"/>
          </w:tcPr>
          <w:p w14:paraId="2F28AE73">
            <w:pPr>
              <w:jc w:val="center"/>
            </w:pPr>
            <w:r>
              <w:t>单位</w:t>
            </w:r>
          </w:p>
        </w:tc>
        <w:tc>
          <w:tcPr>
            <w:tcW w:w="3824" w:type="dxa"/>
            <w:gridSpan w:val="3"/>
            <w:vAlign w:val="center"/>
          </w:tcPr>
          <w:p w14:paraId="46B94A1E">
            <w:pPr>
              <w:jc w:val="center"/>
            </w:pPr>
            <w:r>
              <w:t>监测点位及编号</w:t>
            </w:r>
          </w:p>
        </w:tc>
        <w:tc>
          <w:tcPr>
            <w:tcW w:w="1137" w:type="dxa"/>
            <w:vMerge w:val="restart"/>
            <w:vAlign w:val="center"/>
          </w:tcPr>
          <w:p w14:paraId="4D5D40A8">
            <w:pPr>
              <w:jc w:val="center"/>
            </w:pPr>
            <w:r>
              <w:t>平均值</w:t>
            </w:r>
          </w:p>
        </w:tc>
        <w:tc>
          <w:tcPr>
            <w:tcW w:w="834" w:type="dxa"/>
            <w:gridSpan w:val="2"/>
            <w:vMerge w:val="restart"/>
            <w:vAlign w:val="center"/>
          </w:tcPr>
          <w:p w14:paraId="0D864C1E">
            <w:pPr>
              <w:jc w:val="center"/>
            </w:pPr>
            <w:r>
              <w:t>排放</w:t>
            </w:r>
          </w:p>
          <w:p w14:paraId="7422E1A1">
            <w:pPr>
              <w:jc w:val="center"/>
            </w:pPr>
            <w:r>
              <w:t>限值</w:t>
            </w:r>
          </w:p>
        </w:tc>
      </w:tr>
      <w:tr w14:paraId="129599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2" w:type="dxa"/>
            <w:vMerge w:val="continue"/>
            <w:vAlign w:val="center"/>
          </w:tcPr>
          <w:p w14:paraId="45D5C439">
            <w:pPr>
              <w:jc w:val="center"/>
            </w:pPr>
          </w:p>
        </w:tc>
        <w:tc>
          <w:tcPr>
            <w:tcW w:w="1289" w:type="dxa"/>
            <w:vMerge w:val="continue"/>
            <w:vAlign w:val="center"/>
          </w:tcPr>
          <w:p w14:paraId="34D5A788">
            <w:pPr>
              <w:jc w:val="center"/>
            </w:pPr>
          </w:p>
        </w:tc>
        <w:tc>
          <w:tcPr>
            <w:tcW w:w="850" w:type="dxa"/>
            <w:vMerge w:val="continue"/>
            <w:vAlign w:val="center"/>
          </w:tcPr>
          <w:p w14:paraId="0388EAAC">
            <w:pPr>
              <w:jc w:val="center"/>
            </w:pPr>
          </w:p>
        </w:tc>
        <w:tc>
          <w:tcPr>
            <w:tcW w:w="1274" w:type="dxa"/>
            <w:vAlign w:val="center"/>
          </w:tcPr>
          <w:p w14:paraId="369F68EE">
            <w:pPr>
              <w:jc w:val="center"/>
            </w:pPr>
            <w:r>
              <w:t>25HY0004</w:t>
            </w:r>
          </w:p>
          <w:p w14:paraId="1C893EE4">
            <w:pPr>
              <w:jc w:val="center"/>
            </w:pPr>
            <w:r>
              <w:t>A2-1-1</w:t>
            </w:r>
          </w:p>
        </w:tc>
        <w:tc>
          <w:tcPr>
            <w:tcW w:w="1275" w:type="dxa"/>
            <w:vAlign w:val="center"/>
          </w:tcPr>
          <w:p w14:paraId="583E6ECB">
            <w:pPr>
              <w:jc w:val="center"/>
            </w:pPr>
            <w:r>
              <w:t>25HY0004</w:t>
            </w:r>
          </w:p>
          <w:p w14:paraId="6E2D43E6">
            <w:pPr>
              <w:jc w:val="center"/>
            </w:pPr>
            <w:r>
              <w:t>A2-1-2</w:t>
            </w:r>
          </w:p>
        </w:tc>
        <w:tc>
          <w:tcPr>
            <w:tcW w:w="1275" w:type="dxa"/>
            <w:vAlign w:val="center"/>
          </w:tcPr>
          <w:p w14:paraId="5992CCCF">
            <w:pPr>
              <w:jc w:val="center"/>
            </w:pPr>
            <w:r>
              <w:t>25HY0004</w:t>
            </w:r>
          </w:p>
          <w:p w14:paraId="6FC7FD95">
            <w:pPr>
              <w:jc w:val="center"/>
            </w:pPr>
            <w:r>
              <w:t>A2-1-3</w:t>
            </w:r>
          </w:p>
        </w:tc>
        <w:tc>
          <w:tcPr>
            <w:tcW w:w="1137" w:type="dxa"/>
            <w:vMerge w:val="continue"/>
            <w:vAlign w:val="center"/>
          </w:tcPr>
          <w:p w14:paraId="66583BE8">
            <w:pPr>
              <w:jc w:val="center"/>
            </w:pPr>
          </w:p>
        </w:tc>
        <w:tc>
          <w:tcPr>
            <w:tcW w:w="834" w:type="dxa"/>
            <w:gridSpan w:val="2"/>
            <w:vMerge w:val="continue"/>
            <w:vAlign w:val="center"/>
          </w:tcPr>
          <w:p w14:paraId="61FF1A02">
            <w:pPr>
              <w:jc w:val="center"/>
            </w:pPr>
          </w:p>
        </w:tc>
      </w:tr>
      <w:tr w14:paraId="3A0229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2" w:type="dxa"/>
            <w:vMerge w:val="restart"/>
            <w:vAlign w:val="center"/>
          </w:tcPr>
          <w:p w14:paraId="1035E269">
            <w:pPr>
              <w:jc w:val="center"/>
            </w:pPr>
            <w:r>
              <w:t>20250424</w:t>
            </w:r>
          </w:p>
        </w:tc>
        <w:tc>
          <w:tcPr>
            <w:tcW w:w="1289" w:type="dxa"/>
            <w:vAlign w:val="center"/>
          </w:tcPr>
          <w:p w14:paraId="7E3B9814">
            <w:pPr>
              <w:jc w:val="center"/>
            </w:pPr>
            <w:r>
              <w:rPr>
                <w:rFonts w:hint="eastAsia"/>
              </w:rPr>
              <w:t>非甲烷总烃</w:t>
            </w:r>
          </w:p>
        </w:tc>
        <w:tc>
          <w:tcPr>
            <w:tcW w:w="850" w:type="dxa"/>
            <w:vAlign w:val="center"/>
          </w:tcPr>
          <w:p w14:paraId="4F463179">
            <w:pPr>
              <w:jc w:val="center"/>
            </w:pPr>
            <w:r>
              <w:t>mg/m</w:t>
            </w:r>
            <w:r>
              <w:rPr>
                <w:vertAlign w:val="superscript"/>
              </w:rPr>
              <w:t>3</w:t>
            </w:r>
          </w:p>
        </w:tc>
        <w:tc>
          <w:tcPr>
            <w:tcW w:w="1274" w:type="dxa"/>
            <w:vAlign w:val="center"/>
          </w:tcPr>
          <w:p w14:paraId="52E4D2B0">
            <w:pPr>
              <w:jc w:val="center"/>
            </w:pPr>
            <w:r>
              <w:rPr>
                <w:rFonts w:hint="eastAsia"/>
              </w:rPr>
              <w:t>1.02</w:t>
            </w:r>
          </w:p>
        </w:tc>
        <w:tc>
          <w:tcPr>
            <w:tcW w:w="1275" w:type="dxa"/>
            <w:vAlign w:val="center"/>
          </w:tcPr>
          <w:p w14:paraId="2F737AB6">
            <w:pPr>
              <w:jc w:val="center"/>
            </w:pPr>
            <w:r>
              <w:rPr>
                <w:rFonts w:hint="eastAsia"/>
              </w:rPr>
              <w:t>1.00</w:t>
            </w:r>
          </w:p>
        </w:tc>
        <w:tc>
          <w:tcPr>
            <w:tcW w:w="1275" w:type="dxa"/>
            <w:vAlign w:val="center"/>
          </w:tcPr>
          <w:p w14:paraId="7C376A9C">
            <w:pPr>
              <w:jc w:val="center"/>
            </w:pPr>
            <w:r>
              <w:rPr>
                <w:rFonts w:hint="eastAsia"/>
              </w:rPr>
              <w:t>0.99</w:t>
            </w:r>
          </w:p>
        </w:tc>
        <w:tc>
          <w:tcPr>
            <w:tcW w:w="1137" w:type="dxa"/>
            <w:vAlign w:val="center"/>
          </w:tcPr>
          <w:p w14:paraId="7501E259">
            <w:pPr>
              <w:jc w:val="center"/>
            </w:pPr>
            <w:r>
              <w:rPr>
                <w:rFonts w:hint="eastAsia"/>
              </w:rPr>
              <w:t>1.00</w:t>
            </w:r>
          </w:p>
        </w:tc>
        <w:tc>
          <w:tcPr>
            <w:tcW w:w="834" w:type="dxa"/>
            <w:gridSpan w:val="2"/>
            <w:vAlign w:val="center"/>
          </w:tcPr>
          <w:p w14:paraId="64555DF3">
            <w:pPr>
              <w:jc w:val="center"/>
            </w:pPr>
            <w:r>
              <w:rPr>
                <w:rFonts w:hint="eastAsia"/>
              </w:rPr>
              <w:t>4.0</w:t>
            </w:r>
          </w:p>
        </w:tc>
      </w:tr>
      <w:tr w14:paraId="2242AD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2" w:type="dxa"/>
            <w:vMerge w:val="continue"/>
            <w:vAlign w:val="center"/>
          </w:tcPr>
          <w:p w14:paraId="0002586E">
            <w:pPr>
              <w:jc w:val="center"/>
            </w:pPr>
          </w:p>
        </w:tc>
        <w:tc>
          <w:tcPr>
            <w:tcW w:w="1289" w:type="dxa"/>
            <w:vAlign w:val="center"/>
          </w:tcPr>
          <w:p w14:paraId="75072DE1">
            <w:pPr>
              <w:jc w:val="center"/>
            </w:pPr>
            <w:r>
              <w:rPr>
                <w:rFonts w:hint="eastAsia"/>
              </w:rPr>
              <w:t>氯化氢</w:t>
            </w:r>
          </w:p>
        </w:tc>
        <w:tc>
          <w:tcPr>
            <w:tcW w:w="850" w:type="dxa"/>
            <w:vAlign w:val="center"/>
          </w:tcPr>
          <w:p w14:paraId="2F77FA3D">
            <w:pPr>
              <w:jc w:val="center"/>
            </w:pPr>
            <w:r>
              <w:t>mg/m</w:t>
            </w:r>
            <w:r>
              <w:rPr>
                <w:vertAlign w:val="superscript"/>
              </w:rPr>
              <w:t>3</w:t>
            </w:r>
          </w:p>
        </w:tc>
        <w:tc>
          <w:tcPr>
            <w:tcW w:w="1274" w:type="dxa"/>
            <w:vAlign w:val="center"/>
          </w:tcPr>
          <w:p w14:paraId="28C7D459">
            <w:pPr>
              <w:jc w:val="center"/>
            </w:pPr>
            <w:r>
              <w:rPr>
                <w:rFonts w:hint="eastAsia"/>
              </w:rPr>
              <w:t>0.02L</w:t>
            </w:r>
          </w:p>
        </w:tc>
        <w:tc>
          <w:tcPr>
            <w:tcW w:w="1275" w:type="dxa"/>
            <w:vAlign w:val="center"/>
          </w:tcPr>
          <w:p w14:paraId="152A1A2D">
            <w:pPr>
              <w:jc w:val="center"/>
            </w:pPr>
            <w:r>
              <w:rPr>
                <w:rFonts w:hint="eastAsia"/>
              </w:rPr>
              <w:t>0.02L</w:t>
            </w:r>
          </w:p>
        </w:tc>
        <w:tc>
          <w:tcPr>
            <w:tcW w:w="1275" w:type="dxa"/>
            <w:vAlign w:val="center"/>
          </w:tcPr>
          <w:p w14:paraId="0B3ADA89">
            <w:pPr>
              <w:jc w:val="center"/>
            </w:pPr>
            <w:r>
              <w:rPr>
                <w:rFonts w:hint="eastAsia"/>
              </w:rPr>
              <w:t>0.02L</w:t>
            </w:r>
          </w:p>
        </w:tc>
        <w:tc>
          <w:tcPr>
            <w:tcW w:w="1137" w:type="dxa"/>
            <w:vAlign w:val="center"/>
          </w:tcPr>
          <w:p w14:paraId="6BDE775C">
            <w:pPr>
              <w:jc w:val="center"/>
            </w:pPr>
            <w:r>
              <w:rPr>
                <w:rFonts w:hint="eastAsia"/>
              </w:rPr>
              <w:t>0.02L</w:t>
            </w:r>
          </w:p>
        </w:tc>
        <w:tc>
          <w:tcPr>
            <w:tcW w:w="834" w:type="dxa"/>
            <w:gridSpan w:val="2"/>
            <w:vAlign w:val="center"/>
          </w:tcPr>
          <w:p w14:paraId="5095EA19">
            <w:pPr>
              <w:jc w:val="center"/>
            </w:pPr>
            <w:r>
              <w:rPr>
                <w:rFonts w:hint="eastAsia"/>
              </w:rPr>
              <w:t>0.2</w:t>
            </w:r>
          </w:p>
        </w:tc>
      </w:tr>
      <w:tr w14:paraId="597E88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2" w:type="dxa"/>
            <w:vMerge w:val="continue"/>
            <w:vAlign w:val="center"/>
          </w:tcPr>
          <w:p w14:paraId="730CC112">
            <w:pPr>
              <w:jc w:val="center"/>
            </w:pPr>
          </w:p>
        </w:tc>
        <w:tc>
          <w:tcPr>
            <w:tcW w:w="1289" w:type="dxa"/>
            <w:vAlign w:val="center"/>
          </w:tcPr>
          <w:p w14:paraId="4B57D4D6">
            <w:pPr>
              <w:jc w:val="center"/>
            </w:pPr>
            <w:r>
              <w:rPr>
                <w:rFonts w:hint="eastAsia"/>
              </w:rPr>
              <w:t>硫酸雾</w:t>
            </w:r>
          </w:p>
        </w:tc>
        <w:tc>
          <w:tcPr>
            <w:tcW w:w="850" w:type="dxa"/>
            <w:vAlign w:val="center"/>
          </w:tcPr>
          <w:p w14:paraId="038CF4FB">
            <w:pPr>
              <w:jc w:val="center"/>
            </w:pPr>
            <w:r>
              <w:t>mg/m</w:t>
            </w:r>
            <w:r>
              <w:rPr>
                <w:vertAlign w:val="superscript"/>
              </w:rPr>
              <w:t>3</w:t>
            </w:r>
          </w:p>
        </w:tc>
        <w:tc>
          <w:tcPr>
            <w:tcW w:w="1274" w:type="dxa"/>
            <w:vAlign w:val="center"/>
          </w:tcPr>
          <w:p w14:paraId="519EEF7D">
            <w:pPr>
              <w:jc w:val="center"/>
            </w:pPr>
            <w:r>
              <w:rPr>
                <w:rFonts w:hint="eastAsia"/>
              </w:rPr>
              <w:t>0.016</w:t>
            </w:r>
          </w:p>
        </w:tc>
        <w:tc>
          <w:tcPr>
            <w:tcW w:w="1275" w:type="dxa"/>
            <w:vAlign w:val="center"/>
          </w:tcPr>
          <w:p w14:paraId="595671FD">
            <w:pPr>
              <w:jc w:val="center"/>
            </w:pPr>
            <w:r>
              <w:rPr>
                <w:rFonts w:hint="eastAsia"/>
              </w:rPr>
              <w:t>0.027</w:t>
            </w:r>
          </w:p>
        </w:tc>
        <w:tc>
          <w:tcPr>
            <w:tcW w:w="1275" w:type="dxa"/>
            <w:vAlign w:val="center"/>
          </w:tcPr>
          <w:p w14:paraId="645FE01C">
            <w:pPr>
              <w:jc w:val="center"/>
            </w:pPr>
            <w:r>
              <w:rPr>
                <w:rFonts w:hint="eastAsia"/>
              </w:rPr>
              <w:t>0.017</w:t>
            </w:r>
          </w:p>
        </w:tc>
        <w:tc>
          <w:tcPr>
            <w:tcW w:w="1137" w:type="dxa"/>
            <w:vAlign w:val="center"/>
          </w:tcPr>
          <w:p w14:paraId="4D256CE9">
            <w:pPr>
              <w:jc w:val="center"/>
            </w:pPr>
            <w:r>
              <w:rPr>
                <w:rFonts w:hint="eastAsia"/>
              </w:rPr>
              <w:t>0.020</w:t>
            </w:r>
          </w:p>
        </w:tc>
        <w:tc>
          <w:tcPr>
            <w:tcW w:w="834" w:type="dxa"/>
            <w:gridSpan w:val="2"/>
            <w:vAlign w:val="center"/>
          </w:tcPr>
          <w:p w14:paraId="2FCFFF36">
            <w:pPr>
              <w:jc w:val="center"/>
            </w:pPr>
            <w:r>
              <w:rPr>
                <w:rFonts w:hint="eastAsia"/>
              </w:rPr>
              <w:t>1.2</w:t>
            </w:r>
          </w:p>
        </w:tc>
      </w:tr>
      <w:tr w14:paraId="23B39D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2" w:type="dxa"/>
            <w:vMerge w:val="restart"/>
            <w:vAlign w:val="center"/>
          </w:tcPr>
          <w:p w14:paraId="66577217">
            <w:pPr>
              <w:jc w:val="center"/>
            </w:pPr>
            <w:r>
              <w:t>监测日期</w:t>
            </w:r>
          </w:p>
        </w:tc>
        <w:tc>
          <w:tcPr>
            <w:tcW w:w="1289" w:type="dxa"/>
            <w:vMerge w:val="restart"/>
            <w:vAlign w:val="center"/>
          </w:tcPr>
          <w:p w14:paraId="43C0CA93">
            <w:pPr>
              <w:jc w:val="center"/>
            </w:pPr>
            <w:r>
              <w:t>项目</w:t>
            </w:r>
          </w:p>
        </w:tc>
        <w:tc>
          <w:tcPr>
            <w:tcW w:w="850" w:type="dxa"/>
            <w:vMerge w:val="restart"/>
            <w:vAlign w:val="center"/>
          </w:tcPr>
          <w:p w14:paraId="56284AA9">
            <w:pPr>
              <w:jc w:val="center"/>
            </w:pPr>
            <w:r>
              <w:t>单位</w:t>
            </w:r>
          </w:p>
        </w:tc>
        <w:tc>
          <w:tcPr>
            <w:tcW w:w="3824" w:type="dxa"/>
            <w:gridSpan w:val="3"/>
            <w:vAlign w:val="center"/>
          </w:tcPr>
          <w:p w14:paraId="62C50664">
            <w:pPr>
              <w:jc w:val="center"/>
            </w:pPr>
            <w:r>
              <w:t>监测点位及编号</w:t>
            </w:r>
          </w:p>
        </w:tc>
        <w:tc>
          <w:tcPr>
            <w:tcW w:w="1137" w:type="dxa"/>
            <w:vMerge w:val="restart"/>
            <w:vAlign w:val="center"/>
          </w:tcPr>
          <w:p w14:paraId="3B9311BB">
            <w:pPr>
              <w:jc w:val="center"/>
            </w:pPr>
            <w:r>
              <w:t>平均值</w:t>
            </w:r>
          </w:p>
        </w:tc>
        <w:tc>
          <w:tcPr>
            <w:tcW w:w="834" w:type="dxa"/>
            <w:gridSpan w:val="2"/>
            <w:vMerge w:val="restart"/>
            <w:vAlign w:val="center"/>
          </w:tcPr>
          <w:p w14:paraId="141BFFE3">
            <w:pPr>
              <w:jc w:val="center"/>
            </w:pPr>
            <w:r>
              <w:t>排放</w:t>
            </w:r>
          </w:p>
          <w:p w14:paraId="11346FD9">
            <w:pPr>
              <w:jc w:val="center"/>
            </w:pPr>
            <w:r>
              <w:t>限值</w:t>
            </w:r>
          </w:p>
        </w:tc>
      </w:tr>
      <w:tr w14:paraId="3B66E0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2" w:type="dxa"/>
            <w:vMerge w:val="continue"/>
            <w:vAlign w:val="center"/>
          </w:tcPr>
          <w:p w14:paraId="3CA04898">
            <w:pPr>
              <w:jc w:val="center"/>
            </w:pPr>
          </w:p>
        </w:tc>
        <w:tc>
          <w:tcPr>
            <w:tcW w:w="1289" w:type="dxa"/>
            <w:vMerge w:val="continue"/>
            <w:vAlign w:val="center"/>
          </w:tcPr>
          <w:p w14:paraId="6C0DB2E0">
            <w:pPr>
              <w:jc w:val="center"/>
            </w:pPr>
          </w:p>
        </w:tc>
        <w:tc>
          <w:tcPr>
            <w:tcW w:w="850" w:type="dxa"/>
            <w:vMerge w:val="continue"/>
            <w:vAlign w:val="center"/>
          </w:tcPr>
          <w:p w14:paraId="64943C66">
            <w:pPr>
              <w:jc w:val="center"/>
            </w:pPr>
          </w:p>
        </w:tc>
        <w:tc>
          <w:tcPr>
            <w:tcW w:w="1274" w:type="dxa"/>
            <w:vAlign w:val="center"/>
          </w:tcPr>
          <w:p w14:paraId="25DE0D2B">
            <w:pPr>
              <w:jc w:val="center"/>
            </w:pPr>
            <w:r>
              <w:t>25HY0004</w:t>
            </w:r>
          </w:p>
          <w:p w14:paraId="52ABE49D">
            <w:pPr>
              <w:jc w:val="center"/>
            </w:pPr>
            <w:r>
              <w:t>A2-2-1</w:t>
            </w:r>
          </w:p>
        </w:tc>
        <w:tc>
          <w:tcPr>
            <w:tcW w:w="1275" w:type="dxa"/>
            <w:vAlign w:val="center"/>
          </w:tcPr>
          <w:p w14:paraId="276E4B81">
            <w:pPr>
              <w:jc w:val="center"/>
            </w:pPr>
            <w:r>
              <w:t>25HY0004</w:t>
            </w:r>
          </w:p>
          <w:p w14:paraId="4D535FFD">
            <w:pPr>
              <w:jc w:val="center"/>
            </w:pPr>
            <w:r>
              <w:t>A2-2-2</w:t>
            </w:r>
          </w:p>
        </w:tc>
        <w:tc>
          <w:tcPr>
            <w:tcW w:w="1275" w:type="dxa"/>
            <w:vAlign w:val="center"/>
          </w:tcPr>
          <w:p w14:paraId="12965BBB">
            <w:pPr>
              <w:jc w:val="center"/>
            </w:pPr>
            <w:r>
              <w:t>25HY0004</w:t>
            </w:r>
          </w:p>
          <w:p w14:paraId="2D49E136">
            <w:pPr>
              <w:jc w:val="center"/>
            </w:pPr>
            <w:r>
              <w:t>A2-2-3</w:t>
            </w:r>
          </w:p>
        </w:tc>
        <w:tc>
          <w:tcPr>
            <w:tcW w:w="1137" w:type="dxa"/>
            <w:vMerge w:val="continue"/>
            <w:vAlign w:val="center"/>
          </w:tcPr>
          <w:p w14:paraId="0651AB03">
            <w:pPr>
              <w:jc w:val="center"/>
            </w:pPr>
          </w:p>
        </w:tc>
        <w:tc>
          <w:tcPr>
            <w:tcW w:w="834" w:type="dxa"/>
            <w:gridSpan w:val="2"/>
            <w:vMerge w:val="continue"/>
            <w:vAlign w:val="center"/>
          </w:tcPr>
          <w:p w14:paraId="061A5621">
            <w:pPr>
              <w:jc w:val="center"/>
            </w:pPr>
          </w:p>
        </w:tc>
      </w:tr>
      <w:tr w14:paraId="63FA27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2" w:type="dxa"/>
            <w:vMerge w:val="restart"/>
            <w:vAlign w:val="center"/>
          </w:tcPr>
          <w:p w14:paraId="74C9A28E">
            <w:pPr>
              <w:jc w:val="center"/>
            </w:pPr>
            <w:r>
              <w:t>20250425</w:t>
            </w:r>
          </w:p>
        </w:tc>
        <w:tc>
          <w:tcPr>
            <w:tcW w:w="1289" w:type="dxa"/>
            <w:vAlign w:val="center"/>
          </w:tcPr>
          <w:p w14:paraId="766E1C3E">
            <w:pPr>
              <w:jc w:val="center"/>
            </w:pPr>
            <w:r>
              <w:rPr>
                <w:rFonts w:hint="eastAsia"/>
              </w:rPr>
              <w:t>非甲烷总烃</w:t>
            </w:r>
          </w:p>
        </w:tc>
        <w:tc>
          <w:tcPr>
            <w:tcW w:w="850" w:type="dxa"/>
            <w:vAlign w:val="center"/>
          </w:tcPr>
          <w:p w14:paraId="793E5DB2">
            <w:pPr>
              <w:jc w:val="center"/>
            </w:pPr>
            <w:r>
              <w:t>mg/m</w:t>
            </w:r>
            <w:r>
              <w:rPr>
                <w:vertAlign w:val="superscript"/>
              </w:rPr>
              <w:t>3</w:t>
            </w:r>
          </w:p>
        </w:tc>
        <w:tc>
          <w:tcPr>
            <w:tcW w:w="1274" w:type="dxa"/>
            <w:vAlign w:val="center"/>
          </w:tcPr>
          <w:p w14:paraId="689D7A83">
            <w:pPr>
              <w:jc w:val="center"/>
            </w:pPr>
            <w:r>
              <w:rPr>
                <w:rFonts w:hint="eastAsia"/>
              </w:rPr>
              <w:t>0.90</w:t>
            </w:r>
          </w:p>
        </w:tc>
        <w:tc>
          <w:tcPr>
            <w:tcW w:w="1275" w:type="dxa"/>
            <w:vAlign w:val="center"/>
          </w:tcPr>
          <w:p w14:paraId="7C71CF60">
            <w:pPr>
              <w:jc w:val="center"/>
            </w:pPr>
            <w:r>
              <w:rPr>
                <w:rFonts w:hint="eastAsia"/>
              </w:rPr>
              <w:t>0.90</w:t>
            </w:r>
          </w:p>
        </w:tc>
        <w:tc>
          <w:tcPr>
            <w:tcW w:w="1275" w:type="dxa"/>
            <w:vAlign w:val="center"/>
          </w:tcPr>
          <w:p w14:paraId="352D8345">
            <w:pPr>
              <w:jc w:val="center"/>
            </w:pPr>
            <w:r>
              <w:rPr>
                <w:rFonts w:hint="eastAsia"/>
              </w:rPr>
              <w:t>0.93</w:t>
            </w:r>
          </w:p>
        </w:tc>
        <w:tc>
          <w:tcPr>
            <w:tcW w:w="1137" w:type="dxa"/>
            <w:vAlign w:val="center"/>
          </w:tcPr>
          <w:p w14:paraId="2E11CF66">
            <w:pPr>
              <w:jc w:val="center"/>
            </w:pPr>
            <w:r>
              <w:rPr>
                <w:rFonts w:hint="eastAsia"/>
              </w:rPr>
              <w:t>0.91</w:t>
            </w:r>
          </w:p>
        </w:tc>
        <w:tc>
          <w:tcPr>
            <w:tcW w:w="834" w:type="dxa"/>
            <w:gridSpan w:val="2"/>
            <w:vAlign w:val="center"/>
          </w:tcPr>
          <w:p w14:paraId="7C4E5404">
            <w:pPr>
              <w:jc w:val="center"/>
            </w:pPr>
            <w:r>
              <w:rPr>
                <w:rFonts w:hint="eastAsia"/>
              </w:rPr>
              <w:t>4.0</w:t>
            </w:r>
          </w:p>
        </w:tc>
      </w:tr>
      <w:tr w14:paraId="2EEA69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2" w:type="dxa"/>
            <w:vMerge w:val="continue"/>
            <w:vAlign w:val="center"/>
          </w:tcPr>
          <w:p w14:paraId="0EBAB77C">
            <w:pPr>
              <w:jc w:val="center"/>
            </w:pPr>
          </w:p>
        </w:tc>
        <w:tc>
          <w:tcPr>
            <w:tcW w:w="1289" w:type="dxa"/>
            <w:vAlign w:val="center"/>
          </w:tcPr>
          <w:p w14:paraId="2C1DDBE0">
            <w:pPr>
              <w:jc w:val="center"/>
            </w:pPr>
            <w:r>
              <w:rPr>
                <w:rFonts w:hint="eastAsia"/>
              </w:rPr>
              <w:t>氯化氢</w:t>
            </w:r>
          </w:p>
        </w:tc>
        <w:tc>
          <w:tcPr>
            <w:tcW w:w="850" w:type="dxa"/>
            <w:vAlign w:val="center"/>
          </w:tcPr>
          <w:p w14:paraId="1088F353">
            <w:pPr>
              <w:jc w:val="center"/>
            </w:pPr>
            <w:r>
              <w:t>mg/m</w:t>
            </w:r>
            <w:r>
              <w:rPr>
                <w:vertAlign w:val="superscript"/>
              </w:rPr>
              <w:t>3</w:t>
            </w:r>
          </w:p>
        </w:tc>
        <w:tc>
          <w:tcPr>
            <w:tcW w:w="1274" w:type="dxa"/>
            <w:vAlign w:val="center"/>
          </w:tcPr>
          <w:p w14:paraId="70EB6D8C">
            <w:pPr>
              <w:jc w:val="center"/>
            </w:pPr>
            <w:r>
              <w:rPr>
                <w:rFonts w:hint="eastAsia"/>
              </w:rPr>
              <w:t>0.02L</w:t>
            </w:r>
          </w:p>
        </w:tc>
        <w:tc>
          <w:tcPr>
            <w:tcW w:w="1275" w:type="dxa"/>
            <w:vAlign w:val="center"/>
          </w:tcPr>
          <w:p w14:paraId="12D68F1F">
            <w:pPr>
              <w:jc w:val="center"/>
            </w:pPr>
            <w:r>
              <w:rPr>
                <w:rFonts w:hint="eastAsia"/>
              </w:rPr>
              <w:t>0.02L</w:t>
            </w:r>
          </w:p>
        </w:tc>
        <w:tc>
          <w:tcPr>
            <w:tcW w:w="1275" w:type="dxa"/>
            <w:vAlign w:val="center"/>
          </w:tcPr>
          <w:p w14:paraId="4C3D4418">
            <w:pPr>
              <w:jc w:val="center"/>
            </w:pPr>
            <w:r>
              <w:rPr>
                <w:rFonts w:hint="eastAsia"/>
              </w:rPr>
              <w:t>0.02L</w:t>
            </w:r>
          </w:p>
        </w:tc>
        <w:tc>
          <w:tcPr>
            <w:tcW w:w="1137" w:type="dxa"/>
            <w:vAlign w:val="center"/>
          </w:tcPr>
          <w:p w14:paraId="656A3085">
            <w:pPr>
              <w:jc w:val="center"/>
            </w:pPr>
            <w:r>
              <w:rPr>
                <w:rFonts w:hint="eastAsia"/>
              </w:rPr>
              <w:t>0.02L</w:t>
            </w:r>
          </w:p>
        </w:tc>
        <w:tc>
          <w:tcPr>
            <w:tcW w:w="834" w:type="dxa"/>
            <w:gridSpan w:val="2"/>
            <w:vAlign w:val="center"/>
          </w:tcPr>
          <w:p w14:paraId="35D45C6C">
            <w:pPr>
              <w:jc w:val="center"/>
            </w:pPr>
            <w:r>
              <w:rPr>
                <w:rFonts w:hint="eastAsia"/>
              </w:rPr>
              <w:t>0.2</w:t>
            </w:r>
          </w:p>
        </w:tc>
      </w:tr>
      <w:tr w14:paraId="6ED092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2" w:type="dxa"/>
            <w:vMerge w:val="continue"/>
            <w:vAlign w:val="center"/>
          </w:tcPr>
          <w:p w14:paraId="71E25F5C">
            <w:pPr>
              <w:jc w:val="center"/>
            </w:pPr>
          </w:p>
        </w:tc>
        <w:tc>
          <w:tcPr>
            <w:tcW w:w="1289" w:type="dxa"/>
            <w:vAlign w:val="center"/>
          </w:tcPr>
          <w:p w14:paraId="14713686">
            <w:pPr>
              <w:jc w:val="center"/>
            </w:pPr>
            <w:r>
              <w:rPr>
                <w:rFonts w:hint="eastAsia"/>
              </w:rPr>
              <w:t>硫酸雾</w:t>
            </w:r>
          </w:p>
        </w:tc>
        <w:tc>
          <w:tcPr>
            <w:tcW w:w="850" w:type="dxa"/>
            <w:vAlign w:val="center"/>
          </w:tcPr>
          <w:p w14:paraId="56456DF2">
            <w:pPr>
              <w:jc w:val="center"/>
            </w:pPr>
            <w:r>
              <w:t>mg/m</w:t>
            </w:r>
            <w:r>
              <w:rPr>
                <w:vertAlign w:val="superscript"/>
              </w:rPr>
              <w:t>3</w:t>
            </w:r>
          </w:p>
        </w:tc>
        <w:tc>
          <w:tcPr>
            <w:tcW w:w="1274" w:type="dxa"/>
            <w:vAlign w:val="center"/>
          </w:tcPr>
          <w:p w14:paraId="4097D0C1">
            <w:pPr>
              <w:jc w:val="center"/>
            </w:pPr>
            <w:r>
              <w:rPr>
                <w:rFonts w:hint="eastAsia"/>
              </w:rPr>
              <w:t>0.112</w:t>
            </w:r>
          </w:p>
        </w:tc>
        <w:tc>
          <w:tcPr>
            <w:tcW w:w="1275" w:type="dxa"/>
            <w:vAlign w:val="center"/>
          </w:tcPr>
          <w:p w14:paraId="1B304EE9">
            <w:pPr>
              <w:jc w:val="center"/>
            </w:pPr>
            <w:r>
              <w:rPr>
                <w:rFonts w:hint="eastAsia"/>
              </w:rPr>
              <w:t>0.109</w:t>
            </w:r>
          </w:p>
        </w:tc>
        <w:tc>
          <w:tcPr>
            <w:tcW w:w="1275" w:type="dxa"/>
            <w:vAlign w:val="center"/>
          </w:tcPr>
          <w:p w14:paraId="27500F79">
            <w:pPr>
              <w:jc w:val="center"/>
            </w:pPr>
            <w:r>
              <w:rPr>
                <w:rFonts w:hint="eastAsia"/>
              </w:rPr>
              <w:t>0.106</w:t>
            </w:r>
          </w:p>
        </w:tc>
        <w:tc>
          <w:tcPr>
            <w:tcW w:w="1137" w:type="dxa"/>
            <w:vAlign w:val="center"/>
          </w:tcPr>
          <w:p w14:paraId="456E4BBB">
            <w:pPr>
              <w:jc w:val="center"/>
            </w:pPr>
            <w:r>
              <w:rPr>
                <w:rFonts w:hint="eastAsia"/>
              </w:rPr>
              <w:t>0.109</w:t>
            </w:r>
          </w:p>
        </w:tc>
        <w:tc>
          <w:tcPr>
            <w:tcW w:w="834" w:type="dxa"/>
            <w:gridSpan w:val="2"/>
            <w:vAlign w:val="center"/>
          </w:tcPr>
          <w:p w14:paraId="335C164F">
            <w:pPr>
              <w:jc w:val="center"/>
            </w:pPr>
            <w:r>
              <w:rPr>
                <w:rFonts w:hint="eastAsia"/>
              </w:rPr>
              <w:t>1.2</w:t>
            </w:r>
          </w:p>
        </w:tc>
      </w:tr>
      <w:tr w14:paraId="7DAC07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2" w:type="dxa"/>
            <w:vAlign w:val="center"/>
          </w:tcPr>
          <w:p w14:paraId="528626B0">
            <w:pPr>
              <w:jc w:val="center"/>
            </w:pPr>
            <w:r>
              <w:t>评价依据</w:t>
            </w:r>
          </w:p>
        </w:tc>
        <w:tc>
          <w:tcPr>
            <w:tcW w:w="7934" w:type="dxa"/>
            <w:gridSpan w:val="8"/>
            <w:vAlign w:val="center"/>
          </w:tcPr>
          <w:p w14:paraId="7F871E8D">
            <w:r>
              <w:rPr>
                <w:rFonts w:hint="eastAsia"/>
              </w:rPr>
              <w:t>非甲烷总烃</w:t>
            </w:r>
            <w:r>
              <w:rPr>
                <w:rFonts w:hint="eastAsia"/>
                <w:lang w:val="en-US" w:eastAsia="zh-CN"/>
              </w:rPr>
              <w:t>执行</w:t>
            </w:r>
            <w:r>
              <w:rPr>
                <w:rFonts w:hint="eastAsia"/>
                <w:highlight w:val="none"/>
              </w:rPr>
              <w:t>《包装印刷业大气污染物排放标准》（DB 50/758-2017）表</w:t>
            </w:r>
            <w:r>
              <w:rPr>
                <w:rFonts w:hint="eastAsia"/>
                <w:highlight w:val="none"/>
                <w:lang w:val="en-US" w:eastAsia="zh-CN"/>
              </w:rPr>
              <w:t>4，其余监测项目执行</w:t>
            </w:r>
            <w:r>
              <w:rPr>
                <w:rFonts w:hint="eastAsia"/>
                <w:highlight w:val="none"/>
              </w:rPr>
              <w:t>《大气污染物综合排放标准》（DB</w:t>
            </w:r>
            <w:r>
              <w:rPr>
                <w:highlight w:val="none"/>
              </w:rPr>
              <w:t xml:space="preserve"> </w:t>
            </w:r>
            <w:r>
              <w:rPr>
                <w:rFonts w:hint="eastAsia"/>
                <w:highlight w:val="none"/>
              </w:rPr>
              <w:t>50/418-2016）表1</w:t>
            </w:r>
          </w:p>
        </w:tc>
      </w:tr>
      <w:tr w14:paraId="51A22C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2" w:type="dxa"/>
            <w:vAlign w:val="center"/>
          </w:tcPr>
          <w:p w14:paraId="4BAE5208">
            <w:pPr>
              <w:jc w:val="center"/>
            </w:pPr>
            <w:r>
              <w:t>监测结论</w:t>
            </w:r>
          </w:p>
        </w:tc>
        <w:tc>
          <w:tcPr>
            <w:tcW w:w="7934" w:type="dxa"/>
            <w:gridSpan w:val="8"/>
            <w:vAlign w:val="center"/>
          </w:tcPr>
          <w:p w14:paraId="798DD7F1">
            <w:pPr>
              <w:jc w:val="left"/>
              <w:rPr>
                <w:spacing w:val="-2"/>
              </w:rPr>
            </w:pPr>
            <w:r>
              <w:rPr>
                <w:spacing w:val="-2"/>
              </w:rPr>
              <w:t>本次监测</w:t>
            </w:r>
            <w:r>
              <w:rPr>
                <w:rFonts w:hint="eastAsia"/>
                <w:spacing w:val="-2"/>
              </w:rPr>
              <w:t>A1、A2点位</w:t>
            </w:r>
            <w:r>
              <w:rPr>
                <w:spacing w:val="-2"/>
              </w:rPr>
              <w:t>无组织排放废气：</w:t>
            </w:r>
            <w:r>
              <w:rPr>
                <w:rFonts w:hint="eastAsia"/>
                <w:spacing w:val="-2"/>
              </w:rPr>
              <w:t>非甲烷总烃、氯化氢、硫酸雾</w:t>
            </w:r>
            <w:r>
              <w:rPr>
                <w:spacing w:val="-2"/>
              </w:rPr>
              <w:t>排放浓度</w:t>
            </w:r>
            <w:r>
              <w:rPr>
                <w:rFonts w:hint="eastAsia"/>
                <w:spacing w:val="-2"/>
              </w:rPr>
              <w:t>均</w:t>
            </w:r>
            <w:r>
              <w:rPr>
                <w:spacing w:val="-2"/>
              </w:rPr>
              <w:t>达标</w:t>
            </w:r>
          </w:p>
        </w:tc>
      </w:tr>
      <w:tr w14:paraId="5481C3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2" w:type="dxa"/>
            <w:vAlign w:val="center"/>
          </w:tcPr>
          <w:p w14:paraId="55A4CA3D">
            <w:pPr>
              <w:jc w:val="center"/>
            </w:pPr>
            <w:r>
              <w:t>备注</w:t>
            </w:r>
          </w:p>
        </w:tc>
        <w:tc>
          <w:tcPr>
            <w:tcW w:w="7934" w:type="dxa"/>
            <w:gridSpan w:val="8"/>
            <w:vAlign w:val="center"/>
          </w:tcPr>
          <w:p w14:paraId="2DEF6851">
            <w:pPr>
              <w:jc w:val="left"/>
            </w:pPr>
            <w:r>
              <w:rPr>
                <w:rFonts w:hint="eastAsia"/>
              </w:rPr>
              <w:t>带“L”的数据表示未检出，报出结果以检出限加“L”表示；当排放浓度为未检出时，排放速率以“N”表示</w:t>
            </w:r>
            <w:r>
              <w:rPr>
                <w:szCs w:val="24"/>
              </w:rPr>
              <w:t xml:space="preserve"> </w:t>
            </w:r>
          </w:p>
        </w:tc>
      </w:tr>
      <w:bookmarkEnd w:id="219"/>
    </w:tbl>
    <w:p w14:paraId="60336FD2">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b/>
          <w:bCs/>
          <w:sz w:val="24"/>
          <w:szCs w:val="24"/>
        </w:rPr>
      </w:pPr>
      <w:r>
        <w:rPr>
          <w:b/>
          <w:bCs/>
          <w:sz w:val="24"/>
          <w:szCs w:val="24"/>
        </w:rPr>
        <w:t>表9-</w:t>
      </w:r>
      <w:r>
        <w:rPr>
          <w:rFonts w:hint="eastAsia"/>
          <w:b/>
          <w:bCs/>
          <w:sz w:val="24"/>
          <w:szCs w:val="24"/>
        </w:rPr>
        <w:t>6</w:t>
      </w:r>
      <w:r>
        <w:rPr>
          <w:b/>
          <w:bCs/>
          <w:sz w:val="24"/>
          <w:szCs w:val="24"/>
        </w:rPr>
        <w:t xml:space="preserve">  无组织废气监测结果表</w:t>
      </w:r>
    </w:p>
    <w:tbl>
      <w:tblPr>
        <w:tblStyle w:val="35"/>
        <w:tblW w:w="864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277"/>
        <w:gridCol w:w="850"/>
        <w:gridCol w:w="1274"/>
        <w:gridCol w:w="1275"/>
        <w:gridCol w:w="1275"/>
        <w:gridCol w:w="1137"/>
        <w:gridCol w:w="824"/>
        <w:gridCol w:w="10"/>
      </w:tblGrid>
      <w:tr w14:paraId="206B4D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369" w:hRule="atLeast"/>
          <w:jc w:val="center"/>
        </w:trPr>
        <w:tc>
          <w:tcPr>
            <w:tcW w:w="718" w:type="dxa"/>
            <w:vMerge w:val="restart"/>
            <w:vAlign w:val="center"/>
          </w:tcPr>
          <w:p w14:paraId="3ADDC7FC">
            <w:pPr>
              <w:jc w:val="center"/>
            </w:pPr>
            <w:r>
              <w:t>监测日期</w:t>
            </w:r>
          </w:p>
        </w:tc>
        <w:tc>
          <w:tcPr>
            <w:tcW w:w="1277" w:type="dxa"/>
            <w:vMerge w:val="restart"/>
            <w:vAlign w:val="center"/>
          </w:tcPr>
          <w:p w14:paraId="694DDD72">
            <w:pPr>
              <w:jc w:val="center"/>
            </w:pPr>
            <w:r>
              <w:t>项目</w:t>
            </w:r>
          </w:p>
        </w:tc>
        <w:tc>
          <w:tcPr>
            <w:tcW w:w="850" w:type="dxa"/>
            <w:vMerge w:val="restart"/>
            <w:vAlign w:val="center"/>
          </w:tcPr>
          <w:p w14:paraId="6B354284">
            <w:pPr>
              <w:jc w:val="center"/>
            </w:pPr>
            <w:r>
              <w:t>单位</w:t>
            </w:r>
          </w:p>
        </w:tc>
        <w:tc>
          <w:tcPr>
            <w:tcW w:w="3824" w:type="dxa"/>
            <w:gridSpan w:val="3"/>
            <w:vAlign w:val="center"/>
          </w:tcPr>
          <w:p w14:paraId="7545B591">
            <w:pPr>
              <w:jc w:val="center"/>
            </w:pPr>
            <w:r>
              <w:t>监测点位及编号</w:t>
            </w:r>
          </w:p>
        </w:tc>
        <w:tc>
          <w:tcPr>
            <w:tcW w:w="1137" w:type="dxa"/>
            <w:vMerge w:val="restart"/>
            <w:vAlign w:val="center"/>
          </w:tcPr>
          <w:p w14:paraId="0E536002">
            <w:pPr>
              <w:jc w:val="center"/>
            </w:pPr>
            <w:r>
              <w:t>平均值</w:t>
            </w:r>
          </w:p>
        </w:tc>
        <w:tc>
          <w:tcPr>
            <w:tcW w:w="824" w:type="dxa"/>
            <w:vMerge w:val="restart"/>
            <w:vAlign w:val="center"/>
          </w:tcPr>
          <w:p w14:paraId="2F96E898">
            <w:pPr>
              <w:jc w:val="center"/>
            </w:pPr>
            <w:r>
              <w:t>排放</w:t>
            </w:r>
          </w:p>
          <w:p w14:paraId="4B65EE14">
            <w:pPr>
              <w:jc w:val="center"/>
            </w:pPr>
            <w:r>
              <w:t>限值</w:t>
            </w:r>
          </w:p>
        </w:tc>
      </w:tr>
      <w:tr w14:paraId="28599F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369" w:hRule="atLeast"/>
          <w:jc w:val="center"/>
        </w:trPr>
        <w:tc>
          <w:tcPr>
            <w:tcW w:w="718" w:type="dxa"/>
            <w:vMerge w:val="continue"/>
            <w:vAlign w:val="center"/>
          </w:tcPr>
          <w:p w14:paraId="4F875353">
            <w:pPr>
              <w:jc w:val="center"/>
            </w:pPr>
          </w:p>
        </w:tc>
        <w:tc>
          <w:tcPr>
            <w:tcW w:w="1277" w:type="dxa"/>
            <w:vMerge w:val="continue"/>
            <w:vAlign w:val="center"/>
          </w:tcPr>
          <w:p w14:paraId="15947E7B">
            <w:pPr>
              <w:jc w:val="center"/>
            </w:pPr>
          </w:p>
        </w:tc>
        <w:tc>
          <w:tcPr>
            <w:tcW w:w="850" w:type="dxa"/>
            <w:vMerge w:val="continue"/>
            <w:vAlign w:val="center"/>
          </w:tcPr>
          <w:p w14:paraId="7CC4FAAA">
            <w:pPr>
              <w:jc w:val="center"/>
            </w:pPr>
          </w:p>
        </w:tc>
        <w:tc>
          <w:tcPr>
            <w:tcW w:w="1274" w:type="dxa"/>
            <w:vAlign w:val="center"/>
          </w:tcPr>
          <w:p w14:paraId="2BD13EA0">
            <w:pPr>
              <w:jc w:val="center"/>
            </w:pPr>
            <w:r>
              <w:t>25HY0004</w:t>
            </w:r>
          </w:p>
          <w:p w14:paraId="155C4523">
            <w:pPr>
              <w:jc w:val="center"/>
            </w:pPr>
            <w:r>
              <w:t>A3-1-1</w:t>
            </w:r>
          </w:p>
        </w:tc>
        <w:tc>
          <w:tcPr>
            <w:tcW w:w="1275" w:type="dxa"/>
            <w:vAlign w:val="center"/>
          </w:tcPr>
          <w:p w14:paraId="0FD50E5C">
            <w:pPr>
              <w:jc w:val="center"/>
            </w:pPr>
            <w:r>
              <w:t>25HY0004</w:t>
            </w:r>
          </w:p>
          <w:p w14:paraId="7B948D33">
            <w:pPr>
              <w:jc w:val="center"/>
            </w:pPr>
            <w:r>
              <w:t>A3-1-2</w:t>
            </w:r>
          </w:p>
        </w:tc>
        <w:tc>
          <w:tcPr>
            <w:tcW w:w="1275" w:type="dxa"/>
            <w:vAlign w:val="center"/>
          </w:tcPr>
          <w:p w14:paraId="0CF9DD0F">
            <w:pPr>
              <w:jc w:val="center"/>
            </w:pPr>
            <w:r>
              <w:t>25HY0004</w:t>
            </w:r>
          </w:p>
          <w:p w14:paraId="68A241EB">
            <w:pPr>
              <w:jc w:val="center"/>
            </w:pPr>
            <w:r>
              <w:t>A3-1-3</w:t>
            </w:r>
          </w:p>
        </w:tc>
        <w:tc>
          <w:tcPr>
            <w:tcW w:w="1137" w:type="dxa"/>
            <w:vMerge w:val="continue"/>
            <w:vAlign w:val="center"/>
          </w:tcPr>
          <w:p w14:paraId="33C7BA6D">
            <w:pPr>
              <w:jc w:val="center"/>
            </w:pPr>
          </w:p>
        </w:tc>
        <w:tc>
          <w:tcPr>
            <w:tcW w:w="824" w:type="dxa"/>
            <w:vMerge w:val="continue"/>
            <w:vAlign w:val="center"/>
          </w:tcPr>
          <w:p w14:paraId="1047AA36">
            <w:pPr>
              <w:jc w:val="center"/>
            </w:pPr>
          </w:p>
        </w:tc>
      </w:tr>
      <w:tr w14:paraId="190129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369" w:hRule="atLeast"/>
          <w:jc w:val="center"/>
        </w:trPr>
        <w:tc>
          <w:tcPr>
            <w:tcW w:w="718" w:type="dxa"/>
            <w:vAlign w:val="center"/>
          </w:tcPr>
          <w:p w14:paraId="1146E3B5">
            <w:pPr>
              <w:jc w:val="center"/>
            </w:pPr>
            <w:r>
              <w:t>20250424</w:t>
            </w:r>
          </w:p>
        </w:tc>
        <w:tc>
          <w:tcPr>
            <w:tcW w:w="1277" w:type="dxa"/>
            <w:vAlign w:val="center"/>
          </w:tcPr>
          <w:p w14:paraId="679A63EE">
            <w:pPr>
              <w:jc w:val="center"/>
            </w:pPr>
            <w:r>
              <w:rPr>
                <w:rFonts w:hint="eastAsia"/>
              </w:rPr>
              <w:t>非甲烷总烃</w:t>
            </w:r>
          </w:p>
        </w:tc>
        <w:tc>
          <w:tcPr>
            <w:tcW w:w="850" w:type="dxa"/>
            <w:vAlign w:val="center"/>
          </w:tcPr>
          <w:p w14:paraId="28F87EC0">
            <w:pPr>
              <w:jc w:val="center"/>
            </w:pPr>
            <w:r>
              <w:t>mg/m</w:t>
            </w:r>
            <w:r>
              <w:rPr>
                <w:vertAlign w:val="superscript"/>
              </w:rPr>
              <w:t>3</w:t>
            </w:r>
          </w:p>
        </w:tc>
        <w:tc>
          <w:tcPr>
            <w:tcW w:w="1274" w:type="dxa"/>
            <w:vAlign w:val="center"/>
          </w:tcPr>
          <w:p w14:paraId="602344B2">
            <w:pPr>
              <w:jc w:val="center"/>
            </w:pPr>
            <w:r>
              <w:rPr>
                <w:rFonts w:hint="eastAsia"/>
              </w:rPr>
              <w:t>1.23</w:t>
            </w:r>
          </w:p>
        </w:tc>
        <w:tc>
          <w:tcPr>
            <w:tcW w:w="1275" w:type="dxa"/>
            <w:vAlign w:val="center"/>
          </w:tcPr>
          <w:p w14:paraId="440F3C4D">
            <w:pPr>
              <w:jc w:val="center"/>
            </w:pPr>
            <w:r>
              <w:rPr>
                <w:rFonts w:hint="eastAsia"/>
              </w:rPr>
              <w:t>1.26</w:t>
            </w:r>
          </w:p>
        </w:tc>
        <w:tc>
          <w:tcPr>
            <w:tcW w:w="1275" w:type="dxa"/>
            <w:vAlign w:val="center"/>
          </w:tcPr>
          <w:p w14:paraId="1789356F">
            <w:pPr>
              <w:jc w:val="center"/>
            </w:pPr>
            <w:r>
              <w:rPr>
                <w:rFonts w:hint="eastAsia"/>
              </w:rPr>
              <w:t>1.10</w:t>
            </w:r>
          </w:p>
        </w:tc>
        <w:tc>
          <w:tcPr>
            <w:tcW w:w="1137" w:type="dxa"/>
            <w:vAlign w:val="center"/>
          </w:tcPr>
          <w:p w14:paraId="05D3A68A">
            <w:pPr>
              <w:jc w:val="center"/>
            </w:pPr>
            <w:r>
              <w:rPr>
                <w:rFonts w:hint="eastAsia"/>
              </w:rPr>
              <w:t>1.20</w:t>
            </w:r>
          </w:p>
        </w:tc>
        <w:tc>
          <w:tcPr>
            <w:tcW w:w="824" w:type="dxa"/>
            <w:vAlign w:val="center"/>
          </w:tcPr>
          <w:p w14:paraId="23A8ACFD">
            <w:pPr>
              <w:jc w:val="center"/>
            </w:pPr>
            <w:r>
              <w:rPr>
                <w:rFonts w:hint="eastAsia"/>
              </w:rPr>
              <w:t>6</w:t>
            </w:r>
          </w:p>
        </w:tc>
      </w:tr>
      <w:tr w14:paraId="556A9F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8" w:type="dxa"/>
            <w:vMerge w:val="restart"/>
            <w:vAlign w:val="center"/>
          </w:tcPr>
          <w:p w14:paraId="5CB0202F">
            <w:pPr>
              <w:jc w:val="center"/>
            </w:pPr>
            <w:r>
              <w:t>监测日期</w:t>
            </w:r>
          </w:p>
        </w:tc>
        <w:tc>
          <w:tcPr>
            <w:tcW w:w="1277" w:type="dxa"/>
            <w:vMerge w:val="restart"/>
            <w:vAlign w:val="center"/>
          </w:tcPr>
          <w:p w14:paraId="6BCF928C">
            <w:pPr>
              <w:jc w:val="center"/>
            </w:pPr>
            <w:r>
              <w:t>项目</w:t>
            </w:r>
          </w:p>
        </w:tc>
        <w:tc>
          <w:tcPr>
            <w:tcW w:w="850" w:type="dxa"/>
            <w:vMerge w:val="restart"/>
            <w:vAlign w:val="center"/>
          </w:tcPr>
          <w:p w14:paraId="1535FF25">
            <w:pPr>
              <w:jc w:val="center"/>
            </w:pPr>
            <w:r>
              <w:t>单位</w:t>
            </w:r>
          </w:p>
        </w:tc>
        <w:tc>
          <w:tcPr>
            <w:tcW w:w="3824" w:type="dxa"/>
            <w:gridSpan w:val="3"/>
            <w:vAlign w:val="center"/>
          </w:tcPr>
          <w:p w14:paraId="5389F2B3">
            <w:pPr>
              <w:jc w:val="center"/>
            </w:pPr>
            <w:r>
              <w:t>监测点位及编号</w:t>
            </w:r>
          </w:p>
        </w:tc>
        <w:tc>
          <w:tcPr>
            <w:tcW w:w="1137" w:type="dxa"/>
            <w:vMerge w:val="restart"/>
            <w:vAlign w:val="center"/>
          </w:tcPr>
          <w:p w14:paraId="6E30A912">
            <w:pPr>
              <w:jc w:val="center"/>
            </w:pPr>
            <w:r>
              <w:t>平均值</w:t>
            </w:r>
          </w:p>
        </w:tc>
        <w:tc>
          <w:tcPr>
            <w:tcW w:w="834" w:type="dxa"/>
            <w:gridSpan w:val="2"/>
            <w:vMerge w:val="restart"/>
            <w:vAlign w:val="center"/>
          </w:tcPr>
          <w:p w14:paraId="5BD314E5">
            <w:pPr>
              <w:jc w:val="center"/>
            </w:pPr>
            <w:r>
              <w:t>排放</w:t>
            </w:r>
          </w:p>
          <w:p w14:paraId="4BD56AAF">
            <w:pPr>
              <w:jc w:val="center"/>
            </w:pPr>
            <w:r>
              <w:t>限值</w:t>
            </w:r>
          </w:p>
        </w:tc>
      </w:tr>
      <w:tr w14:paraId="026BE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8" w:type="dxa"/>
            <w:vMerge w:val="continue"/>
            <w:vAlign w:val="center"/>
          </w:tcPr>
          <w:p w14:paraId="7665A47E">
            <w:pPr>
              <w:jc w:val="center"/>
            </w:pPr>
          </w:p>
        </w:tc>
        <w:tc>
          <w:tcPr>
            <w:tcW w:w="1277" w:type="dxa"/>
            <w:vMerge w:val="continue"/>
            <w:vAlign w:val="center"/>
          </w:tcPr>
          <w:p w14:paraId="34647AFF">
            <w:pPr>
              <w:jc w:val="center"/>
            </w:pPr>
          </w:p>
        </w:tc>
        <w:tc>
          <w:tcPr>
            <w:tcW w:w="850" w:type="dxa"/>
            <w:vMerge w:val="continue"/>
            <w:vAlign w:val="center"/>
          </w:tcPr>
          <w:p w14:paraId="0DCF60FB">
            <w:pPr>
              <w:jc w:val="center"/>
            </w:pPr>
          </w:p>
        </w:tc>
        <w:tc>
          <w:tcPr>
            <w:tcW w:w="1274" w:type="dxa"/>
            <w:vAlign w:val="center"/>
          </w:tcPr>
          <w:p w14:paraId="67C83694">
            <w:pPr>
              <w:jc w:val="center"/>
            </w:pPr>
            <w:r>
              <w:t>25HY0004</w:t>
            </w:r>
          </w:p>
          <w:p w14:paraId="06E2AADA">
            <w:pPr>
              <w:jc w:val="center"/>
            </w:pPr>
            <w:r>
              <w:t>A3-2-1</w:t>
            </w:r>
          </w:p>
        </w:tc>
        <w:tc>
          <w:tcPr>
            <w:tcW w:w="1275" w:type="dxa"/>
            <w:vAlign w:val="center"/>
          </w:tcPr>
          <w:p w14:paraId="40C133EE">
            <w:pPr>
              <w:jc w:val="center"/>
            </w:pPr>
            <w:r>
              <w:t>25HY0004</w:t>
            </w:r>
          </w:p>
          <w:p w14:paraId="4EF1F6EB">
            <w:pPr>
              <w:jc w:val="center"/>
            </w:pPr>
            <w:r>
              <w:t>A3-2-2</w:t>
            </w:r>
          </w:p>
        </w:tc>
        <w:tc>
          <w:tcPr>
            <w:tcW w:w="1275" w:type="dxa"/>
            <w:vAlign w:val="center"/>
          </w:tcPr>
          <w:p w14:paraId="339A7DD2">
            <w:pPr>
              <w:jc w:val="center"/>
            </w:pPr>
            <w:r>
              <w:t>25HY0004</w:t>
            </w:r>
          </w:p>
          <w:p w14:paraId="48D9C312">
            <w:pPr>
              <w:jc w:val="center"/>
            </w:pPr>
            <w:r>
              <w:t>A3-2-3</w:t>
            </w:r>
          </w:p>
        </w:tc>
        <w:tc>
          <w:tcPr>
            <w:tcW w:w="1137" w:type="dxa"/>
            <w:vMerge w:val="continue"/>
            <w:vAlign w:val="center"/>
          </w:tcPr>
          <w:p w14:paraId="651D64F3">
            <w:pPr>
              <w:jc w:val="center"/>
            </w:pPr>
          </w:p>
        </w:tc>
        <w:tc>
          <w:tcPr>
            <w:tcW w:w="834" w:type="dxa"/>
            <w:gridSpan w:val="2"/>
            <w:vMerge w:val="continue"/>
            <w:vAlign w:val="center"/>
          </w:tcPr>
          <w:p w14:paraId="33B6AF32">
            <w:pPr>
              <w:jc w:val="center"/>
            </w:pPr>
          </w:p>
        </w:tc>
      </w:tr>
      <w:tr w14:paraId="6AC6BE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8" w:type="dxa"/>
            <w:vAlign w:val="center"/>
          </w:tcPr>
          <w:p w14:paraId="7F9988C0">
            <w:pPr>
              <w:jc w:val="center"/>
            </w:pPr>
            <w:r>
              <w:t>20250425</w:t>
            </w:r>
          </w:p>
        </w:tc>
        <w:tc>
          <w:tcPr>
            <w:tcW w:w="1277" w:type="dxa"/>
            <w:vAlign w:val="center"/>
          </w:tcPr>
          <w:p w14:paraId="402022A4">
            <w:pPr>
              <w:jc w:val="center"/>
            </w:pPr>
            <w:r>
              <w:rPr>
                <w:rFonts w:hint="eastAsia"/>
              </w:rPr>
              <w:t>非甲烷总烃</w:t>
            </w:r>
          </w:p>
        </w:tc>
        <w:tc>
          <w:tcPr>
            <w:tcW w:w="850" w:type="dxa"/>
            <w:vAlign w:val="center"/>
          </w:tcPr>
          <w:p w14:paraId="2BDDC5EC">
            <w:pPr>
              <w:jc w:val="center"/>
            </w:pPr>
            <w:r>
              <w:t>mg/m</w:t>
            </w:r>
            <w:r>
              <w:rPr>
                <w:vertAlign w:val="superscript"/>
              </w:rPr>
              <w:t>3</w:t>
            </w:r>
          </w:p>
        </w:tc>
        <w:tc>
          <w:tcPr>
            <w:tcW w:w="1274" w:type="dxa"/>
            <w:vAlign w:val="center"/>
          </w:tcPr>
          <w:p w14:paraId="75FEA820">
            <w:pPr>
              <w:jc w:val="center"/>
            </w:pPr>
            <w:r>
              <w:rPr>
                <w:rFonts w:hint="eastAsia"/>
              </w:rPr>
              <w:t>0.98</w:t>
            </w:r>
          </w:p>
        </w:tc>
        <w:tc>
          <w:tcPr>
            <w:tcW w:w="1275" w:type="dxa"/>
            <w:vAlign w:val="center"/>
          </w:tcPr>
          <w:p w14:paraId="4584D913">
            <w:pPr>
              <w:jc w:val="center"/>
            </w:pPr>
            <w:r>
              <w:rPr>
                <w:rFonts w:hint="eastAsia"/>
              </w:rPr>
              <w:t>0.95</w:t>
            </w:r>
          </w:p>
        </w:tc>
        <w:tc>
          <w:tcPr>
            <w:tcW w:w="1275" w:type="dxa"/>
            <w:vAlign w:val="center"/>
          </w:tcPr>
          <w:p w14:paraId="148874B6">
            <w:pPr>
              <w:jc w:val="center"/>
            </w:pPr>
            <w:r>
              <w:rPr>
                <w:rFonts w:hint="eastAsia"/>
              </w:rPr>
              <w:t>1.03</w:t>
            </w:r>
          </w:p>
        </w:tc>
        <w:tc>
          <w:tcPr>
            <w:tcW w:w="1137" w:type="dxa"/>
            <w:vAlign w:val="center"/>
          </w:tcPr>
          <w:p w14:paraId="51F2368B">
            <w:pPr>
              <w:jc w:val="center"/>
            </w:pPr>
            <w:r>
              <w:rPr>
                <w:rFonts w:hint="eastAsia"/>
              </w:rPr>
              <w:t>0.99</w:t>
            </w:r>
          </w:p>
        </w:tc>
        <w:tc>
          <w:tcPr>
            <w:tcW w:w="834" w:type="dxa"/>
            <w:gridSpan w:val="2"/>
            <w:vAlign w:val="center"/>
          </w:tcPr>
          <w:p w14:paraId="542356D3">
            <w:pPr>
              <w:jc w:val="center"/>
            </w:pPr>
            <w:r>
              <w:rPr>
                <w:rFonts w:hint="eastAsia"/>
              </w:rPr>
              <w:t>6</w:t>
            </w:r>
          </w:p>
        </w:tc>
      </w:tr>
      <w:tr w14:paraId="6A94E2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8" w:type="dxa"/>
            <w:vAlign w:val="center"/>
          </w:tcPr>
          <w:p w14:paraId="6592E317">
            <w:pPr>
              <w:jc w:val="center"/>
            </w:pPr>
            <w:r>
              <w:t>评价依据</w:t>
            </w:r>
          </w:p>
        </w:tc>
        <w:tc>
          <w:tcPr>
            <w:tcW w:w="7922" w:type="dxa"/>
            <w:gridSpan w:val="8"/>
            <w:vAlign w:val="center"/>
          </w:tcPr>
          <w:p w14:paraId="4F1EC5BE">
            <w:r>
              <w:rPr>
                <w:rFonts w:hint="eastAsia"/>
              </w:rPr>
              <w:t>《挥发性有机物无组织排放控制标准》（GB 37822-2019）表A.1</w:t>
            </w:r>
          </w:p>
        </w:tc>
      </w:tr>
      <w:tr w14:paraId="299763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8" w:type="dxa"/>
            <w:vAlign w:val="center"/>
          </w:tcPr>
          <w:p w14:paraId="6CBFC969">
            <w:pPr>
              <w:jc w:val="center"/>
            </w:pPr>
            <w:r>
              <w:t>监测结论</w:t>
            </w:r>
          </w:p>
        </w:tc>
        <w:tc>
          <w:tcPr>
            <w:tcW w:w="7922" w:type="dxa"/>
            <w:gridSpan w:val="8"/>
            <w:vAlign w:val="center"/>
          </w:tcPr>
          <w:p w14:paraId="149EC279">
            <w:pPr>
              <w:jc w:val="left"/>
              <w:rPr>
                <w:spacing w:val="-2"/>
              </w:rPr>
            </w:pPr>
            <w:r>
              <w:rPr>
                <w:spacing w:val="-2"/>
              </w:rPr>
              <w:t>本次监测</w:t>
            </w:r>
            <w:r>
              <w:rPr>
                <w:rFonts w:hint="eastAsia"/>
                <w:spacing w:val="-2"/>
              </w:rPr>
              <w:t>A3点位</w:t>
            </w:r>
            <w:r>
              <w:rPr>
                <w:spacing w:val="-2"/>
              </w:rPr>
              <w:t>无组织排放废气：</w:t>
            </w:r>
            <w:r>
              <w:rPr>
                <w:rFonts w:hint="eastAsia"/>
                <w:spacing w:val="-2"/>
              </w:rPr>
              <w:t>非甲烷总烃</w:t>
            </w:r>
            <w:r>
              <w:rPr>
                <w:spacing w:val="-2"/>
              </w:rPr>
              <w:t>排放浓度达标</w:t>
            </w:r>
          </w:p>
        </w:tc>
      </w:tr>
      <w:tr w14:paraId="6F6036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8" w:type="dxa"/>
            <w:vAlign w:val="center"/>
          </w:tcPr>
          <w:p w14:paraId="2FC604DB">
            <w:pPr>
              <w:jc w:val="center"/>
            </w:pPr>
            <w:r>
              <w:t>备注</w:t>
            </w:r>
          </w:p>
        </w:tc>
        <w:tc>
          <w:tcPr>
            <w:tcW w:w="7922" w:type="dxa"/>
            <w:gridSpan w:val="8"/>
            <w:vAlign w:val="center"/>
          </w:tcPr>
          <w:p w14:paraId="5AB51129">
            <w:pPr>
              <w:jc w:val="left"/>
            </w:pPr>
            <w:r>
              <w:rPr>
                <w:rFonts w:hint="eastAsia"/>
              </w:rPr>
              <w:t>/</w:t>
            </w:r>
          </w:p>
        </w:tc>
      </w:tr>
    </w:tbl>
    <w:p w14:paraId="44B7BBDB">
      <w:pPr>
        <w:keepNext w:val="0"/>
        <w:keepLines w:val="0"/>
        <w:pageBreakBefore w:val="0"/>
        <w:widowControl w:val="0"/>
        <w:kinsoku/>
        <w:wordWrap/>
        <w:overflowPunct/>
        <w:topLinePunct w:val="0"/>
        <w:autoSpaceDE/>
        <w:autoSpaceDN/>
        <w:bidi w:val="0"/>
        <w:adjustRightInd/>
        <w:snapToGrid/>
        <w:spacing w:before="157" w:beforeLines="50" w:after="156" w:afterLines="50" w:line="360" w:lineRule="auto"/>
        <w:jc w:val="center"/>
        <w:textAlignment w:val="auto"/>
        <w:rPr>
          <w:b/>
          <w:bCs/>
          <w:sz w:val="24"/>
          <w:szCs w:val="24"/>
        </w:rPr>
      </w:pPr>
      <w:r>
        <w:rPr>
          <w:b/>
          <w:bCs/>
          <w:sz w:val="24"/>
          <w:szCs w:val="24"/>
        </w:rPr>
        <w:t>表9-</w:t>
      </w:r>
      <w:r>
        <w:rPr>
          <w:rFonts w:hint="eastAsia"/>
          <w:b/>
          <w:bCs/>
          <w:sz w:val="24"/>
          <w:szCs w:val="24"/>
        </w:rPr>
        <w:t>7</w:t>
      </w:r>
      <w:r>
        <w:rPr>
          <w:b/>
          <w:bCs/>
          <w:sz w:val="24"/>
          <w:szCs w:val="24"/>
        </w:rPr>
        <w:t xml:space="preserve">  无组织废气监测结果表</w:t>
      </w:r>
    </w:p>
    <w:tbl>
      <w:tblPr>
        <w:tblStyle w:val="35"/>
        <w:tblW w:w="483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53"/>
        <w:gridCol w:w="1850"/>
        <w:gridCol w:w="5751"/>
      </w:tblGrid>
      <w:tr w14:paraId="4469EB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jc w:val="center"/>
        </w:trPr>
        <w:tc>
          <w:tcPr>
            <w:tcW w:w="608" w:type="pct"/>
            <w:vMerge w:val="restart"/>
            <w:noWrap w:val="0"/>
            <w:vAlign w:val="center"/>
          </w:tcPr>
          <w:p w14:paraId="27AB5CC3">
            <w:pPr>
              <w:widowControl/>
              <w:adjustRightInd w:val="0"/>
              <w:snapToGrid w:val="0"/>
              <w:ind w:left="-113" w:right="-113"/>
              <w:jc w:val="center"/>
              <w:rPr>
                <w:rFonts w:hint="default" w:ascii="Times New Roman" w:hAnsi="Times New Roman" w:eastAsia="宋体" w:cs="Times New Roman"/>
                <w:b w:val="0"/>
                <w:bCs/>
                <w:color w:val="000000"/>
                <w:spacing w:val="0"/>
                <w:kern w:val="0"/>
                <w:sz w:val="21"/>
                <w:szCs w:val="21"/>
              </w:rPr>
            </w:pPr>
            <w:r>
              <w:rPr>
                <w:rFonts w:hint="default" w:ascii="Times New Roman" w:hAnsi="Times New Roman" w:eastAsia="宋体" w:cs="Times New Roman"/>
                <w:b w:val="0"/>
                <w:bCs/>
                <w:color w:val="000000"/>
                <w:spacing w:val="0"/>
                <w:kern w:val="0"/>
                <w:sz w:val="21"/>
                <w:szCs w:val="21"/>
              </w:rPr>
              <w:t>监测时间</w:t>
            </w:r>
          </w:p>
        </w:tc>
        <w:tc>
          <w:tcPr>
            <w:tcW w:w="1068" w:type="pct"/>
            <w:vMerge w:val="restart"/>
            <w:noWrap w:val="0"/>
            <w:vAlign w:val="center"/>
          </w:tcPr>
          <w:p w14:paraId="36A44F70">
            <w:pPr>
              <w:adjustRightInd w:val="0"/>
              <w:snapToGrid w:val="0"/>
              <w:ind w:left="-113" w:right="-113"/>
              <w:jc w:val="center"/>
              <w:rPr>
                <w:rFonts w:hint="default" w:ascii="Times New Roman" w:hAnsi="Times New Roman" w:eastAsia="宋体" w:cs="Times New Roman"/>
                <w:b w:val="0"/>
                <w:bCs/>
                <w:color w:val="000000"/>
                <w:spacing w:val="0"/>
                <w:kern w:val="0"/>
                <w:sz w:val="21"/>
                <w:szCs w:val="21"/>
              </w:rPr>
            </w:pPr>
            <w:r>
              <w:rPr>
                <w:rFonts w:hint="default" w:ascii="Times New Roman" w:hAnsi="Times New Roman" w:eastAsia="宋体" w:cs="Times New Roman"/>
                <w:b w:val="0"/>
                <w:bCs/>
                <w:color w:val="000000"/>
                <w:spacing w:val="0"/>
                <w:kern w:val="0"/>
                <w:sz w:val="21"/>
                <w:szCs w:val="21"/>
              </w:rPr>
              <w:t>监测位置及频次</w:t>
            </w:r>
          </w:p>
        </w:tc>
        <w:tc>
          <w:tcPr>
            <w:tcW w:w="3323" w:type="pct"/>
            <w:noWrap w:val="0"/>
            <w:vAlign w:val="center"/>
          </w:tcPr>
          <w:p w14:paraId="77F50AD0">
            <w:pPr>
              <w:adjustRightInd w:val="0"/>
              <w:snapToGrid w:val="0"/>
              <w:ind w:left="-113" w:leftChars="0" w:right="-113" w:rightChars="0"/>
              <w:jc w:val="center"/>
              <w:rPr>
                <w:rFonts w:hint="default" w:ascii="Times New Roman" w:hAnsi="Times New Roman" w:eastAsia="宋体" w:cs="Times New Roman"/>
                <w:b w:val="0"/>
                <w:bCs/>
                <w:color w:val="000000"/>
                <w:spacing w:val="0"/>
                <w:kern w:val="0"/>
                <w:sz w:val="21"/>
                <w:szCs w:val="21"/>
                <w:lang w:eastAsia="zh-CN"/>
              </w:rPr>
            </w:pPr>
            <w:r>
              <w:rPr>
                <w:rFonts w:hint="default" w:ascii="Times New Roman" w:hAnsi="Times New Roman" w:eastAsia="宋体" w:cs="Times New Roman"/>
                <w:b w:val="0"/>
                <w:bCs/>
                <w:color w:val="000000"/>
                <w:spacing w:val="0"/>
                <w:kern w:val="0"/>
                <w:sz w:val="21"/>
                <w:szCs w:val="21"/>
                <w:lang w:eastAsia="zh-CN"/>
              </w:rPr>
              <w:t>氟化物</w:t>
            </w:r>
          </w:p>
        </w:tc>
      </w:tr>
      <w:tr w14:paraId="0C7348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08" w:type="pct"/>
            <w:vMerge w:val="continue"/>
            <w:noWrap w:val="0"/>
            <w:vAlign w:val="center"/>
          </w:tcPr>
          <w:p w14:paraId="1E992F3D">
            <w:pPr>
              <w:widowControl/>
              <w:adjustRightInd w:val="0"/>
              <w:snapToGrid w:val="0"/>
              <w:ind w:left="-113" w:right="-113"/>
              <w:jc w:val="center"/>
              <w:rPr>
                <w:rFonts w:hint="default" w:ascii="Times New Roman" w:hAnsi="Times New Roman" w:eastAsia="宋体" w:cs="Times New Roman"/>
                <w:b w:val="0"/>
                <w:bCs/>
                <w:color w:val="000000"/>
                <w:spacing w:val="0"/>
                <w:kern w:val="0"/>
                <w:sz w:val="21"/>
                <w:szCs w:val="21"/>
              </w:rPr>
            </w:pPr>
          </w:p>
        </w:tc>
        <w:tc>
          <w:tcPr>
            <w:tcW w:w="1068" w:type="pct"/>
            <w:vMerge w:val="continue"/>
            <w:noWrap w:val="0"/>
            <w:vAlign w:val="center"/>
          </w:tcPr>
          <w:p w14:paraId="55A685A2">
            <w:pPr>
              <w:widowControl/>
              <w:adjustRightInd w:val="0"/>
              <w:snapToGrid w:val="0"/>
              <w:ind w:left="-113" w:right="-113"/>
              <w:jc w:val="center"/>
              <w:rPr>
                <w:rFonts w:hint="default" w:ascii="Times New Roman" w:hAnsi="Times New Roman" w:eastAsia="宋体" w:cs="Times New Roman"/>
                <w:b w:val="0"/>
                <w:bCs/>
                <w:color w:val="000000"/>
                <w:spacing w:val="0"/>
                <w:kern w:val="0"/>
                <w:sz w:val="21"/>
                <w:szCs w:val="21"/>
              </w:rPr>
            </w:pPr>
          </w:p>
        </w:tc>
        <w:tc>
          <w:tcPr>
            <w:tcW w:w="3323" w:type="pct"/>
            <w:noWrap w:val="0"/>
            <w:vAlign w:val="center"/>
          </w:tcPr>
          <w:p w14:paraId="6817A7F3">
            <w:pPr>
              <w:adjustRightInd w:val="0"/>
              <w:snapToGrid w:val="0"/>
              <w:ind w:left="-113" w:leftChars="0" w:right="-113" w:rightChars="0"/>
              <w:jc w:val="center"/>
              <w:rPr>
                <w:rFonts w:hint="default" w:ascii="Times New Roman" w:hAnsi="Times New Roman" w:eastAsia="宋体" w:cs="Times New Roman"/>
                <w:b w:val="0"/>
                <w:bCs/>
                <w:color w:val="000000"/>
                <w:kern w:val="0"/>
                <w:sz w:val="21"/>
                <w:szCs w:val="21"/>
                <w:lang w:eastAsia="zh-CN"/>
              </w:rPr>
            </w:pPr>
            <w:r>
              <w:rPr>
                <w:rFonts w:hint="default" w:ascii="Times New Roman" w:hAnsi="Times New Roman" w:eastAsia="宋体" w:cs="Times New Roman"/>
                <w:b w:val="0"/>
                <w:bCs/>
                <w:color w:val="000000"/>
                <w:kern w:val="0"/>
                <w:sz w:val="21"/>
                <w:szCs w:val="21"/>
                <w:lang w:val="en-US" w:eastAsia="zh-CN"/>
              </w:rPr>
              <w:t>m</w:t>
            </w:r>
            <w:r>
              <w:rPr>
                <w:rFonts w:hint="default" w:ascii="Times New Roman" w:hAnsi="Times New Roman" w:eastAsia="宋体" w:cs="Times New Roman"/>
                <w:b w:val="0"/>
                <w:bCs/>
                <w:color w:val="000000"/>
                <w:kern w:val="0"/>
                <w:sz w:val="21"/>
                <w:szCs w:val="21"/>
              </w:rPr>
              <w:t>g/m</w:t>
            </w:r>
            <w:r>
              <w:rPr>
                <w:rFonts w:hint="default" w:ascii="Times New Roman" w:hAnsi="Times New Roman" w:eastAsia="宋体" w:cs="Times New Roman"/>
                <w:b w:val="0"/>
                <w:bCs/>
                <w:color w:val="000000"/>
                <w:kern w:val="0"/>
                <w:sz w:val="21"/>
                <w:szCs w:val="21"/>
                <w:vertAlign w:val="superscript"/>
              </w:rPr>
              <w:t>3</w:t>
            </w:r>
          </w:p>
        </w:tc>
      </w:tr>
      <w:tr w14:paraId="1BF7FE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08" w:type="pct"/>
            <w:vMerge w:val="restart"/>
            <w:noWrap w:val="0"/>
            <w:vAlign w:val="center"/>
          </w:tcPr>
          <w:p w14:paraId="29ADDA7F">
            <w:pPr>
              <w:keepNext w:val="0"/>
              <w:keepLines w:val="0"/>
              <w:pageBreakBefore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eastAsia="zh-CN"/>
              </w:rPr>
              <w:t>2025</w:t>
            </w:r>
            <w:r>
              <w:rPr>
                <w:rFonts w:hint="default" w:ascii="Times New Roman" w:hAnsi="Times New Roman" w:eastAsia="宋体" w:cs="Times New Roman"/>
                <w:color w:val="000000"/>
                <w:kern w:val="0"/>
                <w:sz w:val="21"/>
                <w:szCs w:val="21"/>
              </w:rPr>
              <w:t>年</w:t>
            </w:r>
          </w:p>
          <w:p w14:paraId="614C3B65">
            <w:pPr>
              <w:keepNext w:val="0"/>
              <w:keepLines w:val="0"/>
              <w:pageBreakBefore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spacing w:val="0"/>
                <w:kern w:val="0"/>
                <w:sz w:val="21"/>
                <w:szCs w:val="21"/>
              </w:rPr>
            </w:pPr>
            <w:r>
              <w:rPr>
                <w:rFonts w:hint="default" w:ascii="Times New Roman" w:hAnsi="Times New Roman" w:eastAsia="宋体" w:cs="Times New Roman"/>
                <w:color w:val="000000"/>
                <w:kern w:val="0"/>
                <w:sz w:val="21"/>
                <w:szCs w:val="21"/>
                <w:lang w:val="en-US" w:eastAsia="zh-CN"/>
              </w:rPr>
              <w:t>4月27日</w:t>
            </w:r>
          </w:p>
        </w:tc>
        <w:tc>
          <w:tcPr>
            <w:tcW w:w="1068" w:type="pct"/>
            <w:noWrap w:val="0"/>
            <w:vAlign w:val="center"/>
          </w:tcPr>
          <w:p w14:paraId="09931D05">
            <w:pPr>
              <w:keepNext w:val="0"/>
              <w:keepLines w:val="0"/>
              <w:pageBreakBefore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spacing w:val="0"/>
                <w:kern w:val="2"/>
                <w:sz w:val="21"/>
                <w:szCs w:val="21"/>
                <w:lang w:val="en-US" w:eastAsia="zh-CN" w:bidi="ar-SA"/>
              </w:rPr>
            </w:pPr>
            <w:r>
              <w:rPr>
                <w:rFonts w:hint="default" w:ascii="Times New Roman" w:hAnsi="Times New Roman" w:eastAsia="宋体" w:cs="Times New Roman"/>
                <w:color w:val="000000"/>
                <w:sz w:val="21"/>
                <w:szCs w:val="21"/>
                <w:lang w:val="en-US" w:eastAsia="zh-CN"/>
              </w:rPr>
              <w:t>25YS14-</w:t>
            </w:r>
            <w:r>
              <w:rPr>
                <w:rFonts w:hint="default" w:ascii="Times New Roman" w:hAnsi="Times New Roman" w:eastAsia="宋体" w:cs="Times New Roman"/>
                <w:color w:val="000000"/>
                <w:sz w:val="21"/>
                <w:szCs w:val="21"/>
              </w:rPr>
              <w:t>B</w:t>
            </w:r>
            <w:r>
              <w:rPr>
                <w:rFonts w:hint="default"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rPr>
              <w:t>-1-1</w:t>
            </w:r>
          </w:p>
        </w:tc>
        <w:tc>
          <w:tcPr>
            <w:tcW w:w="3323" w:type="pct"/>
            <w:noWrap w:val="0"/>
            <w:vAlign w:val="center"/>
          </w:tcPr>
          <w:p w14:paraId="7B22143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000000"/>
                <w:spacing w:val="0"/>
                <w:kern w:val="2"/>
                <w:sz w:val="21"/>
                <w:szCs w:val="21"/>
                <w:lang w:val="en-US" w:eastAsia="zh-CN" w:bidi="ar-SA"/>
              </w:rPr>
            </w:pPr>
            <w:r>
              <w:rPr>
                <w:rFonts w:hint="default" w:ascii="Times New Roman" w:hAnsi="Times New Roman" w:eastAsia="宋体" w:cs="Times New Roman"/>
                <w:color w:val="000000"/>
                <w:spacing w:val="0"/>
                <w:kern w:val="2"/>
                <w:sz w:val="21"/>
                <w:szCs w:val="21"/>
                <w:lang w:val="en-US" w:eastAsia="zh-CN" w:bidi="ar-SA"/>
              </w:rPr>
              <w:t>2.44×10</w:t>
            </w:r>
            <w:r>
              <w:rPr>
                <w:rFonts w:hint="default" w:ascii="Times New Roman" w:hAnsi="Times New Roman" w:eastAsia="宋体" w:cs="Times New Roman"/>
                <w:color w:val="000000"/>
                <w:spacing w:val="0"/>
                <w:kern w:val="2"/>
                <w:sz w:val="21"/>
                <w:szCs w:val="21"/>
                <w:vertAlign w:val="superscript"/>
                <w:lang w:val="en-US" w:eastAsia="zh-CN" w:bidi="ar-SA"/>
              </w:rPr>
              <w:t>-3</w:t>
            </w:r>
          </w:p>
        </w:tc>
      </w:tr>
      <w:tr w14:paraId="386A88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08" w:type="pct"/>
            <w:vMerge w:val="continue"/>
            <w:noWrap w:val="0"/>
            <w:vAlign w:val="center"/>
          </w:tcPr>
          <w:p w14:paraId="32765431">
            <w:pPr>
              <w:keepNext w:val="0"/>
              <w:keepLines w:val="0"/>
              <w:pageBreakBefore w:val="0"/>
              <w:widowControl/>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spacing w:val="0"/>
                <w:kern w:val="0"/>
                <w:sz w:val="21"/>
                <w:szCs w:val="21"/>
              </w:rPr>
            </w:pPr>
          </w:p>
        </w:tc>
        <w:tc>
          <w:tcPr>
            <w:tcW w:w="1068" w:type="pct"/>
            <w:noWrap w:val="0"/>
            <w:vAlign w:val="center"/>
          </w:tcPr>
          <w:p w14:paraId="1988BD9F">
            <w:pPr>
              <w:keepNext w:val="0"/>
              <w:keepLines w:val="0"/>
              <w:pageBreakBefore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25YS14-</w:t>
            </w:r>
            <w:r>
              <w:rPr>
                <w:rFonts w:hint="default" w:ascii="Times New Roman" w:hAnsi="Times New Roman" w:eastAsia="宋体" w:cs="Times New Roman"/>
                <w:color w:val="000000"/>
                <w:sz w:val="21"/>
                <w:szCs w:val="21"/>
              </w:rPr>
              <w:t>B</w:t>
            </w:r>
            <w:r>
              <w:rPr>
                <w:rFonts w:hint="default"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rPr>
              <w:t>-1-</w:t>
            </w:r>
            <w:r>
              <w:rPr>
                <w:rFonts w:hint="default" w:ascii="Times New Roman" w:hAnsi="Times New Roman" w:eastAsia="宋体" w:cs="Times New Roman"/>
                <w:color w:val="000000"/>
                <w:sz w:val="21"/>
                <w:szCs w:val="21"/>
                <w:lang w:val="en-US" w:eastAsia="zh-CN"/>
              </w:rPr>
              <w:t>2</w:t>
            </w:r>
          </w:p>
        </w:tc>
        <w:tc>
          <w:tcPr>
            <w:tcW w:w="3323" w:type="pct"/>
            <w:noWrap w:val="0"/>
            <w:vAlign w:val="center"/>
          </w:tcPr>
          <w:p w14:paraId="404FFE8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000000"/>
                <w:spacing w:val="0"/>
                <w:kern w:val="2"/>
                <w:sz w:val="21"/>
                <w:szCs w:val="21"/>
                <w:lang w:val="en-US" w:eastAsia="zh-CN" w:bidi="ar-SA"/>
              </w:rPr>
            </w:pPr>
            <w:r>
              <w:rPr>
                <w:rFonts w:hint="default" w:ascii="Times New Roman" w:hAnsi="Times New Roman" w:eastAsia="宋体" w:cs="Times New Roman"/>
                <w:color w:val="000000"/>
                <w:spacing w:val="0"/>
                <w:kern w:val="2"/>
                <w:sz w:val="21"/>
                <w:szCs w:val="21"/>
                <w:lang w:val="en-US" w:eastAsia="zh-CN" w:bidi="ar-SA"/>
              </w:rPr>
              <w:t>2.83×10</w:t>
            </w:r>
            <w:r>
              <w:rPr>
                <w:rFonts w:hint="default" w:ascii="Times New Roman" w:hAnsi="Times New Roman" w:eastAsia="宋体" w:cs="Times New Roman"/>
                <w:color w:val="000000"/>
                <w:spacing w:val="0"/>
                <w:kern w:val="2"/>
                <w:sz w:val="21"/>
                <w:szCs w:val="21"/>
                <w:vertAlign w:val="superscript"/>
                <w:lang w:val="en-US" w:eastAsia="zh-CN" w:bidi="ar-SA"/>
              </w:rPr>
              <w:t>-3</w:t>
            </w:r>
          </w:p>
        </w:tc>
      </w:tr>
      <w:tr w14:paraId="581F10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08" w:type="pct"/>
            <w:vMerge w:val="continue"/>
            <w:noWrap w:val="0"/>
            <w:vAlign w:val="center"/>
          </w:tcPr>
          <w:p w14:paraId="5578AE6E">
            <w:pPr>
              <w:keepNext w:val="0"/>
              <w:keepLines w:val="0"/>
              <w:pageBreakBefore w:val="0"/>
              <w:widowControl/>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spacing w:val="0"/>
                <w:kern w:val="0"/>
                <w:sz w:val="21"/>
                <w:szCs w:val="21"/>
              </w:rPr>
            </w:pPr>
          </w:p>
        </w:tc>
        <w:tc>
          <w:tcPr>
            <w:tcW w:w="1068" w:type="pct"/>
            <w:noWrap w:val="0"/>
            <w:vAlign w:val="center"/>
          </w:tcPr>
          <w:p w14:paraId="15E28F69">
            <w:pPr>
              <w:keepNext w:val="0"/>
              <w:keepLines w:val="0"/>
              <w:pageBreakBefore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25YS14-B1</w:t>
            </w:r>
            <w:r>
              <w:rPr>
                <w:rFonts w:hint="default" w:ascii="Times New Roman" w:hAnsi="Times New Roman" w:eastAsia="宋体" w:cs="Times New Roman"/>
                <w:color w:val="000000"/>
                <w:sz w:val="21"/>
                <w:szCs w:val="21"/>
              </w:rPr>
              <w:t>-1-</w:t>
            </w:r>
            <w:r>
              <w:rPr>
                <w:rFonts w:hint="default" w:ascii="Times New Roman" w:hAnsi="Times New Roman" w:eastAsia="宋体" w:cs="Times New Roman"/>
                <w:color w:val="000000"/>
                <w:sz w:val="21"/>
                <w:szCs w:val="21"/>
                <w:lang w:val="en-US" w:eastAsia="zh-CN"/>
              </w:rPr>
              <w:t>3</w:t>
            </w:r>
          </w:p>
        </w:tc>
        <w:tc>
          <w:tcPr>
            <w:tcW w:w="3323" w:type="pct"/>
            <w:noWrap w:val="0"/>
            <w:vAlign w:val="center"/>
          </w:tcPr>
          <w:p w14:paraId="61A38D9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000000"/>
                <w:spacing w:val="0"/>
                <w:kern w:val="2"/>
                <w:sz w:val="21"/>
                <w:szCs w:val="21"/>
                <w:lang w:val="en-US" w:eastAsia="zh-CN" w:bidi="ar-SA"/>
              </w:rPr>
            </w:pPr>
            <w:r>
              <w:rPr>
                <w:rFonts w:hint="default" w:ascii="Times New Roman" w:hAnsi="Times New Roman" w:eastAsia="宋体" w:cs="Times New Roman"/>
                <w:color w:val="000000"/>
                <w:spacing w:val="0"/>
                <w:kern w:val="2"/>
                <w:sz w:val="21"/>
                <w:szCs w:val="21"/>
                <w:lang w:val="en-US" w:eastAsia="zh-CN" w:bidi="ar-SA"/>
              </w:rPr>
              <w:t>2.55×10</w:t>
            </w:r>
            <w:r>
              <w:rPr>
                <w:rFonts w:hint="default" w:ascii="Times New Roman" w:hAnsi="Times New Roman" w:eastAsia="宋体" w:cs="Times New Roman"/>
                <w:color w:val="000000"/>
                <w:spacing w:val="0"/>
                <w:kern w:val="2"/>
                <w:sz w:val="21"/>
                <w:szCs w:val="21"/>
                <w:vertAlign w:val="superscript"/>
                <w:lang w:val="en-US" w:eastAsia="zh-CN" w:bidi="ar-SA"/>
              </w:rPr>
              <w:t>-3</w:t>
            </w:r>
          </w:p>
        </w:tc>
      </w:tr>
      <w:tr w14:paraId="598915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08" w:type="pct"/>
            <w:vMerge w:val="continue"/>
            <w:noWrap w:val="0"/>
            <w:vAlign w:val="center"/>
          </w:tcPr>
          <w:p w14:paraId="39AA2A4E">
            <w:pPr>
              <w:keepNext w:val="0"/>
              <w:keepLines w:val="0"/>
              <w:pageBreakBefore w:val="0"/>
              <w:widowControl/>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spacing w:val="0"/>
                <w:kern w:val="0"/>
                <w:sz w:val="21"/>
                <w:szCs w:val="21"/>
              </w:rPr>
            </w:pPr>
          </w:p>
        </w:tc>
        <w:tc>
          <w:tcPr>
            <w:tcW w:w="1068" w:type="pct"/>
            <w:noWrap w:val="0"/>
            <w:vAlign w:val="center"/>
          </w:tcPr>
          <w:p w14:paraId="6BC482AC">
            <w:pPr>
              <w:keepNext w:val="0"/>
              <w:keepLines w:val="0"/>
              <w:pageBreakBefore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spacing w:val="0"/>
                <w:kern w:val="2"/>
                <w:sz w:val="21"/>
                <w:szCs w:val="21"/>
                <w:lang w:val="en-US" w:eastAsia="zh-CN" w:bidi="ar-SA"/>
              </w:rPr>
            </w:pPr>
            <w:r>
              <w:rPr>
                <w:rFonts w:hint="default" w:ascii="Times New Roman" w:hAnsi="Times New Roman" w:eastAsia="宋体" w:cs="Times New Roman"/>
                <w:color w:val="000000"/>
                <w:sz w:val="21"/>
                <w:szCs w:val="21"/>
                <w:lang w:val="en-US" w:eastAsia="zh-CN"/>
              </w:rPr>
              <w:t>25YS14-</w:t>
            </w:r>
            <w:r>
              <w:rPr>
                <w:rFonts w:hint="default" w:ascii="Times New Roman" w:hAnsi="Times New Roman" w:eastAsia="宋体" w:cs="Times New Roman"/>
                <w:color w:val="000000"/>
                <w:sz w:val="21"/>
                <w:szCs w:val="21"/>
              </w:rPr>
              <w:t>B</w:t>
            </w:r>
            <w:r>
              <w:rPr>
                <w:rFonts w:hint="default"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rPr>
              <w:t>-1-1</w:t>
            </w:r>
          </w:p>
        </w:tc>
        <w:tc>
          <w:tcPr>
            <w:tcW w:w="3323" w:type="pct"/>
            <w:noWrap w:val="0"/>
            <w:vAlign w:val="center"/>
          </w:tcPr>
          <w:p w14:paraId="7E7E3C6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000000"/>
                <w:spacing w:val="0"/>
                <w:kern w:val="2"/>
                <w:sz w:val="21"/>
                <w:szCs w:val="21"/>
                <w:lang w:val="en-US" w:eastAsia="zh-CN" w:bidi="ar-SA"/>
              </w:rPr>
            </w:pPr>
            <w:r>
              <w:rPr>
                <w:rFonts w:hint="default" w:ascii="Times New Roman" w:hAnsi="Times New Roman" w:eastAsia="宋体" w:cs="Times New Roman"/>
                <w:color w:val="000000"/>
                <w:spacing w:val="0"/>
                <w:kern w:val="2"/>
                <w:sz w:val="21"/>
                <w:szCs w:val="21"/>
                <w:lang w:val="en-US" w:eastAsia="zh-CN" w:bidi="ar-SA"/>
              </w:rPr>
              <w:t>3.61×10</w:t>
            </w:r>
            <w:r>
              <w:rPr>
                <w:rFonts w:hint="default" w:ascii="Times New Roman" w:hAnsi="Times New Roman" w:eastAsia="宋体" w:cs="Times New Roman"/>
                <w:color w:val="000000"/>
                <w:spacing w:val="0"/>
                <w:kern w:val="2"/>
                <w:sz w:val="21"/>
                <w:szCs w:val="21"/>
                <w:vertAlign w:val="superscript"/>
                <w:lang w:val="en-US" w:eastAsia="zh-CN" w:bidi="ar-SA"/>
              </w:rPr>
              <w:t>-3</w:t>
            </w:r>
          </w:p>
        </w:tc>
      </w:tr>
      <w:tr w14:paraId="1A8726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08" w:type="pct"/>
            <w:vMerge w:val="continue"/>
            <w:noWrap w:val="0"/>
            <w:vAlign w:val="center"/>
          </w:tcPr>
          <w:p w14:paraId="65AB7AAD">
            <w:pPr>
              <w:keepNext w:val="0"/>
              <w:keepLines w:val="0"/>
              <w:pageBreakBefore w:val="0"/>
              <w:widowControl/>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spacing w:val="0"/>
                <w:kern w:val="0"/>
                <w:sz w:val="21"/>
                <w:szCs w:val="21"/>
              </w:rPr>
            </w:pPr>
          </w:p>
        </w:tc>
        <w:tc>
          <w:tcPr>
            <w:tcW w:w="1068" w:type="pct"/>
            <w:noWrap w:val="0"/>
            <w:vAlign w:val="center"/>
          </w:tcPr>
          <w:p w14:paraId="199791DB">
            <w:pPr>
              <w:keepNext w:val="0"/>
              <w:keepLines w:val="0"/>
              <w:pageBreakBefore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25YS14-</w:t>
            </w:r>
            <w:r>
              <w:rPr>
                <w:rFonts w:hint="default" w:ascii="Times New Roman" w:hAnsi="Times New Roman" w:eastAsia="宋体" w:cs="Times New Roman"/>
                <w:color w:val="000000"/>
                <w:sz w:val="21"/>
                <w:szCs w:val="21"/>
              </w:rPr>
              <w:t>B</w:t>
            </w:r>
            <w:r>
              <w:rPr>
                <w:rFonts w:hint="default"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rPr>
              <w:t>-1-</w:t>
            </w:r>
            <w:r>
              <w:rPr>
                <w:rFonts w:hint="default" w:ascii="Times New Roman" w:hAnsi="Times New Roman" w:eastAsia="宋体" w:cs="Times New Roman"/>
                <w:color w:val="000000"/>
                <w:sz w:val="21"/>
                <w:szCs w:val="21"/>
                <w:lang w:val="en-US" w:eastAsia="zh-CN"/>
              </w:rPr>
              <w:t>2</w:t>
            </w:r>
          </w:p>
        </w:tc>
        <w:tc>
          <w:tcPr>
            <w:tcW w:w="3323" w:type="pct"/>
            <w:noWrap w:val="0"/>
            <w:vAlign w:val="center"/>
          </w:tcPr>
          <w:p w14:paraId="0EB81BC4">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000000"/>
                <w:spacing w:val="0"/>
                <w:kern w:val="2"/>
                <w:sz w:val="21"/>
                <w:szCs w:val="21"/>
                <w:lang w:val="en-US" w:eastAsia="zh-CN" w:bidi="ar-SA"/>
              </w:rPr>
            </w:pPr>
            <w:r>
              <w:rPr>
                <w:rFonts w:hint="default" w:ascii="Times New Roman" w:hAnsi="Times New Roman" w:eastAsia="宋体" w:cs="Times New Roman"/>
                <w:color w:val="000000"/>
                <w:spacing w:val="0"/>
                <w:kern w:val="2"/>
                <w:sz w:val="21"/>
                <w:szCs w:val="21"/>
                <w:lang w:val="en-US" w:eastAsia="zh-CN" w:bidi="ar-SA"/>
              </w:rPr>
              <w:t>3.16×10</w:t>
            </w:r>
            <w:r>
              <w:rPr>
                <w:rFonts w:hint="default" w:ascii="Times New Roman" w:hAnsi="Times New Roman" w:eastAsia="宋体" w:cs="Times New Roman"/>
                <w:color w:val="000000"/>
                <w:spacing w:val="0"/>
                <w:kern w:val="2"/>
                <w:sz w:val="21"/>
                <w:szCs w:val="21"/>
                <w:vertAlign w:val="superscript"/>
                <w:lang w:val="en-US" w:eastAsia="zh-CN" w:bidi="ar-SA"/>
              </w:rPr>
              <w:t>-3</w:t>
            </w:r>
          </w:p>
        </w:tc>
      </w:tr>
      <w:tr w14:paraId="10284C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08" w:type="pct"/>
            <w:vMerge w:val="continue"/>
            <w:noWrap w:val="0"/>
            <w:vAlign w:val="center"/>
          </w:tcPr>
          <w:p w14:paraId="728CE783">
            <w:pPr>
              <w:keepNext w:val="0"/>
              <w:keepLines w:val="0"/>
              <w:pageBreakBefore w:val="0"/>
              <w:widowControl/>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spacing w:val="0"/>
                <w:kern w:val="0"/>
                <w:sz w:val="21"/>
                <w:szCs w:val="21"/>
              </w:rPr>
            </w:pPr>
          </w:p>
        </w:tc>
        <w:tc>
          <w:tcPr>
            <w:tcW w:w="1068" w:type="pct"/>
            <w:noWrap w:val="0"/>
            <w:vAlign w:val="center"/>
          </w:tcPr>
          <w:p w14:paraId="777FBF91">
            <w:pPr>
              <w:keepNext w:val="0"/>
              <w:keepLines w:val="0"/>
              <w:pageBreakBefore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25YS14-B2</w:t>
            </w:r>
            <w:r>
              <w:rPr>
                <w:rFonts w:hint="default" w:ascii="Times New Roman" w:hAnsi="Times New Roman" w:eastAsia="宋体" w:cs="Times New Roman"/>
                <w:color w:val="000000"/>
                <w:sz w:val="21"/>
                <w:szCs w:val="21"/>
              </w:rPr>
              <w:t>-1-</w:t>
            </w:r>
            <w:r>
              <w:rPr>
                <w:rFonts w:hint="default" w:ascii="Times New Roman" w:hAnsi="Times New Roman" w:eastAsia="宋体" w:cs="Times New Roman"/>
                <w:color w:val="000000"/>
                <w:sz w:val="21"/>
                <w:szCs w:val="21"/>
                <w:lang w:val="en-US" w:eastAsia="zh-CN"/>
              </w:rPr>
              <w:t>3</w:t>
            </w:r>
          </w:p>
        </w:tc>
        <w:tc>
          <w:tcPr>
            <w:tcW w:w="3323" w:type="pct"/>
            <w:noWrap w:val="0"/>
            <w:vAlign w:val="center"/>
          </w:tcPr>
          <w:p w14:paraId="5BA766A1">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000000"/>
                <w:spacing w:val="0"/>
                <w:kern w:val="2"/>
                <w:sz w:val="21"/>
                <w:szCs w:val="21"/>
                <w:lang w:val="en-US" w:eastAsia="zh-CN" w:bidi="ar-SA"/>
              </w:rPr>
            </w:pPr>
            <w:r>
              <w:rPr>
                <w:rFonts w:hint="default" w:ascii="Times New Roman" w:hAnsi="Times New Roman" w:eastAsia="宋体" w:cs="Times New Roman"/>
                <w:color w:val="000000"/>
                <w:spacing w:val="0"/>
                <w:kern w:val="2"/>
                <w:sz w:val="21"/>
                <w:szCs w:val="21"/>
                <w:lang w:val="en-US" w:eastAsia="zh-CN" w:bidi="ar-SA"/>
              </w:rPr>
              <w:t>3.69×10</w:t>
            </w:r>
            <w:r>
              <w:rPr>
                <w:rFonts w:hint="default" w:ascii="Times New Roman" w:hAnsi="Times New Roman" w:eastAsia="宋体" w:cs="Times New Roman"/>
                <w:color w:val="000000"/>
                <w:spacing w:val="0"/>
                <w:kern w:val="2"/>
                <w:sz w:val="21"/>
                <w:szCs w:val="21"/>
                <w:vertAlign w:val="superscript"/>
                <w:lang w:val="en-US" w:eastAsia="zh-CN" w:bidi="ar-SA"/>
              </w:rPr>
              <w:t>-3</w:t>
            </w:r>
          </w:p>
        </w:tc>
      </w:tr>
      <w:tr w14:paraId="441D1A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08" w:type="pct"/>
            <w:vMerge w:val="restart"/>
            <w:noWrap w:val="0"/>
            <w:vAlign w:val="center"/>
          </w:tcPr>
          <w:p w14:paraId="1925334A">
            <w:pPr>
              <w:keepNext w:val="0"/>
              <w:keepLines w:val="0"/>
              <w:pageBreakBefore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eastAsia="zh-CN"/>
              </w:rPr>
              <w:t>2025</w:t>
            </w:r>
            <w:r>
              <w:rPr>
                <w:rFonts w:hint="default" w:ascii="Times New Roman" w:hAnsi="Times New Roman" w:eastAsia="宋体" w:cs="Times New Roman"/>
                <w:color w:val="000000"/>
                <w:kern w:val="0"/>
                <w:sz w:val="21"/>
                <w:szCs w:val="21"/>
              </w:rPr>
              <w:t>年</w:t>
            </w:r>
          </w:p>
          <w:p w14:paraId="0EC299CD">
            <w:pPr>
              <w:keepNext w:val="0"/>
              <w:keepLines w:val="0"/>
              <w:pageBreakBefore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spacing w:val="0"/>
                <w:kern w:val="0"/>
                <w:sz w:val="21"/>
                <w:szCs w:val="21"/>
              </w:rPr>
            </w:pPr>
            <w:r>
              <w:rPr>
                <w:rFonts w:hint="default" w:ascii="Times New Roman" w:hAnsi="Times New Roman" w:eastAsia="宋体" w:cs="Times New Roman"/>
                <w:color w:val="000000"/>
                <w:kern w:val="0"/>
                <w:sz w:val="21"/>
                <w:szCs w:val="21"/>
                <w:lang w:val="en-US" w:eastAsia="zh-CN"/>
              </w:rPr>
              <w:t>4月28日</w:t>
            </w:r>
          </w:p>
        </w:tc>
        <w:tc>
          <w:tcPr>
            <w:tcW w:w="1068" w:type="pct"/>
            <w:noWrap w:val="0"/>
            <w:vAlign w:val="center"/>
          </w:tcPr>
          <w:p w14:paraId="38C2A21C">
            <w:pPr>
              <w:keepNext w:val="0"/>
              <w:keepLines w:val="0"/>
              <w:pageBreakBefore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spacing w:val="0"/>
                <w:kern w:val="2"/>
                <w:sz w:val="21"/>
                <w:szCs w:val="21"/>
                <w:lang w:val="en-US" w:eastAsia="zh-CN" w:bidi="ar-SA"/>
              </w:rPr>
            </w:pPr>
            <w:r>
              <w:rPr>
                <w:rFonts w:hint="default" w:ascii="Times New Roman" w:hAnsi="Times New Roman" w:eastAsia="宋体" w:cs="Times New Roman"/>
                <w:color w:val="000000"/>
                <w:sz w:val="21"/>
                <w:szCs w:val="21"/>
                <w:lang w:val="en-US" w:eastAsia="zh-CN"/>
              </w:rPr>
              <w:t>25YS14-</w:t>
            </w:r>
            <w:r>
              <w:rPr>
                <w:rFonts w:hint="default" w:ascii="Times New Roman" w:hAnsi="Times New Roman" w:eastAsia="宋体" w:cs="Times New Roman"/>
                <w:color w:val="000000"/>
                <w:sz w:val="21"/>
                <w:szCs w:val="21"/>
              </w:rPr>
              <w:t>B</w:t>
            </w:r>
            <w:r>
              <w:rPr>
                <w:rFonts w:hint="default"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rPr>
              <w:t>-1</w:t>
            </w:r>
          </w:p>
        </w:tc>
        <w:tc>
          <w:tcPr>
            <w:tcW w:w="3323" w:type="pct"/>
            <w:noWrap w:val="0"/>
            <w:vAlign w:val="center"/>
          </w:tcPr>
          <w:p w14:paraId="6A42BEB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000000"/>
                <w:spacing w:val="0"/>
                <w:kern w:val="2"/>
                <w:sz w:val="21"/>
                <w:szCs w:val="21"/>
                <w:lang w:val="en-US" w:eastAsia="zh-CN" w:bidi="ar-SA"/>
              </w:rPr>
            </w:pPr>
            <w:r>
              <w:rPr>
                <w:rFonts w:hint="default" w:ascii="Times New Roman" w:hAnsi="Times New Roman" w:eastAsia="宋体" w:cs="Times New Roman"/>
                <w:color w:val="000000"/>
                <w:spacing w:val="0"/>
                <w:kern w:val="2"/>
                <w:sz w:val="21"/>
                <w:szCs w:val="21"/>
                <w:lang w:val="en-US" w:eastAsia="zh-CN" w:bidi="ar-SA"/>
              </w:rPr>
              <w:t>2.67×10</w:t>
            </w:r>
            <w:r>
              <w:rPr>
                <w:rFonts w:hint="default" w:ascii="Times New Roman" w:hAnsi="Times New Roman" w:eastAsia="宋体" w:cs="Times New Roman"/>
                <w:color w:val="000000"/>
                <w:spacing w:val="0"/>
                <w:kern w:val="2"/>
                <w:sz w:val="21"/>
                <w:szCs w:val="21"/>
                <w:vertAlign w:val="superscript"/>
                <w:lang w:val="en-US" w:eastAsia="zh-CN" w:bidi="ar-SA"/>
              </w:rPr>
              <w:t>-3</w:t>
            </w:r>
          </w:p>
        </w:tc>
      </w:tr>
      <w:tr w14:paraId="4D9619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08" w:type="pct"/>
            <w:vMerge w:val="continue"/>
            <w:noWrap w:val="0"/>
            <w:vAlign w:val="center"/>
          </w:tcPr>
          <w:p w14:paraId="143A7BAE">
            <w:pPr>
              <w:keepNext w:val="0"/>
              <w:keepLines w:val="0"/>
              <w:pageBreakBefore w:val="0"/>
              <w:widowControl/>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spacing w:val="0"/>
                <w:kern w:val="0"/>
                <w:sz w:val="21"/>
                <w:szCs w:val="21"/>
              </w:rPr>
            </w:pPr>
          </w:p>
        </w:tc>
        <w:tc>
          <w:tcPr>
            <w:tcW w:w="1068" w:type="pct"/>
            <w:noWrap w:val="0"/>
            <w:vAlign w:val="center"/>
          </w:tcPr>
          <w:p w14:paraId="5C31438D">
            <w:pPr>
              <w:keepNext w:val="0"/>
              <w:keepLines w:val="0"/>
              <w:pageBreakBefore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25YS14-</w:t>
            </w:r>
            <w:r>
              <w:rPr>
                <w:rFonts w:hint="default" w:ascii="Times New Roman" w:hAnsi="Times New Roman" w:eastAsia="宋体" w:cs="Times New Roman"/>
                <w:color w:val="000000"/>
                <w:sz w:val="21"/>
                <w:szCs w:val="21"/>
              </w:rPr>
              <w:t>B</w:t>
            </w:r>
            <w:r>
              <w:rPr>
                <w:rFonts w:hint="default"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val="en-US" w:eastAsia="zh-CN"/>
              </w:rPr>
              <w:t>2</w:t>
            </w:r>
          </w:p>
        </w:tc>
        <w:tc>
          <w:tcPr>
            <w:tcW w:w="3323" w:type="pct"/>
            <w:noWrap w:val="0"/>
            <w:vAlign w:val="center"/>
          </w:tcPr>
          <w:p w14:paraId="2095B2F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000000"/>
                <w:spacing w:val="0"/>
                <w:kern w:val="2"/>
                <w:sz w:val="21"/>
                <w:szCs w:val="21"/>
                <w:lang w:val="en-US" w:eastAsia="zh-CN" w:bidi="ar-SA"/>
              </w:rPr>
            </w:pPr>
            <w:r>
              <w:rPr>
                <w:rFonts w:hint="default" w:ascii="Times New Roman" w:hAnsi="Times New Roman" w:eastAsia="宋体" w:cs="Times New Roman"/>
                <w:color w:val="000000"/>
                <w:spacing w:val="0"/>
                <w:kern w:val="2"/>
                <w:sz w:val="21"/>
                <w:szCs w:val="21"/>
                <w:lang w:val="en-US" w:eastAsia="zh-CN" w:bidi="ar-SA"/>
              </w:rPr>
              <w:t>2.81×10</w:t>
            </w:r>
            <w:r>
              <w:rPr>
                <w:rFonts w:hint="default" w:ascii="Times New Roman" w:hAnsi="Times New Roman" w:eastAsia="宋体" w:cs="Times New Roman"/>
                <w:color w:val="000000"/>
                <w:spacing w:val="0"/>
                <w:kern w:val="2"/>
                <w:sz w:val="21"/>
                <w:szCs w:val="21"/>
                <w:vertAlign w:val="superscript"/>
                <w:lang w:val="en-US" w:eastAsia="zh-CN" w:bidi="ar-SA"/>
              </w:rPr>
              <w:t>-3</w:t>
            </w:r>
          </w:p>
        </w:tc>
      </w:tr>
      <w:tr w14:paraId="3C7E26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08" w:type="pct"/>
            <w:vMerge w:val="continue"/>
            <w:noWrap w:val="0"/>
            <w:vAlign w:val="center"/>
          </w:tcPr>
          <w:p w14:paraId="7F931245">
            <w:pPr>
              <w:keepNext w:val="0"/>
              <w:keepLines w:val="0"/>
              <w:pageBreakBefore w:val="0"/>
              <w:widowControl/>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spacing w:val="0"/>
                <w:kern w:val="0"/>
                <w:sz w:val="21"/>
                <w:szCs w:val="21"/>
              </w:rPr>
            </w:pPr>
          </w:p>
        </w:tc>
        <w:tc>
          <w:tcPr>
            <w:tcW w:w="1068" w:type="pct"/>
            <w:noWrap w:val="0"/>
            <w:vAlign w:val="center"/>
          </w:tcPr>
          <w:p w14:paraId="4FB37432">
            <w:pPr>
              <w:keepNext w:val="0"/>
              <w:keepLines w:val="0"/>
              <w:pageBreakBefore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25YS14-</w:t>
            </w:r>
            <w:r>
              <w:rPr>
                <w:rFonts w:hint="default" w:ascii="Times New Roman" w:hAnsi="Times New Roman" w:eastAsia="宋体" w:cs="Times New Roman"/>
                <w:color w:val="000000"/>
                <w:sz w:val="21"/>
                <w:szCs w:val="21"/>
              </w:rPr>
              <w:t>B</w:t>
            </w:r>
            <w:r>
              <w:rPr>
                <w:rFonts w:hint="default"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val="en-US" w:eastAsia="zh-CN"/>
              </w:rPr>
              <w:t>3</w:t>
            </w:r>
          </w:p>
        </w:tc>
        <w:tc>
          <w:tcPr>
            <w:tcW w:w="3323" w:type="pct"/>
            <w:noWrap w:val="0"/>
            <w:vAlign w:val="center"/>
          </w:tcPr>
          <w:p w14:paraId="66569DD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000000"/>
                <w:spacing w:val="0"/>
                <w:kern w:val="2"/>
                <w:sz w:val="21"/>
                <w:szCs w:val="21"/>
                <w:lang w:val="en-US" w:eastAsia="zh-CN" w:bidi="ar-SA"/>
              </w:rPr>
            </w:pPr>
            <w:r>
              <w:rPr>
                <w:rFonts w:hint="default" w:ascii="Times New Roman" w:hAnsi="Times New Roman" w:eastAsia="宋体" w:cs="Times New Roman"/>
                <w:color w:val="000000"/>
                <w:spacing w:val="0"/>
                <w:kern w:val="2"/>
                <w:sz w:val="21"/>
                <w:szCs w:val="21"/>
                <w:lang w:val="en-US" w:eastAsia="zh-CN" w:bidi="ar-SA"/>
              </w:rPr>
              <w:t>2.55×10</w:t>
            </w:r>
            <w:r>
              <w:rPr>
                <w:rFonts w:hint="default" w:ascii="Times New Roman" w:hAnsi="Times New Roman" w:eastAsia="宋体" w:cs="Times New Roman"/>
                <w:color w:val="000000"/>
                <w:spacing w:val="0"/>
                <w:kern w:val="2"/>
                <w:sz w:val="21"/>
                <w:szCs w:val="21"/>
                <w:vertAlign w:val="superscript"/>
                <w:lang w:val="en-US" w:eastAsia="zh-CN" w:bidi="ar-SA"/>
              </w:rPr>
              <w:t>-3</w:t>
            </w:r>
          </w:p>
        </w:tc>
      </w:tr>
      <w:tr w14:paraId="79293C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08" w:type="pct"/>
            <w:vMerge w:val="continue"/>
            <w:noWrap w:val="0"/>
            <w:vAlign w:val="center"/>
          </w:tcPr>
          <w:p w14:paraId="067C4710">
            <w:pPr>
              <w:keepNext w:val="0"/>
              <w:keepLines w:val="0"/>
              <w:pageBreakBefore w:val="0"/>
              <w:widowControl/>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spacing w:val="0"/>
                <w:kern w:val="0"/>
                <w:sz w:val="21"/>
                <w:szCs w:val="21"/>
              </w:rPr>
            </w:pPr>
          </w:p>
        </w:tc>
        <w:tc>
          <w:tcPr>
            <w:tcW w:w="1068" w:type="pct"/>
            <w:noWrap w:val="0"/>
            <w:vAlign w:val="center"/>
          </w:tcPr>
          <w:p w14:paraId="19869225">
            <w:pPr>
              <w:keepNext w:val="0"/>
              <w:keepLines w:val="0"/>
              <w:pageBreakBefore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spacing w:val="0"/>
                <w:kern w:val="2"/>
                <w:sz w:val="21"/>
                <w:szCs w:val="21"/>
                <w:lang w:val="en-US" w:eastAsia="zh-CN" w:bidi="ar-SA"/>
              </w:rPr>
            </w:pPr>
            <w:r>
              <w:rPr>
                <w:rFonts w:hint="default" w:ascii="Times New Roman" w:hAnsi="Times New Roman" w:eastAsia="宋体" w:cs="Times New Roman"/>
                <w:color w:val="000000"/>
                <w:sz w:val="21"/>
                <w:szCs w:val="21"/>
                <w:lang w:val="en-US" w:eastAsia="zh-CN"/>
              </w:rPr>
              <w:t>25YS14-</w:t>
            </w:r>
            <w:r>
              <w:rPr>
                <w:rFonts w:hint="default" w:ascii="Times New Roman" w:hAnsi="Times New Roman" w:eastAsia="宋体" w:cs="Times New Roman"/>
                <w:color w:val="000000"/>
                <w:sz w:val="21"/>
                <w:szCs w:val="21"/>
              </w:rPr>
              <w:t>B</w:t>
            </w:r>
            <w:r>
              <w:rPr>
                <w:rFonts w:hint="default"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rPr>
              <w:t>-1</w:t>
            </w:r>
          </w:p>
        </w:tc>
        <w:tc>
          <w:tcPr>
            <w:tcW w:w="3323" w:type="pct"/>
            <w:noWrap w:val="0"/>
            <w:vAlign w:val="center"/>
          </w:tcPr>
          <w:p w14:paraId="442BA0B9">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000000"/>
                <w:spacing w:val="0"/>
                <w:kern w:val="2"/>
                <w:sz w:val="21"/>
                <w:szCs w:val="21"/>
                <w:lang w:val="en-US" w:eastAsia="zh-CN" w:bidi="ar-SA"/>
              </w:rPr>
            </w:pPr>
            <w:r>
              <w:rPr>
                <w:rFonts w:hint="default" w:ascii="Times New Roman" w:hAnsi="Times New Roman" w:eastAsia="宋体" w:cs="Times New Roman"/>
                <w:color w:val="000000"/>
                <w:spacing w:val="0"/>
                <w:kern w:val="2"/>
                <w:sz w:val="21"/>
                <w:szCs w:val="21"/>
                <w:lang w:val="en-US" w:eastAsia="zh-CN" w:bidi="ar-SA"/>
              </w:rPr>
              <w:t>3.77×10</w:t>
            </w:r>
            <w:r>
              <w:rPr>
                <w:rFonts w:hint="default" w:ascii="Times New Roman" w:hAnsi="Times New Roman" w:eastAsia="宋体" w:cs="Times New Roman"/>
                <w:color w:val="000000"/>
                <w:spacing w:val="0"/>
                <w:kern w:val="2"/>
                <w:sz w:val="21"/>
                <w:szCs w:val="21"/>
                <w:vertAlign w:val="superscript"/>
                <w:lang w:val="en-US" w:eastAsia="zh-CN" w:bidi="ar-SA"/>
              </w:rPr>
              <w:t>-3</w:t>
            </w:r>
          </w:p>
        </w:tc>
      </w:tr>
      <w:tr w14:paraId="730C83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08" w:type="pct"/>
            <w:vMerge w:val="continue"/>
            <w:noWrap w:val="0"/>
            <w:vAlign w:val="center"/>
          </w:tcPr>
          <w:p w14:paraId="6F05C367">
            <w:pPr>
              <w:keepNext w:val="0"/>
              <w:keepLines w:val="0"/>
              <w:pageBreakBefore w:val="0"/>
              <w:widowControl/>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spacing w:val="0"/>
                <w:kern w:val="0"/>
                <w:sz w:val="21"/>
                <w:szCs w:val="21"/>
              </w:rPr>
            </w:pPr>
          </w:p>
        </w:tc>
        <w:tc>
          <w:tcPr>
            <w:tcW w:w="1068" w:type="pct"/>
            <w:noWrap w:val="0"/>
            <w:vAlign w:val="center"/>
          </w:tcPr>
          <w:p w14:paraId="31EDAFF0">
            <w:pPr>
              <w:keepNext w:val="0"/>
              <w:keepLines w:val="0"/>
              <w:pageBreakBefore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25YS14-</w:t>
            </w:r>
            <w:r>
              <w:rPr>
                <w:rFonts w:hint="default" w:ascii="Times New Roman" w:hAnsi="Times New Roman" w:eastAsia="宋体" w:cs="Times New Roman"/>
                <w:color w:val="000000"/>
                <w:sz w:val="21"/>
                <w:szCs w:val="21"/>
              </w:rPr>
              <w:t>B</w:t>
            </w:r>
            <w:r>
              <w:rPr>
                <w:rFonts w:hint="default"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val="en-US" w:eastAsia="zh-CN"/>
              </w:rPr>
              <w:t>2</w:t>
            </w:r>
          </w:p>
        </w:tc>
        <w:tc>
          <w:tcPr>
            <w:tcW w:w="3323" w:type="pct"/>
            <w:noWrap w:val="0"/>
            <w:vAlign w:val="center"/>
          </w:tcPr>
          <w:p w14:paraId="2951436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000000"/>
                <w:spacing w:val="0"/>
                <w:kern w:val="2"/>
                <w:sz w:val="21"/>
                <w:szCs w:val="21"/>
                <w:lang w:val="en-US" w:eastAsia="zh-CN" w:bidi="ar-SA"/>
              </w:rPr>
            </w:pPr>
            <w:r>
              <w:rPr>
                <w:rFonts w:hint="default" w:ascii="Times New Roman" w:hAnsi="Times New Roman" w:eastAsia="宋体" w:cs="Times New Roman"/>
                <w:color w:val="000000"/>
                <w:spacing w:val="0"/>
                <w:kern w:val="2"/>
                <w:sz w:val="21"/>
                <w:szCs w:val="21"/>
                <w:lang w:val="en-US" w:eastAsia="zh-CN" w:bidi="ar-SA"/>
              </w:rPr>
              <w:t>3.39×10</w:t>
            </w:r>
            <w:r>
              <w:rPr>
                <w:rFonts w:hint="default" w:ascii="Times New Roman" w:hAnsi="Times New Roman" w:eastAsia="宋体" w:cs="Times New Roman"/>
                <w:color w:val="000000"/>
                <w:spacing w:val="0"/>
                <w:kern w:val="2"/>
                <w:sz w:val="21"/>
                <w:szCs w:val="21"/>
                <w:vertAlign w:val="superscript"/>
                <w:lang w:val="en-US" w:eastAsia="zh-CN" w:bidi="ar-SA"/>
              </w:rPr>
              <w:t>-3</w:t>
            </w:r>
          </w:p>
        </w:tc>
      </w:tr>
      <w:tr w14:paraId="6AFB61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08" w:type="pct"/>
            <w:vMerge w:val="continue"/>
            <w:noWrap w:val="0"/>
            <w:vAlign w:val="center"/>
          </w:tcPr>
          <w:p w14:paraId="166D6AB4">
            <w:pPr>
              <w:keepNext w:val="0"/>
              <w:keepLines w:val="0"/>
              <w:pageBreakBefore w:val="0"/>
              <w:widowControl/>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spacing w:val="0"/>
                <w:kern w:val="0"/>
                <w:sz w:val="21"/>
                <w:szCs w:val="21"/>
              </w:rPr>
            </w:pPr>
          </w:p>
        </w:tc>
        <w:tc>
          <w:tcPr>
            <w:tcW w:w="1068" w:type="pct"/>
            <w:noWrap w:val="0"/>
            <w:vAlign w:val="center"/>
          </w:tcPr>
          <w:p w14:paraId="6119435C">
            <w:pPr>
              <w:keepNext w:val="0"/>
              <w:keepLines w:val="0"/>
              <w:pageBreakBefore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25YS14-B2</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val="en-US" w:eastAsia="zh-CN"/>
              </w:rPr>
              <w:t>3</w:t>
            </w:r>
          </w:p>
        </w:tc>
        <w:tc>
          <w:tcPr>
            <w:tcW w:w="3323" w:type="pct"/>
            <w:noWrap w:val="0"/>
            <w:vAlign w:val="center"/>
          </w:tcPr>
          <w:p w14:paraId="375F47E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000000"/>
                <w:spacing w:val="0"/>
                <w:kern w:val="2"/>
                <w:sz w:val="21"/>
                <w:szCs w:val="21"/>
                <w:lang w:val="en-US" w:eastAsia="zh-CN" w:bidi="ar-SA"/>
              </w:rPr>
            </w:pPr>
            <w:r>
              <w:rPr>
                <w:rFonts w:hint="default" w:ascii="Times New Roman" w:hAnsi="Times New Roman" w:eastAsia="宋体" w:cs="Times New Roman"/>
                <w:color w:val="000000"/>
                <w:spacing w:val="0"/>
                <w:kern w:val="2"/>
                <w:sz w:val="21"/>
                <w:szCs w:val="21"/>
                <w:lang w:val="en-US" w:eastAsia="zh-CN" w:bidi="ar-SA"/>
              </w:rPr>
              <w:t>3.49×10</w:t>
            </w:r>
            <w:r>
              <w:rPr>
                <w:rFonts w:hint="default" w:ascii="Times New Roman" w:hAnsi="Times New Roman" w:eastAsia="宋体" w:cs="Times New Roman"/>
                <w:color w:val="000000"/>
                <w:spacing w:val="0"/>
                <w:kern w:val="2"/>
                <w:sz w:val="21"/>
                <w:szCs w:val="21"/>
                <w:vertAlign w:val="superscript"/>
                <w:lang w:val="en-US" w:eastAsia="zh-CN" w:bidi="ar-SA"/>
              </w:rPr>
              <w:t>-3</w:t>
            </w:r>
          </w:p>
        </w:tc>
      </w:tr>
      <w:tr w14:paraId="31C90E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76" w:type="pct"/>
            <w:gridSpan w:val="2"/>
            <w:noWrap w:val="0"/>
            <w:vAlign w:val="center"/>
          </w:tcPr>
          <w:p w14:paraId="1BBF55AD">
            <w:pPr>
              <w:adjustRightInd w:val="0"/>
              <w:snapToGrid w:val="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b w:val="0"/>
                <w:bCs w:val="0"/>
                <w:i w:val="0"/>
                <w:iCs w:val="0"/>
                <w:color w:val="000000"/>
                <w:sz w:val="21"/>
                <w:szCs w:val="21"/>
                <w:lang w:eastAsia="zh-CN"/>
              </w:rPr>
              <w:t>参考评价限值</w:t>
            </w:r>
          </w:p>
        </w:tc>
        <w:tc>
          <w:tcPr>
            <w:tcW w:w="3323" w:type="pct"/>
            <w:noWrap w:val="0"/>
            <w:vAlign w:val="center"/>
          </w:tcPr>
          <w:p w14:paraId="78C4ECB4">
            <w:pPr>
              <w:adjustRightInd w:val="0"/>
              <w:snapToGrid w:val="0"/>
              <w:jc w:val="center"/>
              <w:rPr>
                <w:rFonts w:hint="default" w:ascii="Times New Roman" w:hAnsi="Times New Roman" w:eastAsia="宋体" w:cs="Times New Roman"/>
                <w:color w:val="000000"/>
                <w:spacing w:val="0"/>
                <w:sz w:val="21"/>
                <w:szCs w:val="21"/>
                <w:lang w:val="en-US" w:eastAsia="zh-CN"/>
              </w:rPr>
            </w:pPr>
            <w:r>
              <w:rPr>
                <w:rFonts w:hint="default" w:ascii="Times New Roman" w:hAnsi="Times New Roman" w:eastAsia="宋体" w:cs="Times New Roman"/>
                <w:color w:val="000000"/>
                <w:spacing w:val="0"/>
                <w:sz w:val="21"/>
                <w:szCs w:val="21"/>
                <w:lang w:val="en-US" w:eastAsia="zh-CN"/>
              </w:rPr>
              <w:t>0.02</w:t>
            </w:r>
          </w:p>
        </w:tc>
      </w:tr>
      <w:tr w14:paraId="2498B6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76" w:type="pct"/>
            <w:gridSpan w:val="2"/>
            <w:noWrap w:val="0"/>
            <w:vAlign w:val="center"/>
          </w:tcPr>
          <w:p w14:paraId="3BCD2BCE">
            <w:pPr>
              <w:adjustRightInd w:val="0"/>
              <w:snapToGrid w:val="0"/>
              <w:jc w:val="center"/>
              <w:rPr>
                <w:rFonts w:hint="default" w:ascii="Times New Roman" w:hAnsi="Times New Roman" w:eastAsia="宋体" w:cs="Times New Roman"/>
                <w:color w:val="000000"/>
                <w:spacing w:val="0"/>
                <w:sz w:val="21"/>
                <w:szCs w:val="21"/>
                <w:lang w:eastAsia="zh-CN"/>
              </w:rPr>
            </w:pPr>
            <w:r>
              <w:rPr>
                <w:rFonts w:hint="default" w:ascii="Times New Roman" w:hAnsi="Times New Roman" w:eastAsia="宋体" w:cs="Times New Roman"/>
                <w:color w:val="000000"/>
                <w:spacing w:val="0"/>
                <w:sz w:val="21"/>
                <w:szCs w:val="21"/>
                <w:lang w:eastAsia="zh-CN"/>
              </w:rPr>
              <w:t>参考评价依据</w:t>
            </w:r>
          </w:p>
        </w:tc>
        <w:tc>
          <w:tcPr>
            <w:tcW w:w="3323" w:type="pct"/>
            <w:noWrap w:val="0"/>
            <w:vAlign w:val="center"/>
          </w:tcPr>
          <w:p w14:paraId="34208852">
            <w:pPr>
              <w:adjustRightInd w:val="0"/>
              <w:snapToGrid w:val="0"/>
              <w:jc w:val="left"/>
              <w:rPr>
                <w:rFonts w:hint="default" w:ascii="Times New Roman" w:hAnsi="Times New Roman" w:eastAsia="宋体" w:cs="Times New Roman"/>
                <w:color w:val="000000"/>
                <w:spacing w:val="0"/>
                <w:sz w:val="21"/>
                <w:szCs w:val="21"/>
                <w:lang w:val="en-US" w:eastAsia="zh-CN"/>
              </w:rPr>
            </w:pPr>
            <w:r>
              <w:rPr>
                <w:rFonts w:hint="default" w:ascii="Times New Roman" w:hAnsi="Times New Roman" w:eastAsia="宋体" w:cs="Times New Roman"/>
                <w:color w:val="000000"/>
                <w:kern w:val="0"/>
                <w:sz w:val="21"/>
                <w:szCs w:val="21"/>
                <w:lang w:eastAsia="zh-CN" w:bidi="ar"/>
              </w:rPr>
              <w:t>《大气污染物综合排放标准》（DB</w:t>
            </w:r>
            <w:r>
              <w:rPr>
                <w:rFonts w:hint="default" w:ascii="Times New Roman" w:hAnsi="Times New Roman" w:eastAsia="宋体" w:cs="Times New Roman"/>
                <w:color w:val="000000"/>
                <w:kern w:val="0"/>
                <w:sz w:val="21"/>
                <w:szCs w:val="21"/>
                <w:lang w:val="en-US" w:eastAsia="zh-CN" w:bidi="ar"/>
              </w:rPr>
              <w:t xml:space="preserve"> </w:t>
            </w:r>
            <w:r>
              <w:rPr>
                <w:rFonts w:hint="default" w:ascii="Times New Roman" w:hAnsi="Times New Roman" w:eastAsia="宋体" w:cs="Times New Roman"/>
                <w:color w:val="000000"/>
                <w:kern w:val="0"/>
                <w:sz w:val="21"/>
                <w:szCs w:val="21"/>
                <w:lang w:eastAsia="zh-CN" w:bidi="ar"/>
              </w:rPr>
              <w:t>50</w:t>
            </w:r>
            <w:r>
              <w:rPr>
                <w:rFonts w:hint="default"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eastAsia="zh-CN" w:bidi="ar"/>
              </w:rPr>
              <w:t>418-2016）中表</w:t>
            </w:r>
            <w:r>
              <w:rPr>
                <w:rFonts w:hint="default" w:ascii="Times New Roman" w:hAnsi="Times New Roman" w:eastAsia="宋体" w:cs="Times New Roman"/>
                <w:color w:val="000000"/>
                <w:kern w:val="0"/>
                <w:sz w:val="21"/>
                <w:szCs w:val="21"/>
                <w:lang w:val="en-US" w:eastAsia="zh-CN" w:bidi="ar"/>
              </w:rPr>
              <w:t>1大气污染物排放限值无组织排放监控点浓度限值。</w:t>
            </w:r>
          </w:p>
        </w:tc>
      </w:tr>
      <w:tr w14:paraId="51759C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76" w:type="pct"/>
            <w:gridSpan w:val="2"/>
            <w:noWrap w:val="0"/>
            <w:vAlign w:val="center"/>
          </w:tcPr>
          <w:p w14:paraId="0DC88A5F">
            <w:pPr>
              <w:adjustRightInd w:val="0"/>
              <w:snapToGrid w:val="0"/>
              <w:jc w:val="center"/>
              <w:rPr>
                <w:rFonts w:hint="default" w:ascii="Times New Roman" w:hAnsi="Times New Roman" w:eastAsia="宋体" w:cs="Times New Roman"/>
                <w:color w:val="000000"/>
                <w:spacing w:val="0"/>
                <w:sz w:val="21"/>
                <w:szCs w:val="21"/>
              </w:rPr>
            </w:pPr>
            <w:r>
              <w:rPr>
                <w:rFonts w:hint="default" w:ascii="Times New Roman" w:hAnsi="Times New Roman" w:eastAsia="宋体" w:cs="Times New Roman"/>
                <w:b w:val="0"/>
                <w:bCs/>
                <w:color w:val="000000"/>
                <w:spacing w:val="0"/>
                <w:sz w:val="21"/>
                <w:szCs w:val="21"/>
              </w:rPr>
              <w:t>备注</w:t>
            </w:r>
          </w:p>
        </w:tc>
        <w:tc>
          <w:tcPr>
            <w:tcW w:w="3323" w:type="pct"/>
            <w:noWrap w:val="0"/>
            <w:vAlign w:val="center"/>
          </w:tcPr>
          <w:p w14:paraId="635C8E8B">
            <w:pPr>
              <w:numPr>
                <w:ilvl w:val="0"/>
                <w:numId w:val="0"/>
              </w:numPr>
              <w:adjustRightInd w:val="0"/>
              <w:snapToGrid w:val="0"/>
              <w:jc w:val="left"/>
              <w:rPr>
                <w:rFonts w:hint="default" w:ascii="Times New Roman" w:hAnsi="Times New Roman" w:eastAsia="宋体" w:cs="Times New Roman"/>
                <w:color w:val="000000"/>
                <w:spacing w:val="0"/>
                <w:sz w:val="21"/>
                <w:szCs w:val="21"/>
                <w:lang w:val="en-US" w:eastAsia="zh-CN"/>
              </w:rPr>
            </w:pPr>
            <w:r>
              <w:rPr>
                <w:rFonts w:hint="eastAsia" w:ascii="Times New Roman" w:hAnsi="Times New Roman" w:eastAsia="宋体" w:cs="Times New Roman"/>
                <w:color w:val="000000"/>
                <w:spacing w:val="0"/>
                <w:sz w:val="21"/>
                <w:szCs w:val="21"/>
                <w:lang w:val="en-US" w:eastAsia="zh-CN"/>
              </w:rPr>
              <w:t>/</w:t>
            </w:r>
          </w:p>
        </w:tc>
      </w:tr>
    </w:tbl>
    <w:p w14:paraId="14FB9114">
      <w:pPr>
        <w:spacing w:line="490" w:lineRule="exact"/>
        <w:ind w:firstLine="420"/>
        <w:rPr>
          <w:color w:val="auto"/>
          <w:sz w:val="24"/>
          <w:szCs w:val="24"/>
        </w:rPr>
      </w:pPr>
      <w:r>
        <w:rPr>
          <w:color w:val="auto"/>
          <w:sz w:val="24"/>
          <w:szCs w:val="24"/>
        </w:rPr>
        <w:t>有组织废气监测结论：</w:t>
      </w:r>
      <w:bookmarkStart w:id="220" w:name="_Hlk174521466"/>
      <w:r>
        <w:rPr>
          <w:color w:val="auto"/>
          <w:sz w:val="24"/>
          <w:szCs w:val="24"/>
        </w:rPr>
        <w:t>验收监测期间，</w:t>
      </w:r>
      <w:r>
        <w:rPr>
          <w:rFonts w:hint="eastAsia"/>
          <w:color w:val="auto"/>
          <w:sz w:val="24"/>
          <w:szCs w:val="24"/>
          <w:lang w:val="en-US" w:eastAsia="zh-CN"/>
        </w:rPr>
        <w:t>有机</w:t>
      </w:r>
      <w:r>
        <w:rPr>
          <w:rFonts w:hint="eastAsia"/>
          <w:color w:val="auto"/>
          <w:sz w:val="24"/>
          <w:szCs w:val="24"/>
        </w:rPr>
        <w:t>废气排放口DA00</w:t>
      </w:r>
      <w:r>
        <w:rPr>
          <w:rFonts w:hint="eastAsia"/>
          <w:color w:val="auto"/>
          <w:sz w:val="24"/>
          <w:szCs w:val="24"/>
          <w:lang w:val="en-US" w:eastAsia="zh-CN"/>
        </w:rPr>
        <w:t>8</w:t>
      </w:r>
      <w:r>
        <w:rPr>
          <w:rFonts w:hint="eastAsia"/>
          <w:color w:val="auto"/>
          <w:sz w:val="24"/>
          <w:szCs w:val="24"/>
        </w:rPr>
        <w:t>废气中</w:t>
      </w:r>
      <w:r>
        <w:rPr>
          <w:rFonts w:hint="eastAsia"/>
          <w:color w:val="auto"/>
          <w:sz w:val="24"/>
          <w:szCs w:val="24"/>
          <w:lang w:val="en-US" w:eastAsia="zh-CN"/>
        </w:rPr>
        <w:t>非甲烷总烃</w:t>
      </w:r>
      <w:r>
        <w:rPr>
          <w:rFonts w:hint="eastAsia"/>
          <w:color w:val="auto"/>
          <w:sz w:val="24"/>
          <w:szCs w:val="24"/>
        </w:rPr>
        <w:t>的监测结果符合</w:t>
      </w:r>
      <w:r>
        <w:rPr>
          <w:rFonts w:hint="eastAsia"/>
          <w:sz w:val="24"/>
          <w:szCs w:val="28"/>
        </w:rPr>
        <w:t>《包装印刷业大气污染物排放标准》（DB 50/758-2017）表2 主城区限值</w:t>
      </w:r>
      <w:r>
        <w:rPr>
          <w:rFonts w:hint="eastAsia"/>
          <w:color w:val="auto"/>
          <w:sz w:val="24"/>
          <w:szCs w:val="24"/>
        </w:rPr>
        <w:t>要求；</w:t>
      </w:r>
      <w:r>
        <w:rPr>
          <w:rFonts w:hint="eastAsia"/>
          <w:color w:val="auto"/>
          <w:sz w:val="24"/>
          <w:szCs w:val="24"/>
          <w:lang w:val="en-US" w:eastAsia="zh-CN"/>
        </w:rPr>
        <w:t>AG蚀刻线蒙砂废气、化抛废气</w:t>
      </w:r>
      <w:r>
        <w:rPr>
          <w:rFonts w:hint="eastAsia"/>
          <w:color w:val="auto"/>
          <w:sz w:val="24"/>
          <w:szCs w:val="24"/>
        </w:rPr>
        <w:t>排放口DA0</w:t>
      </w:r>
      <w:r>
        <w:rPr>
          <w:rFonts w:hint="eastAsia"/>
          <w:color w:val="auto"/>
          <w:sz w:val="24"/>
          <w:szCs w:val="24"/>
          <w:lang w:val="en-US" w:eastAsia="zh-CN"/>
        </w:rPr>
        <w:t>10</w:t>
      </w:r>
      <w:r>
        <w:rPr>
          <w:rFonts w:hint="eastAsia"/>
          <w:color w:val="auto"/>
          <w:sz w:val="24"/>
          <w:szCs w:val="24"/>
        </w:rPr>
        <w:t>中氟化物</w:t>
      </w:r>
      <w:r>
        <w:rPr>
          <w:rFonts w:hint="eastAsia"/>
          <w:color w:val="auto"/>
          <w:sz w:val="24"/>
          <w:szCs w:val="24"/>
          <w:lang w:eastAsia="zh-CN"/>
        </w:rPr>
        <w:t>、</w:t>
      </w:r>
      <w:r>
        <w:rPr>
          <w:rFonts w:hint="eastAsia"/>
          <w:color w:val="auto"/>
          <w:sz w:val="24"/>
          <w:szCs w:val="24"/>
          <w:lang w:val="en-US" w:eastAsia="zh-CN"/>
        </w:rPr>
        <w:t>氯化氢、硫酸雾</w:t>
      </w:r>
      <w:r>
        <w:rPr>
          <w:rFonts w:hint="eastAsia"/>
          <w:color w:val="auto"/>
          <w:sz w:val="24"/>
          <w:szCs w:val="24"/>
        </w:rPr>
        <w:t>的监测结果符合《大气污染物综合排放标准》（DB 50/418-2016）表1限值的要求。</w:t>
      </w:r>
    </w:p>
    <w:bookmarkEnd w:id="220"/>
    <w:p w14:paraId="11F96151">
      <w:pPr>
        <w:spacing w:line="490" w:lineRule="exact"/>
        <w:ind w:firstLine="420"/>
        <w:rPr>
          <w:rFonts w:hint="eastAsia" w:eastAsia="宋体"/>
          <w:color w:val="auto"/>
          <w:sz w:val="24"/>
          <w:szCs w:val="24"/>
          <w:lang w:val="en-US" w:eastAsia="zh-CN"/>
        </w:rPr>
      </w:pPr>
      <w:r>
        <w:rPr>
          <w:color w:val="auto"/>
          <w:sz w:val="24"/>
          <w:szCs w:val="24"/>
        </w:rPr>
        <w:t>无组织废气监测结论：验收监测期间，无组织废气</w:t>
      </w:r>
      <w:r>
        <w:rPr>
          <w:rFonts w:hint="eastAsia"/>
          <w:color w:val="auto"/>
          <w:sz w:val="24"/>
          <w:szCs w:val="24"/>
        </w:rPr>
        <w:t>中非甲烷总烃</w:t>
      </w:r>
      <w:r>
        <w:rPr>
          <w:rFonts w:hint="eastAsia"/>
          <w:color w:val="auto"/>
          <w:sz w:val="24"/>
          <w:szCs w:val="24"/>
          <w:lang w:val="en-US" w:eastAsia="zh-CN"/>
        </w:rPr>
        <w:t>结果符合《包装印刷业大气污染物排放标准》（DB 50/758-2017）表4限值要求；氯化氢、硫酸雾、氟化物</w:t>
      </w:r>
      <w:r>
        <w:rPr>
          <w:rFonts w:hint="eastAsia"/>
          <w:color w:val="auto"/>
          <w:sz w:val="24"/>
          <w:szCs w:val="24"/>
        </w:rPr>
        <w:t>监测结果</w:t>
      </w:r>
      <w:r>
        <w:rPr>
          <w:rFonts w:hint="eastAsia"/>
          <w:color w:val="auto"/>
          <w:sz w:val="24"/>
          <w:szCs w:val="24"/>
          <w:lang w:val="en-US" w:eastAsia="zh-CN"/>
        </w:rPr>
        <w:t>均</w:t>
      </w:r>
      <w:r>
        <w:rPr>
          <w:rFonts w:hint="eastAsia"/>
          <w:color w:val="auto"/>
          <w:sz w:val="24"/>
          <w:szCs w:val="24"/>
        </w:rPr>
        <w:t>符合《大气污染物综合排放标准》（DB 50/418-2016）表1限值的要求。</w:t>
      </w:r>
      <w:r>
        <w:rPr>
          <w:rFonts w:hint="eastAsia"/>
          <w:color w:val="auto"/>
          <w:sz w:val="24"/>
          <w:szCs w:val="24"/>
          <w:lang w:val="en-US" w:eastAsia="zh-CN"/>
        </w:rPr>
        <w:t>厂区内监控点非甲烷总烃浓度符合</w:t>
      </w:r>
      <w:r>
        <w:rPr>
          <w:rFonts w:hint="eastAsia"/>
          <w:color w:val="auto"/>
          <w:sz w:val="24"/>
          <w:szCs w:val="24"/>
        </w:rPr>
        <w:t>《挥发性有机物无组织排放控制标准》（GB 37822-2019）表A.1</w:t>
      </w:r>
      <w:r>
        <w:rPr>
          <w:rFonts w:hint="eastAsia"/>
          <w:color w:val="auto"/>
          <w:sz w:val="24"/>
          <w:szCs w:val="24"/>
          <w:lang w:val="en-US" w:eastAsia="zh-CN"/>
        </w:rPr>
        <w:t>要求。</w:t>
      </w:r>
    </w:p>
    <w:p w14:paraId="3EF5D605">
      <w:pPr>
        <w:pStyle w:val="4"/>
        <w:spacing w:before="0" w:after="0" w:line="490" w:lineRule="exact"/>
        <w:rPr>
          <w:sz w:val="24"/>
          <w:szCs w:val="24"/>
        </w:rPr>
      </w:pPr>
      <w:r>
        <w:rPr>
          <w:sz w:val="24"/>
          <w:szCs w:val="24"/>
        </w:rPr>
        <w:t>9.2.2.3</w:t>
      </w:r>
      <w:r>
        <w:rPr>
          <w:rFonts w:hint="eastAsia"/>
          <w:sz w:val="24"/>
          <w:szCs w:val="24"/>
        </w:rPr>
        <w:t>噪声</w:t>
      </w:r>
      <w:r>
        <w:rPr>
          <w:sz w:val="24"/>
          <w:szCs w:val="24"/>
        </w:rPr>
        <w:t>监测结果</w:t>
      </w:r>
    </w:p>
    <w:p w14:paraId="23FBF229">
      <w:pPr>
        <w:pStyle w:val="13"/>
        <w:spacing w:after="0" w:line="490" w:lineRule="exact"/>
        <w:ind w:firstLine="480" w:firstLineChars="200"/>
        <w:rPr>
          <w:sz w:val="24"/>
          <w:szCs w:val="24"/>
        </w:rPr>
      </w:pPr>
      <w:r>
        <w:rPr>
          <w:rFonts w:hint="eastAsia"/>
          <w:sz w:val="24"/>
          <w:szCs w:val="24"/>
        </w:rPr>
        <w:t>本项目厂界噪声监测结果见表9</w:t>
      </w:r>
      <w:r>
        <w:rPr>
          <w:sz w:val="24"/>
          <w:szCs w:val="24"/>
        </w:rPr>
        <w:t>-</w:t>
      </w:r>
      <w:r>
        <w:rPr>
          <w:rFonts w:hint="eastAsia"/>
          <w:sz w:val="24"/>
          <w:szCs w:val="24"/>
        </w:rPr>
        <w:t>8。</w:t>
      </w:r>
    </w:p>
    <w:p w14:paraId="0B8F901E">
      <w:pPr>
        <w:spacing w:before="156" w:beforeLines="50" w:after="156" w:afterLines="50"/>
        <w:jc w:val="center"/>
        <w:rPr>
          <w:b/>
          <w:sz w:val="24"/>
          <w:szCs w:val="24"/>
        </w:rPr>
      </w:pPr>
      <w:r>
        <w:rPr>
          <w:rFonts w:hint="eastAsia"/>
          <w:b/>
          <w:bCs/>
          <w:sz w:val="24"/>
          <w:szCs w:val="24"/>
        </w:rPr>
        <w:t>表</w:t>
      </w:r>
      <w:r>
        <w:rPr>
          <w:b/>
          <w:bCs/>
          <w:sz w:val="24"/>
          <w:szCs w:val="24"/>
        </w:rPr>
        <w:t>9-</w:t>
      </w:r>
      <w:r>
        <w:rPr>
          <w:rFonts w:hint="eastAsia"/>
          <w:b/>
          <w:bCs/>
          <w:sz w:val="24"/>
          <w:szCs w:val="24"/>
        </w:rPr>
        <w:t>8</w:t>
      </w:r>
      <w:r>
        <w:rPr>
          <w:b/>
          <w:bCs/>
          <w:sz w:val="24"/>
          <w:szCs w:val="24"/>
        </w:rPr>
        <w:t xml:space="preserve">  </w:t>
      </w:r>
      <w:r>
        <w:rPr>
          <w:rFonts w:hint="eastAsia"/>
          <w:b/>
          <w:bCs/>
          <w:sz w:val="24"/>
          <w:szCs w:val="24"/>
        </w:rPr>
        <w:t>厂界噪声监测结果一览表</w:t>
      </w:r>
      <w:r>
        <w:rPr>
          <w:b/>
          <w:sz w:val="24"/>
          <w:szCs w:val="24"/>
        </w:rPr>
        <w:tab/>
      </w:r>
    </w:p>
    <w:tbl>
      <w:tblPr>
        <w:tblStyle w:val="35"/>
        <w:tblW w:w="843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1480"/>
        <w:gridCol w:w="806"/>
        <w:gridCol w:w="806"/>
        <w:gridCol w:w="806"/>
        <w:gridCol w:w="807"/>
        <w:gridCol w:w="672"/>
        <w:gridCol w:w="1084"/>
      </w:tblGrid>
      <w:tr w14:paraId="195FA1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975" w:type="dxa"/>
            <w:vMerge w:val="restart"/>
            <w:vAlign w:val="center"/>
          </w:tcPr>
          <w:p w14:paraId="5575D891">
            <w:pPr>
              <w:jc w:val="center"/>
              <w:rPr>
                <w:szCs w:val="24"/>
              </w:rPr>
            </w:pPr>
            <w:bookmarkStart w:id="221" w:name="_Hlk139030534"/>
            <w:r>
              <w:rPr>
                <w:szCs w:val="24"/>
              </w:rPr>
              <w:t>监测</w:t>
            </w:r>
            <w:r>
              <w:rPr>
                <w:rFonts w:hint="eastAsia"/>
                <w:szCs w:val="24"/>
              </w:rPr>
              <w:t>时间</w:t>
            </w:r>
          </w:p>
        </w:tc>
        <w:tc>
          <w:tcPr>
            <w:tcW w:w="1480" w:type="dxa"/>
            <w:vMerge w:val="restart"/>
            <w:vAlign w:val="center"/>
          </w:tcPr>
          <w:p w14:paraId="25020313">
            <w:pPr>
              <w:jc w:val="center"/>
              <w:rPr>
                <w:szCs w:val="24"/>
              </w:rPr>
            </w:pPr>
            <w:r>
              <w:rPr>
                <w:szCs w:val="24"/>
              </w:rPr>
              <w:t>监测点位</w:t>
            </w:r>
            <w:r>
              <w:rPr>
                <w:rFonts w:hint="eastAsia"/>
                <w:szCs w:val="24"/>
              </w:rPr>
              <w:t>及编号</w:t>
            </w:r>
          </w:p>
        </w:tc>
        <w:tc>
          <w:tcPr>
            <w:tcW w:w="3225" w:type="dxa"/>
            <w:gridSpan w:val="4"/>
            <w:vAlign w:val="center"/>
          </w:tcPr>
          <w:p w14:paraId="593CC5EB">
            <w:pPr>
              <w:jc w:val="center"/>
              <w:rPr>
                <w:szCs w:val="24"/>
              </w:rPr>
            </w:pPr>
            <w:r>
              <w:rPr>
                <w:szCs w:val="24"/>
              </w:rPr>
              <w:t>监  测  结  果  L</w:t>
            </w:r>
            <w:r>
              <w:rPr>
                <w:szCs w:val="24"/>
                <w:vertAlign w:val="subscript"/>
              </w:rPr>
              <w:t>eq</w:t>
            </w:r>
            <w:r>
              <w:rPr>
                <w:szCs w:val="24"/>
              </w:rPr>
              <w:t>[dB(</w:t>
            </w:r>
            <w:r>
              <w:rPr>
                <w:rFonts w:hint="eastAsia"/>
                <w:szCs w:val="24"/>
              </w:rPr>
              <w:t>A</w:t>
            </w:r>
            <w:r>
              <w:rPr>
                <w:szCs w:val="24"/>
              </w:rPr>
              <w:t>)]</w:t>
            </w:r>
          </w:p>
        </w:tc>
        <w:tc>
          <w:tcPr>
            <w:tcW w:w="672" w:type="dxa"/>
            <w:vMerge w:val="restart"/>
            <w:vAlign w:val="center"/>
          </w:tcPr>
          <w:p w14:paraId="0B81B64B">
            <w:pPr>
              <w:jc w:val="center"/>
              <w:rPr>
                <w:szCs w:val="24"/>
              </w:rPr>
            </w:pPr>
            <w:r>
              <w:rPr>
                <w:rFonts w:hint="eastAsia"/>
                <w:szCs w:val="24"/>
              </w:rPr>
              <w:t>排放限值</w:t>
            </w:r>
          </w:p>
        </w:tc>
        <w:tc>
          <w:tcPr>
            <w:tcW w:w="1084" w:type="dxa"/>
            <w:vMerge w:val="restart"/>
            <w:vAlign w:val="center"/>
          </w:tcPr>
          <w:p w14:paraId="0A3B20A2">
            <w:pPr>
              <w:jc w:val="center"/>
              <w:rPr>
                <w:szCs w:val="24"/>
              </w:rPr>
            </w:pPr>
            <w:r>
              <w:rPr>
                <w:szCs w:val="24"/>
              </w:rPr>
              <w:t>主要声源</w:t>
            </w:r>
          </w:p>
        </w:tc>
      </w:tr>
      <w:tr w14:paraId="3A41BF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975" w:type="dxa"/>
            <w:vMerge w:val="continue"/>
            <w:vAlign w:val="center"/>
          </w:tcPr>
          <w:p w14:paraId="04D58D00">
            <w:pPr>
              <w:jc w:val="center"/>
              <w:rPr>
                <w:szCs w:val="24"/>
              </w:rPr>
            </w:pPr>
          </w:p>
        </w:tc>
        <w:tc>
          <w:tcPr>
            <w:tcW w:w="1480" w:type="dxa"/>
            <w:vMerge w:val="continue"/>
            <w:vAlign w:val="center"/>
          </w:tcPr>
          <w:p w14:paraId="0F8EEDAE">
            <w:pPr>
              <w:jc w:val="center"/>
              <w:rPr>
                <w:szCs w:val="24"/>
              </w:rPr>
            </w:pPr>
          </w:p>
        </w:tc>
        <w:tc>
          <w:tcPr>
            <w:tcW w:w="806" w:type="dxa"/>
            <w:vAlign w:val="center"/>
          </w:tcPr>
          <w:p w14:paraId="7940D3EB">
            <w:pPr>
              <w:ind w:left="-105" w:leftChars="-50" w:right="-105" w:rightChars="-50"/>
              <w:jc w:val="center"/>
              <w:rPr>
                <w:szCs w:val="24"/>
              </w:rPr>
            </w:pPr>
            <w:r>
              <w:rPr>
                <w:szCs w:val="24"/>
              </w:rPr>
              <w:t>实测值</w:t>
            </w:r>
          </w:p>
        </w:tc>
        <w:tc>
          <w:tcPr>
            <w:tcW w:w="806" w:type="dxa"/>
            <w:vAlign w:val="center"/>
          </w:tcPr>
          <w:p w14:paraId="470EE8EA">
            <w:pPr>
              <w:ind w:left="-105" w:leftChars="-50" w:right="-105" w:rightChars="-50"/>
              <w:jc w:val="center"/>
              <w:rPr>
                <w:szCs w:val="24"/>
              </w:rPr>
            </w:pPr>
            <w:r>
              <w:rPr>
                <w:szCs w:val="24"/>
              </w:rPr>
              <w:t>本底值</w:t>
            </w:r>
          </w:p>
        </w:tc>
        <w:tc>
          <w:tcPr>
            <w:tcW w:w="806" w:type="dxa"/>
            <w:vAlign w:val="center"/>
          </w:tcPr>
          <w:p w14:paraId="220A2D4E">
            <w:pPr>
              <w:jc w:val="center"/>
              <w:rPr>
                <w:szCs w:val="24"/>
              </w:rPr>
            </w:pPr>
            <w:r>
              <w:rPr>
                <w:szCs w:val="24"/>
              </w:rPr>
              <w:t>结果</w:t>
            </w:r>
          </w:p>
        </w:tc>
        <w:tc>
          <w:tcPr>
            <w:tcW w:w="807" w:type="dxa"/>
            <w:vAlign w:val="center"/>
          </w:tcPr>
          <w:p w14:paraId="7B78CA12">
            <w:pPr>
              <w:jc w:val="center"/>
              <w:rPr>
                <w:szCs w:val="24"/>
              </w:rPr>
            </w:pPr>
            <w:r>
              <w:rPr>
                <w:rFonts w:hint="eastAsia"/>
                <w:szCs w:val="24"/>
              </w:rPr>
              <w:t>L</w:t>
            </w:r>
            <w:r>
              <w:rPr>
                <w:rFonts w:hint="eastAsia"/>
                <w:szCs w:val="24"/>
                <w:vertAlign w:val="subscript"/>
              </w:rPr>
              <w:t>max</w:t>
            </w:r>
          </w:p>
        </w:tc>
        <w:tc>
          <w:tcPr>
            <w:tcW w:w="672" w:type="dxa"/>
            <w:vMerge w:val="continue"/>
            <w:vAlign w:val="center"/>
          </w:tcPr>
          <w:p w14:paraId="63ED1258">
            <w:pPr>
              <w:jc w:val="center"/>
              <w:rPr>
                <w:szCs w:val="24"/>
              </w:rPr>
            </w:pPr>
          </w:p>
        </w:tc>
        <w:tc>
          <w:tcPr>
            <w:tcW w:w="1084" w:type="dxa"/>
            <w:vMerge w:val="continue"/>
            <w:vAlign w:val="center"/>
          </w:tcPr>
          <w:p w14:paraId="18E592E9">
            <w:pPr>
              <w:jc w:val="center"/>
              <w:rPr>
                <w:szCs w:val="24"/>
              </w:rPr>
            </w:pPr>
          </w:p>
        </w:tc>
      </w:tr>
      <w:tr w14:paraId="676C82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5" w:type="dxa"/>
            <w:vAlign w:val="center"/>
          </w:tcPr>
          <w:p w14:paraId="25B43539">
            <w:pPr>
              <w:jc w:val="center"/>
              <w:rPr>
                <w:szCs w:val="24"/>
              </w:rPr>
            </w:pPr>
            <w:r>
              <w:rPr>
                <w:szCs w:val="24"/>
              </w:rPr>
              <w:t>2025年4月24日</w:t>
            </w:r>
            <w:r>
              <w:rPr>
                <w:rFonts w:hint="eastAsia"/>
                <w:szCs w:val="24"/>
              </w:rPr>
              <w:t>11时48分</w:t>
            </w:r>
          </w:p>
        </w:tc>
        <w:tc>
          <w:tcPr>
            <w:tcW w:w="1480" w:type="dxa"/>
            <w:vAlign w:val="center"/>
          </w:tcPr>
          <w:p w14:paraId="0D6A8DDF">
            <w:pPr>
              <w:jc w:val="center"/>
              <w:rPr>
                <w:szCs w:val="24"/>
              </w:rPr>
            </w:pPr>
            <w:r>
              <w:rPr>
                <w:rFonts w:hint="eastAsia"/>
                <w:szCs w:val="24"/>
              </w:rPr>
              <w:t>25HY0003C2</w:t>
            </w:r>
          </w:p>
        </w:tc>
        <w:tc>
          <w:tcPr>
            <w:tcW w:w="806" w:type="dxa"/>
            <w:vAlign w:val="center"/>
          </w:tcPr>
          <w:p w14:paraId="4BD16666">
            <w:pPr>
              <w:jc w:val="center"/>
              <w:rPr>
                <w:szCs w:val="24"/>
              </w:rPr>
            </w:pPr>
            <w:r>
              <w:rPr>
                <w:rFonts w:hint="eastAsia"/>
                <w:szCs w:val="24"/>
              </w:rPr>
              <w:t>62.4</w:t>
            </w:r>
          </w:p>
        </w:tc>
        <w:tc>
          <w:tcPr>
            <w:tcW w:w="806" w:type="dxa"/>
            <w:vAlign w:val="center"/>
          </w:tcPr>
          <w:p w14:paraId="3B522E59">
            <w:pPr>
              <w:jc w:val="center"/>
              <w:rPr>
                <w:szCs w:val="24"/>
              </w:rPr>
            </w:pPr>
            <w:r>
              <w:rPr>
                <w:rFonts w:hint="eastAsia"/>
                <w:szCs w:val="24"/>
              </w:rPr>
              <w:t>/</w:t>
            </w:r>
          </w:p>
        </w:tc>
        <w:tc>
          <w:tcPr>
            <w:tcW w:w="806" w:type="dxa"/>
            <w:vAlign w:val="center"/>
          </w:tcPr>
          <w:p w14:paraId="5AC8D742">
            <w:pPr>
              <w:jc w:val="center"/>
              <w:rPr>
                <w:szCs w:val="24"/>
              </w:rPr>
            </w:pPr>
            <w:r>
              <w:rPr>
                <w:rFonts w:hint="eastAsia"/>
                <w:szCs w:val="24"/>
              </w:rPr>
              <w:t>62</w:t>
            </w:r>
          </w:p>
        </w:tc>
        <w:tc>
          <w:tcPr>
            <w:tcW w:w="807" w:type="dxa"/>
            <w:vAlign w:val="center"/>
          </w:tcPr>
          <w:p w14:paraId="65F6F164">
            <w:pPr>
              <w:jc w:val="center"/>
              <w:rPr>
                <w:szCs w:val="24"/>
              </w:rPr>
            </w:pPr>
            <w:r>
              <w:rPr>
                <w:rFonts w:hint="eastAsia"/>
                <w:szCs w:val="24"/>
              </w:rPr>
              <w:t>/</w:t>
            </w:r>
          </w:p>
        </w:tc>
        <w:tc>
          <w:tcPr>
            <w:tcW w:w="672" w:type="dxa"/>
            <w:vAlign w:val="center"/>
          </w:tcPr>
          <w:p w14:paraId="4D97712E">
            <w:pPr>
              <w:jc w:val="center"/>
              <w:rPr>
                <w:szCs w:val="24"/>
              </w:rPr>
            </w:pPr>
            <w:r>
              <w:rPr>
                <w:rFonts w:hint="eastAsia"/>
                <w:szCs w:val="24"/>
              </w:rPr>
              <w:t>65</w:t>
            </w:r>
          </w:p>
        </w:tc>
        <w:tc>
          <w:tcPr>
            <w:tcW w:w="1084" w:type="dxa"/>
            <w:vAlign w:val="center"/>
          </w:tcPr>
          <w:p w14:paraId="45DDC21C">
            <w:pPr>
              <w:jc w:val="center"/>
              <w:rPr>
                <w:szCs w:val="24"/>
              </w:rPr>
            </w:pPr>
            <w:r>
              <w:rPr>
                <w:rFonts w:hint="eastAsia"/>
                <w:szCs w:val="24"/>
              </w:rPr>
              <w:t>机械噪声</w:t>
            </w:r>
          </w:p>
        </w:tc>
      </w:tr>
      <w:tr w14:paraId="6B96DF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5" w:type="dxa"/>
            <w:vAlign w:val="center"/>
          </w:tcPr>
          <w:p w14:paraId="48CB595B">
            <w:pPr>
              <w:jc w:val="center"/>
              <w:rPr>
                <w:szCs w:val="24"/>
              </w:rPr>
            </w:pPr>
            <w:r>
              <w:rPr>
                <w:szCs w:val="24"/>
              </w:rPr>
              <w:t>2025年4月24日</w:t>
            </w:r>
            <w:r>
              <w:rPr>
                <w:rFonts w:hint="eastAsia"/>
                <w:szCs w:val="24"/>
              </w:rPr>
              <w:t>14时04分</w:t>
            </w:r>
          </w:p>
        </w:tc>
        <w:tc>
          <w:tcPr>
            <w:tcW w:w="1480" w:type="dxa"/>
            <w:vAlign w:val="center"/>
          </w:tcPr>
          <w:p w14:paraId="3C2FE3CE">
            <w:pPr>
              <w:jc w:val="center"/>
              <w:rPr>
                <w:szCs w:val="24"/>
              </w:rPr>
            </w:pPr>
            <w:r>
              <w:rPr>
                <w:rFonts w:hint="eastAsia"/>
                <w:szCs w:val="24"/>
              </w:rPr>
              <w:t>25HY0003C4</w:t>
            </w:r>
          </w:p>
        </w:tc>
        <w:tc>
          <w:tcPr>
            <w:tcW w:w="806" w:type="dxa"/>
            <w:vAlign w:val="center"/>
          </w:tcPr>
          <w:p w14:paraId="14433752">
            <w:pPr>
              <w:jc w:val="center"/>
              <w:rPr>
                <w:szCs w:val="24"/>
              </w:rPr>
            </w:pPr>
            <w:r>
              <w:rPr>
                <w:rFonts w:hint="eastAsia"/>
                <w:szCs w:val="24"/>
              </w:rPr>
              <w:t>57.1</w:t>
            </w:r>
          </w:p>
        </w:tc>
        <w:tc>
          <w:tcPr>
            <w:tcW w:w="806" w:type="dxa"/>
            <w:vAlign w:val="center"/>
          </w:tcPr>
          <w:p w14:paraId="71AE0453">
            <w:pPr>
              <w:jc w:val="center"/>
              <w:rPr>
                <w:szCs w:val="24"/>
              </w:rPr>
            </w:pPr>
            <w:r>
              <w:rPr>
                <w:rFonts w:hint="eastAsia"/>
                <w:szCs w:val="24"/>
              </w:rPr>
              <w:t>/</w:t>
            </w:r>
          </w:p>
        </w:tc>
        <w:tc>
          <w:tcPr>
            <w:tcW w:w="806" w:type="dxa"/>
            <w:vAlign w:val="center"/>
          </w:tcPr>
          <w:p w14:paraId="3BE8E58E">
            <w:pPr>
              <w:jc w:val="center"/>
              <w:rPr>
                <w:szCs w:val="24"/>
              </w:rPr>
            </w:pPr>
            <w:r>
              <w:rPr>
                <w:rFonts w:hint="eastAsia"/>
                <w:szCs w:val="24"/>
              </w:rPr>
              <w:t>57</w:t>
            </w:r>
          </w:p>
        </w:tc>
        <w:tc>
          <w:tcPr>
            <w:tcW w:w="807" w:type="dxa"/>
            <w:vAlign w:val="center"/>
          </w:tcPr>
          <w:p w14:paraId="70BB46BC">
            <w:pPr>
              <w:jc w:val="center"/>
              <w:rPr>
                <w:szCs w:val="24"/>
              </w:rPr>
            </w:pPr>
            <w:r>
              <w:rPr>
                <w:rFonts w:hint="eastAsia"/>
                <w:szCs w:val="24"/>
              </w:rPr>
              <w:t>/</w:t>
            </w:r>
          </w:p>
        </w:tc>
        <w:tc>
          <w:tcPr>
            <w:tcW w:w="672" w:type="dxa"/>
            <w:vAlign w:val="center"/>
          </w:tcPr>
          <w:p w14:paraId="5B958571">
            <w:pPr>
              <w:jc w:val="center"/>
              <w:rPr>
                <w:szCs w:val="24"/>
              </w:rPr>
            </w:pPr>
            <w:r>
              <w:rPr>
                <w:rFonts w:hint="eastAsia"/>
                <w:szCs w:val="24"/>
              </w:rPr>
              <w:t>65</w:t>
            </w:r>
          </w:p>
        </w:tc>
        <w:tc>
          <w:tcPr>
            <w:tcW w:w="1084" w:type="dxa"/>
            <w:vAlign w:val="center"/>
          </w:tcPr>
          <w:p w14:paraId="122D36AA">
            <w:pPr>
              <w:jc w:val="center"/>
              <w:rPr>
                <w:szCs w:val="24"/>
              </w:rPr>
            </w:pPr>
            <w:r>
              <w:rPr>
                <w:rFonts w:hint="eastAsia"/>
                <w:szCs w:val="24"/>
              </w:rPr>
              <w:t>机械噪声</w:t>
            </w:r>
          </w:p>
        </w:tc>
      </w:tr>
      <w:tr w14:paraId="142B84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5" w:type="dxa"/>
            <w:vAlign w:val="center"/>
          </w:tcPr>
          <w:p w14:paraId="16160AE8">
            <w:pPr>
              <w:jc w:val="center"/>
              <w:rPr>
                <w:szCs w:val="24"/>
              </w:rPr>
            </w:pPr>
            <w:r>
              <w:rPr>
                <w:szCs w:val="24"/>
              </w:rPr>
              <w:t>2025年4月24日</w:t>
            </w:r>
            <w:r>
              <w:rPr>
                <w:rFonts w:hint="eastAsia"/>
                <w:szCs w:val="24"/>
              </w:rPr>
              <w:t>14时20分</w:t>
            </w:r>
          </w:p>
        </w:tc>
        <w:tc>
          <w:tcPr>
            <w:tcW w:w="1480" w:type="dxa"/>
            <w:vAlign w:val="center"/>
          </w:tcPr>
          <w:p w14:paraId="66AD2AFD">
            <w:pPr>
              <w:jc w:val="center"/>
              <w:rPr>
                <w:szCs w:val="24"/>
              </w:rPr>
            </w:pPr>
            <w:r>
              <w:rPr>
                <w:rFonts w:hint="eastAsia"/>
                <w:szCs w:val="24"/>
              </w:rPr>
              <w:t>25HY0003C3</w:t>
            </w:r>
          </w:p>
        </w:tc>
        <w:tc>
          <w:tcPr>
            <w:tcW w:w="806" w:type="dxa"/>
            <w:vAlign w:val="center"/>
          </w:tcPr>
          <w:p w14:paraId="1C571B68">
            <w:pPr>
              <w:jc w:val="center"/>
              <w:rPr>
                <w:szCs w:val="24"/>
              </w:rPr>
            </w:pPr>
            <w:r>
              <w:rPr>
                <w:rFonts w:hint="eastAsia"/>
                <w:szCs w:val="24"/>
              </w:rPr>
              <w:t>56.6</w:t>
            </w:r>
          </w:p>
        </w:tc>
        <w:tc>
          <w:tcPr>
            <w:tcW w:w="806" w:type="dxa"/>
            <w:vAlign w:val="center"/>
          </w:tcPr>
          <w:p w14:paraId="54C3230C">
            <w:pPr>
              <w:jc w:val="center"/>
              <w:rPr>
                <w:szCs w:val="24"/>
              </w:rPr>
            </w:pPr>
            <w:r>
              <w:rPr>
                <w:rFonts w:hint="eastAsia"/>
                <w:szCs w:val="24"/>
              </w:rPr>
              <w:t>/</w:t>
            </w:r>
          </w:p>
        </w:tc>
        <w:tc>
          <w:tcPr>
            <w:tcW w:w="806" w:type="dxa"/>
            <w:vAlign w:val="center"/>
          </w:tcPr>
          <w:p w14:paraId="5D245B06">
            <w:pPr>
              <w:jc w:val="center"/>
              <w:rPr>
                <w:szCs w:val="24"/>
              </w:rPr>
            </w:pPr>
            <w:r>
              <w:rPr>
                <w:rFonts w:hint="eastAsia"/>
                <w:szCs w:val="24"/>
              </w:rPr>
              <w:t>57</w:t>
            </w:r>
          </w:p>
        </w:tc>
        <w:tc>
          <w:tcPr>
            <w:tcW w:w="807" w:type="dxa"/>
            <w:vAlign w:val="center"/>
          </w:tcPr>
          <w:p w14:paraId="56C4E2F3">
            <w:pPr>
              <w:jc w:val="center"/>
              <w:rPr>
                <w:szCs w:val="24"/>
              </w:rPr>
            </w:pPr>
            <w:r>
              <w:rPr>
                <w:rFonts w:hint="eastAsia"/>
                <w:szCs w:val="24"/>
              </w:rPr>
              <w:t>/</w:t>
            </w:r>
          </w:p>
        </w:tc>
        <w:tc>
          <w:tcPr>
            <w:tcW w:w="672" w:type="dxa"/>
            <w:vAlign w:val="center"/>
          </w:tcPr>
          <w:p w14:paraId="5A436216">
            <w:pPr>
              <w:jc w:val="center"/>
              <w:rPr>
                <w:szCs w:val="24"/>
              </w:rPr>
            </w:pPr>
            <w:r>
              <w:rPr>
                <w:rFonts w:hint="eastAsia"/>
                <w:szCs w:val="24"/>
              </w:rPr>
              <w:t>65</w:t>
            </w:r>
          </w:p>
        </w:tc>
        <w:tc>
          <w:tcPr>
            <w:tcW w:w="1084" w:type="dxa"/>
            <w:vAlign w:val="center"/>
          </w:tcPr>
          <w:p w14:paraId="6616CFB7">
            <w:pPr>
              <w:jc w:val="center"/>
              <w:rPr>
                <w:szCs w:val="24"/>
              </w:rPr>
            </w:pPr>
            <w:r>
              <w:rPr>
                <w:rFonts w:hint="eastAsia"/>
                <w:szCs w:val="24"/>
              </w:rPr>
              <w:t>机械噪声</w:t>
            </w:r>
          </w:p>
        </w:tc>
      </w:tr>
      <w:tr w14:paraId="04047D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5" w:type="dxa"/>
            <w:vAlign w:val="center"/>
          </w:tcPr>
          <w:p w14:paraId="5DEC9744">
            <w:pPr>
              <w:jc w:val="center"/>
              <w:rPr>
                <w:szCs w:val="24"/>
              </w:rPr>
            </w:pPr>
            <w:r>
              <w:rPr>
                <w:szCs w:val="24"/>
              </w:rPr>
              <w:t>2025年4月24日</w:t>
            </w:r>
            <w:r>
              <w:rPr>
                <w:rFonts w:hint="eastAsia"/>
                <w:szCs w:val="24"/>
              </w:rPr>
              <w:t>17时24分</w:t>
            </w:r>
          </w:p>
        </w:tc>
        <w:tc>
          <w:tcPr>
            <w:tcW w:w="1480" w:type="dxa"/>
            <w:vAlign w:val="center"/>
          </w:tcPr>
          <w:p w14:paraId="5873EA69">
            <w:pPr>
              <w:jc w:val="center"/>
              <w:rPr>
                <w:szCs w:val="24"/>
              </w:rPr>
            </w:pPr>
            <w:r>
              <w:rPr>
                <w:rFonts w:hint="eastAsia"/>
                <w:szCs w:val="24"/>
              </w:rPr>
              <w:t>25HY0003C1</w:t>
            </w:r>
          </w:p>
        </w:tc>
        <w:tc>
          <w:tcPr>
            <w:tcW w:w="806" w:type="dxa"/>
            <w:vAlign w:val="center"/>
          </w:tcPr>
          <w:p w14:paraId="71F4AEC2">
            <w:pPr>
              <w:jc w:val="center"/>
              <w:rPr>
                <w:szCs w:val="24"/>
              </w:rPr>
            </w:pPr>
            <w:r>
              <w:rPr>
                <w:rFonts w:hint="eastAsia"/>
                <w:szCs w:val="24"/>
              </w:rPr>
              <w:t>58.3</w:t>
            </w:r>
          </w:p>
        </w:tc>
        <w:tc>
          <w:tcPr>
            <w:tcW w:w="806" w:type="dxa"/>
            <w:vAlign w:val="center"/>
          </w:tcPr>
          <w:p w14:paraId="52E148E7">
            <w:pPr>
              <w:jc w:val="center"/>
              <w:rPr>
                <w:szCs w:val="24"/>
              </w:rPr>
            </w:pPr>
            <w:r>
              <w:rPr>
                <w:rFonts w:hint="eastAsia"/>
                <w:szCs w:val="24"/>
              </w:rPr>
              <w:t>/</w:t>
            </w:r>
          </w:p>
        </w:tc>
        <w:tc>
          <w:tcPr>
            <w:tcW w:w="806" w:type="dxa"/>
            <w:vAlign w:val="center"/>
          </w:tcPr>
          <w:p w14:paraId="27B6ACA5">
            <w:pPr>
              <w:jc w:val="center"/>
              <w:rPr>
                <w:szCs w:val="24"/>
              </w:rPr>
            </w:pPr>
            <w:r>
              <w:rPr>
                <w:rFonts w:hint="eastAsia"/>
                <w:szCs w:val="24"/>
              </w:rPr>
              <w:t>58</w:t>
            </w:r>
          </w:p>
        </w:tc>
        <w:tc>
          <w:tcPr>
            <w:tcW w:w="807" w:type="dxa"/>
            <w:vAlign w:val="center"/>
          </w:tcPr>
          <w:p w14:paraId="260A10E8">
            <w:pPr>
              <w:jc w:val="center"/>
              <w:rPr>
                <w:szCs w:val="24"/>
              </w:rPr>
            </w:pPr>
            <w:r>
              <w:rPr>
                <w:rFonts w:hint="eastAsia"/>
                <w:szCs w:val="24"/>
              </w:rPr>
              <w:t>/</w:t>
            </w:r>
          </w:p>
        </w:tc>
        <w:tc>
          <w:tcPr>
            <w:tcW w:w="672" w:type="dxa"/>
            <w:vAlign w:val="center"/>
          </w:tcPr>
          <w:p w14:paraId="6B375B63">
            <w:pPr>
              <w:jc w:val="center"/>
              <w:rPr>
                <w:szCs w:val="24"/>
              </w:rPr>
            </w:pPr>
            <w:r>
              <w:rPr>
                <w:rFonts w:hint="eastAsia"/>
                <w:szCs w:val="24"/>
              </w:rPr>
              <w:t>65</w:t>
            </w:r>
          </w:p>
        </w:tc>
        <w:tc>
          <w:tcPr>
            <w:tcW w:w="1084" w:type="dxa"/>
            <w:vAlign w:val="center"/>
          </w:tcPr>
          <w:p w14:paraId="45B9CD44">
            <w:pPr>
              <w:jc w:val="center"/>
              <w:rPr>
                <w:szCs w:val="24"/>
              </w:rPr>
            </w:pPr>
            <w:r>
              <w:rPr>
                <w:rFonts w:hint="eastAsia"/>
                <w:szCs w:val="24"/>
              </w:rPr>
              <w:t>机械噪声</w:t>
            </w:r>
          </w:p>
        </w:tc>
      </w:tr>
      <w:tr w14:paraId="639A3B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5" w:type="dxa"/>
            <w:vAlign w:val="center"/>
          </w:tcPr>
          <w:p w14:paraId="075976B8">
            <w:pPr>
              <w:jc w:val="center"/>
              <w:rPr>
                <w:szCs w:val="24"/>
              </w:rPr>
            </w:pPr>
            <w:r>
              <w:rPr>
                <w:szCs w:val="24"/>
              </w:rPr>
              <w:t>2025年4月24日</w:t>
            </w:r>
            <w:r>
              <w:rPr>
                <w:rFonts w:hint="eastAsia"/>
                <w:szCs w:val="24"/>
              </w:rPr>
              <w:t>22时00分</w:t>
            </w:r>
          </w:p>
        </w:tc>
        <w:tc>
          <w:tcPr>
            <w:tcW w:w="1480" w:type="dxa"/>
            <w:vAlign w:val="center"/>
          </w:tcPr>
          <w:p w14:paraId="0E2C1437">
            <w:pPr>
              <w:jc w:val="center"/>
              <w:rPr>
                <w:szCs w:val="24"/>
              </w:rPr>
            </w:pPr>
            <w:r>
              <w:rPr>
                <w:rFonts w:hint="eastAsia"/>
                <w:szCs w:val="24"/>
              </w:rPr>
              <w:t>25HY0003C2</w:t>
            </w:r>
          </w:p>
        </w:tc>
        <w:tc>
          <w:tcPr>
            <w:tcW w:w="806" w:type="dxa"/>
            <w:vAlign w:val="center"/>
          </w:tcPr>
          <w:p w14:paraId="4C102B44">
            <w:pPr>
              <w:jc w:val="center"/>
              <w:rPr>
                <w:szCs w:val="24"/>
              </w:rPr>
            </w:pPr>
            <w:r>
              <w:rPr>
                <w:rFonts w:hint="eastAsia"/>
                <w:szCs w:val="24"/>
              </w:rPr>
              <w:t>50.6</w:t>
            </w:r>
          </w:p>
        </w:tc>
        <w:tc>
          <w:tcPr>
            <w:tcW w:w="806" w:type="dxa"/>
            <w:vAlign w:val="center"/>
          </w:tcPr>
          <w:p w14:paraId="2358ACC4">
            <w:pPr>
              <w:jc w:val="center"/>
              <w:rPr>
                <w:szCs w:val="24"/>
              </w:rPr>
            </w:pPr>
            <w:r>
              <w:rPr>
                <w:rFonts w:hint="eastAsia"/>
                <w:szCs w:val="24"/>
              </w:rPr>
              <w:t>/</w:t>
            </w:r>
          </w:p>
        </w:tc>
        <w:tc>
          <w:tcPr>
            <w:tcW w:w="806" w:type="dxa"/>
            <w:vAlign w:val="center"/>
          </w:tcPr>
          <w:p w14:paraId="1BE8A59C">
            <w:pPr>
              <w:jc w:val="center"/>
              <w:rPr>
                <w:szCs w:val="24"/>
              </w:rPr>
            </w:pPr>
            <w:r>
              <w:rPr>
                <w:rFonts w:hint="eastAsia"/>
                <w:szCs w:val="24"/>
              </w:rPr>
              <w:t>51</w:t>
            </w:r>
          </w:p>
        </w:tc>
        <w:tc>
          <w:tcPr>
            <w:tcW w:w="807" w:type="dxa"/>
            <w:vAlign w:val="center"/>
          </w:tcPr>
          <w:p w14:paraId="4726134F">
            <w:pPr>
              <w:jc w:val="center"/>
              <w:rPr>
                <w:szCs w:val="24"/>
              </w:rPr>
            </w:pPr>
            <w:r>
              <w:rPr>
                <w:rFonts w:hint="eastAsia"/>
                <w:szCs w:val="24"/>
              </w:rPr>
              <w:t>55.5</w:t>
            </w:r>
          </w:p>
        </w:tc>
        <w:tc>
          <w:tcPr>
            <w:tcW w:w="672" w:type="dxa"/>
            <w:vAlign w:val="center"/>
          </w:tcPr>
          <w:p w14:paraId="1ABF9C09">
            <w:pPr>
              <w:jc w:val="center"/>
              <w:rPr>
                <w:szCs w:val="24"/>
              </w:rPr>
            </w:pPr>
            <w:r>
              <w:rPr>
                <w:rFonts w:hint="eastAsia"/>
                <w:szCs w:val="24"/>
              </w:rPr>
              <w:t>55</w:t>
            </w:r>
          </w:p>
        </w:tc>
        <w:tc>
          <w:tcPr>
            <w:tcW w:w="1084" w:type="dxa"/>
            <w:vAlign w:val="center"/>
          </w:tcPr>
          <w:p w14:paraId="43D1D30C">
            <w:pPr>
              <w:jc w:val="center"/>
              <w:rPr>
                <w:szCs w:val="24"/>
              </w:rPr>
            </w:pPr>
            <w:r>
              <w:rPr>
                <w:rFonts w:hint="eastAsia"/>
                <w:szCs w:val="24"/>
              </w:rPr>
              <w:t>机械噪声</w:t>
            </w:r>
          </w:p>
        </w:tc>
      </w:tr>
      <w:tr w14:paraId="39D47E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5" w:type="dxa"/>
            <w:vAlign w:val="center"/>
          </w:tcPr>
          <w:p w14:paraId="2EEFCD76">
            <w:pPr>
              <w:jc w:val="center"/>
              <w:rPr>
                <w:szCs w:val="24"/>
              </w:rPr>
            </w:pPr>
            <w:r>
              <w:rPr>
                <w:szCs w:val="24"/>
              </w:rPr>
              <w:t>2025年4月24日</w:t>
            </w:r>
            <w:r>
              <w:rPr>
                <w:rFonts w:hint="eastAsia"/>
                <w:szCs w:val="24"/>
              </w:rPr>
              <w:t>22时16分</w:t>
            </w:r>
          </w:p>
        </w:tc>
        <w:tc>
          <w:tcPr>
            <w:tcW w:w="1480" w:type="dxa"/>
            <w:vAlign w:val="center"/>
          </w:tcPr>
          <w:p w14:paraId="40AA0680">
            <w:pPr>
              <w:jc w:val="center"/>
              <w:rPr>
                <w:szCs w:val="24"/>
              </w:rPr>
            </w:pPr>
            <w:r>
              <w:rPr>
                <w:rFonts w:hint="eastAsia"/>
                <w:szCs w:val="24"/>
              </w:rPr>
              <w:t>25HY0003C4</w:t>
            </w:r>
          </w:p>
        </w:tc>
        <w:tc>
          <w:tcPr>
            <w:tcW w:w="806" w:type="dxa"/>
            <w:vAlign w:val="center"/>
          </w:tcPr>
          <w:p w14:paraId="55C84626">
            <w:pPr>
              <w:jc w:val="center"/>
              <w:rPr>
                <w:szCs w:val="24"/>
              </w:rPr>
            </w:pPr>
            <w:r>
              <w:rPr>
                <w:rFonts w:hint="eastAsia"/>
                <w:szCs w:val="24"/>
              </w:rPr>
              <w:t>53.1</w:t>
            </w:r>
          </w:p>
        </w:tc>
        <w:tc>
          <w:tcPr>
            <w:tcW w:w="806" w:type="dxa"/>
            <w:vAlign w:val="center"/>
          </w:tcPr>
          <w:p w14:paraId="7F37FDFC">
            <w:pPr>
              <w:jc w:val="center"/>
              <w:rPr>
                <w:szCs w:val="24"/>
              </w:rPr>
            </w:pPr>
            <w:r>
              <w:rPr>
                <w:rFonts w:hint="eastAsia"/>
                <w:szCs w:val="24"/>
              </w:rPr>
              <w:t>/</w:t>
            </w:r>
          </w:p>
        </w:tc>
        <w:tc>
          <w:tcPr>
            <w:tcW w:w="806" w:type="dxa"/>
            <w:vAlign w:val="center"/>
          </w:tcPr>
          <w:p w14:paraId="2217B91D">
            <w:pPr>
              <w:jc w:val="center"/>
              <w:rPr>
                <w:szCs w:val="24"/>
              </w:rPr>
            </w:pPr>
            <w:r>
              <w:rPr>
                <w:rFonts w:hint="eastAsia"/>
                <w:szCs w:val="24"/>
              </w:rPr>
              <w:t>53</w:t>
            </w:r>
          </w:p>
        </w:tc>
        <w:tc>
          <w:tcPr>
            <w:tcW w:w="807" w:type="dxa"/>
            <w:vAlign w:val="center"/>
          </w:tcPr>
          <w:p w14:paraId="03255E16">
            <w:pPr>
              <w:jc w:val="center"/>
              <w:rPr>
                <w:szCs w:val="24"/>
              </w:rPr>
            </w:pPr>
            <w:r>
              <w:rPr>
                <w:rFonts w:hint="eastAsia"/>
                <w:szCs w:val="24"/>
              </w:rPr>
              <w:t>65.8</w:t>
            </w:r>
          </w:p>
        </w:tc>
        <w:tc>
          <w:tcPr>
            <w:tcW w:w="672" w:type="dxa"/>
            <w:vAlign w:val="center"/>
          </w:tcPr>
          <w:p w14:paraId="4B972F95">
            <w:pPr>
              <w:jc w:val="center"/>
              <w:rPr>
                <w:szCs w:val="24"/>
              </w:rPr>
            </w:pPr>
            <w:r>
              <w:rPr>
                <w:rFonts w:hint="eastAsia"/>
                <w:szCs w:val="24"/>
              </w:rPr>
              <w:t>55</w:t>
            </w:r>
          </w:p>
        </w:tc>
        <w:tc>
          <w:tcPr>
            <w:tcW w:w="1084" w:type="dxa"/>
            <w:vAlign w:val="center"/>
          </w:tcPr>
          <w:p w14:paraId="02094CD0">
            <w:pPr>
              <w:jc w:val="center"/>
              <w:rPr>
                <w:szCs w:val="24"/>
              </w:rPr>
            </w:pPr>
            <w:r>
              <w:rPr>
                <w:rFonts w:hint="eastAsia"/>
                <w:szCs w:val="24"/>
              </w:rPr>
              <w:t>机械噪声</w:t>
            </w:r>
          </w:p>
        </w:tc>
      </w:tr>
      <w:tr w14:paraId="51E328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5" w:type="dxa"/>
            <w:vAlign w:val="center"/>
          </w:tcPr>
          <w:p w14:paraId="55C04FDF">
            <w:pPr>
              <w:jc w:val="center"/>
              <w:rPr>
                <w:szCs w:val="24"/>
              </w:rPr>
            </w:pPr>
            <w:r>
              <w:rPr>
                <w:szCs w:val="24"/>
              </w:rPr>
              <w:t>2025年4月24日</w:t>
            </w:r>
            <w:r>
              <w:rPr>
                <w:rFonts w:hint="eastAsia"/>
                <w:szCs w:val="24"/>
              </w:rPr>
              <w:t>22时32分</w:t>
            </w:r>
          </w:p>
        </w:tc>
        <w:tc>
          <w:tcPr>
            <w:tcW w:w="1480" w:type="dxa"/>
            <w:vAlign w:val="center"/>
          </w:tcPr>
          <w:p w14:paraId="4DC4F83A">
            <w:pPr>
              <w:jc w:val="center"/>
              <w:rPr>
                <w:szCs w:val="24"/>
              </w:rPr>
            </w:pPr>
            <w:r>
              <w:rPr>
                <w:rFonts w:hint="eastAsia"/>
                <w:szCs w:val="24"/>
              </w:rPr>
              <w:t>25HY0003C3</w:t>
            </w:r>
          </w:p>
        </w:tc>
        <w:tc>
          <w:tcPr>
            <w:tcW w:w="806" w:type="dxa"/>
            <w:vAlign w:val="center"/>
          </w:tcPr>
          <w:p w14:paraId="18739739">
            <w:pPr>
              <w:jc w:val="center"/>
              <w:rPr>
                <w:szCs w:val="24"/>
              </w:rPr>
            </w:pPr>
            <w:r>
              <w:rPr>
                <w:rFonts w:hint="eastAsia"/>
                <w:szCs w:val="24"/>
              </w:rPr>
              <w:t>53.8</w:t>
            </w:r>
          </w:p>
        </w:tc>
        <w:tc>
          <w:tcPr>
            <w:tcW w:w="806" w:type="dxa"/>
            <w:vAlign w:val="center"/>
          </w:tcPr>
          <w:p w14:paraId="257D2A7E">
            <w:pPr>
              <w:jc w:val="center"/>
              <w:rPr>
                <w:szCs w:val="24"/>
              </w:rPr>
            </w:pPr>
            <w:r>
              <w:rPr>
                <w:rFonts w:hint="eastAsia"/>
                <w:szCs w:val="24"/>
              </w:rPr>
              <w:t>/</w:t>
            </w:r>
          </w:p>
        </w:tc>
        <w:tc>
          <w:tcPr>
            <w:tcW w:w="806" w:type="dxa"/>
            <w:vAlign w:val="center"/>
          </w:tcPr>
          <w:p w14:paraId="4DD3F3DF">
            <w:pPr>
              <w:jc w:val="center"/>
              <w:rPr>
                <w:szCs w:val="24"/>
              </w:rPr>
            </w:pPr>
            <w:r>
              <w:rPr>
                <w:rFonts w:hint="eastAsia"/>
                <w:szCs w:val="24"/>
              </w:rPr>
              <w:t>54</w:t>
            </w:r>
          </w:p>
        </w:tc>
        <w:tc>
          <w:tcPr>
            <w:tcW w:w="807" w:type="dxa"/>
            <w:vAlign w:val="center"/>
          </w:tcPr>
          <w:p w14:paraId="573F9285">
            <w:pPr>
              <w:jc w:val="center"/>
              <w:rPr>
                <w:szCs w:val="24"/>
              </w:rPr>
            </w:pPr>
            <w:r>
              <w:rPr>
                <w:rFonts w:hint="eastAsia"/>
                <w:szCs w:val="24"/>
              </w:rPr>
              <w:t>67.8</w:t>
            </w:r>
          </w:p>
        </w:tc>
        <w:tc>
          <w:tcPr>
            <w:tcW w:w="672" w:type="dxa"/>
            <w:vAlign w:val="center"/>
          </w:tcPr>
          <w:p w14:paraId="3CE4D05C">
            <w:pPr>
              <w:jc w:val="center"/>
              <w:rPr>
                <w:szCs w:val="24"/>
              </w:rPr>
            </w:pPr>
            <w:r>
              <w:rPr>
                <w:rFonts w:hint="eastAsia"/>
                <w:szCs w:val="24"/>
              </w:rPr>
              <w:t>55</w:t>
            </w:r>
          </w:p>
        </w:tc>
        <w:tc>
          <w:tcPr>
            <w:tcW w:w="1084" w:type="dxa"/>
            <w:vAlign w:val="center"/>
          </w:tcPr>
          <w:p w14:paraId="311A1D4F">
            <w:pPr>
              <w:jc w:val="center"/>
              <w:rPr>
                <w:szCs w:val="24"/>
              </w:rPr>
            </w:pPr>
            <w:r>
              <w:rPr>
                <w:rFonts w:hint="eastAsia"/>
                <w:szCs w:val="24"/>
              </w:rPr>
              <w:t>机械噪声</w:t>
            </w:r>
          </w:p>
        </w:tc>
      </w:tr>
      <w:tr w14:paraId="6B9A7C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5" w:type="dxa"/>
            <w:vAlign w:val="center"/>
          </w:tcPr>
          <w:p w14:paraId="7D8848BC">
            <w:pPr>
              <w:jc w:val="center"/>
              <w:rPr>
                <w:szCs w:val="24"/>
              </w:rPr>
            </w:pPr>
            <w:r>
              <w:rPr>
                <w:szCs w:val="24"/>
              </w:rPr>
              <w:t>2025年4月24日</w:t>
            </w:r>
            <w:r>
              <w:rPr>
                <w:rFonts w:hint="eastAsia"/>
                <w:szCs w:val="24"/>
              </w:rPr>
              <w:t>22时49分</w:t>
            </w:r>
          </w:p>
        </w:tc>
        <w:tc>
          <w:tcPr>
            <w:tcW w:w="1480" w:type="dxa"/>
            <w:vAlign w:val="center"/>
          </w:tcPr>
          <w:p w14:paraId="705B5B04">
            <w:pPr>
              <w:jc w:val="center"/>
              <w:rPr>
                <w:szCs w:val="24"/>
              </w:rPr>
            </w:pPr>
            <w:r>
              <w:rPr>
                <w:rFonts w:hint="eastAsia"/>
                <w:szCs w:val="24"/>
              </w:rPr>
              <w:t>25HY0003C1</w:t>
            </w:r>
          </w:p>
        </w:tc>
        <w:tc>
          <w:tcPr>
            <w:tcW w:w="806" w:type="dxa"/>
            <w:vAlign w:val="center"/>
          </w:tcPr>
          <w:p w14:paraId="7BBF9911">
            <w:pPr>
              <w:jc w:val="center"/>
              <w:rPr>
                <w:szCs w:val="24"/>
              </w:rPr>
            </w:pPr>
            <w:r>
              <w:rPr>
                <w:rFonts w:hint="eastAsia"/>
                <w:szCs w:val="24"/>
              </w:rPr>
              <w:t>52.3</w:t>
            </w:r>
          </w:p>
        </w:tc>
        <w:tc>
          <w:tcPr>
            <w:tcW w:w="806" w:type="dxa"/>
            <w:vAlign w:val="center"/>
          </w:tcPr>
          <w:p w14:paraId="006021AF">
            <w:pPr>
              <w:jc w:val="center"/>
              <w:rPr>
                <w:szCs w:val="24"/>
              </w:rPr>
            </w:pPr>
            <w:r>
              <w:rPr>
                <w:rFonts w:hint="eastAsia"/>
                <w:szCs w:val="24"/>
              </w:rPr>
              <w:t>/</w:t>
            </w:r>
          </w:p>
        </w:tc>
        <w:tc>
          <w:tcPr>
            <w:tcW w:w="806" w:type="dxa"/>
            <w:vAlign w:val="center"/>
          </w:tcPr>
          <w:p w14:paraId="02F8D779">
            <w:pPr>
              <w:jc w:val="center"/>
              <w:rPr>
                <w:szCs w:val="24"/>
              </w:rPr>
            </w:pPr>
            <w:r>
              <w:rPr>
                <w:rFonts w:hint="eastAsia"/>
                <w:szCs w:val="24"/>
              </w:rPr>
              <w:t>52</w:t>
            </w:r>
          </w:p>
        </w:tc>
        <w:tc>
          <w:tcPr>
            <w:tcW w:w="807" w:type="dxa"/>
            <w:vAlign w:val="center"/>
          </w:tcPr>
          <w:p w14:paraId="1F6EE679">
            <w:pPr>
              <w:jc w:val="center"/>
              <w:rPr>
                <w:szCs w:val="24"/>
              </w:rPr>
            </w:pPr>
            <w:r>
              <w:rPr>
                <w:rFonts w:hint="eastAsia"/>
                <w:szCs w:val="24"/>
              </w:rPr>
              <w:t>61.5</w:t>
            </w:r>
          </w:p>
        </w:tc>
        <w:tc>
          <w:tcPr>
            <w:tcW w:w="672" w:type="dxa"/>
            <w:vAlign w:val="center"/>
          </w:tcPr>
          <w:p w14:paraId="7C8C6391">
            <w:pPr>
              <w:jc w:val="center"/>
              <w:rPr>
                <w:szCs w:val="24"/>
              </w:rPr>
            </w:pPr>
            <w:r>
              <w:rPr>
                <w:rFonts w:hint="eastAsia"/>
                <w:szCs w:val="24"/>
              </w:rPr>
              <w:t>55</w:t>
            </w:r>
          </w:p>
        </w:tc>
        <w:tc>
          <w:tcPr>
            <w:tcW w:w="1084" w:type="dxa"/>
            <w:vAlign w:val="center"/>
          </w:tcPr>
          <w:p w14:paraId="30D4B7C3">
            <w:pPr>
              <w:jc w:val="center"/>
              <w:rPr>
                <w:szCs w:val="24"/>
              </w:rPr>
            </w:pPr>
            <w:r>
              <w:rPr>
                <w:rFonts w:hint="eastAsia"/>
                <w:szCs w:val="24"/>
              </w:rPr>
              <w:t>机械噪声</w:t>
            </w:r>
          </w:p>
        </w:tc>
      </w:tr>
      <w:tr w14:paraId="1F1C95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5" w:type="dxa"/>
            <w:vAlign w:val="center"/>
          </w:tcPr>
          <w:p w14:paraId="6B6A50DD">
            <w:pPr>
              <w:jc w:val="center"/>
              <w:rPr>
                <w:szCs w:val="24"/>
              </w:rPr>
            </w:pPr>
            <w:r>
              <w:rPr>
                <w:szCs w:val="24"/>
              </w:rPr>
              <w:t>2025年4月25日</w:t>
            </w:r>
            <w:r>
              <w:rPr>
                <w:rFonts w:hint="eastAsia"/>
                <w:szCs w:val="24"/>
              </w:rPr>
              <w:t>10时27分</w:t>
            </w:r>
          </w:p>
        </w:tc>
        <w:tc>
          <w:tcPr>
            <w:tcW w:w="1480" w:type="dxa"/>
            <w:vAlign w:val="center"/>
          </w:tcPr>
          <w:p w14:paraId="68AD2D36">
            <w:pPr>
              <w:jc w:val="center"/>
              <w:rPr>
                <w:szCs w:val="24"/>
              </w:rPr>
            </w:pPr>
            <w:r>
              <w:rPr>
                <w:rFonts w:hint="eastAsia"/>
                <w:szCs w:val="24"/>
              </w:rPr>
              <w:t>25HY0003C2</w:t>
            </w:r>
          </w:p>
        </w:tc>
        <w:tc>
          <w:tcPr>
            <w:tcW w:w="806" w:type="dxa"/>
            <w:vAlign w:val="center"/>
          </w:tcPr>
          <w:p w14:paraId="56AC656E">
            <w:pPr>
              <w:jc w:val="center"/>
              <w:rPr>
                <w:szCs w:val="24"/>
              </w:rPr>
            </w:pPr>
            <w:r>
              <w:rPr>
                <w:rFonts w:hint="eastAsia"/>
                <w:szCs w:val="24"/>
              </w:rPr>
              <w:t>60.8</w:t>
            </w:r>
          </w:p>
        </w:tc>
        <w:tc>
          <w:tcPr>
            <w:tcW w:w="806" w:type="dxa"/>
            <w:vAlign w:val="center"/>
          </w:tcPr>
          <w:p w14:paraId="2EBC0D9F">
            <w:pPr>
              <w:jc w:val="center"/>
              <w:rPr>
                <w:szCs w:val="24"/>
              </w:rPr>
            </w:pPr>
            <w:r>
              <w:rPr>
                <w:rFonts w:hint="eastAsia"/>
                <w:szCs w:val="24"/>
              </w:rPr>
              <w:t>/</w:t>
            </w:r>
          </w:p>
        </w:tc>
        <w:tc>
          <w:tcPr>
            <w:tcW w:w="806" w:type="dxa"/>
            <w:vAlign w:val="center"/>
          </w:tcPr>
          <w:p w14:paraId="7F634C5F">
            <w:pPr>
              <w:jc w:val="center"/>
              <w:rPr>
                <w:szCs w:val="24"/>
              </w:rPr>
            </w:pPr>
            <w:r>
              <w:rPr>
                <w:rFonts w:hint="eastAsia"/>
                <w:szCs w:val="24"/>
              </w:rPr>
              <w:t>61</w:t>
            </w:r>
          </w:p>
        </w:tc>
        <w:tc>
          <w:tcPr>
            <w:tcW w:w="807" w:type="dxa"/>
            <w:vAlign w:val="center"/>
          </w:tcPr>
          <w:p w14:paraId="1F75E0E2">
            <w:pPr>
              <w:jc w:val="center"/>
              <w:rPr>
                <w:szCs w:val="24"/>
              </w:rPr>
            </w:pPr>
            <w:r>
              <w:rPr>
                <w:rFonts w:hint="eastAsia"/>
                <w:szCs w:val="24"/>
              </w:rPr>
              <w:t>/</w:t>
            </w:r>
          </w:p>
        </w:tc>
        <w:tc>
          <w:tcPr>
            <w:tcW w:w="672" w:type="dxa"/>
            <w:vAlign w:val="center"/>
          </w:tcPr>
          <w:p w14:paraId="0841080F">
            <w:pPr>
              <w:jc w:val="center"/>
              <w:rPr>
                <w:szCs w:val="24"/>
              </w:rPr>
            </w:pPr>
            <w:r>
              <w:rPr>
                <w:rFonts w:hint="eastAsia"/>
                <w:szCs w:val="24"/>
              </w:rPr>
              <w:t>65</w:t>
            </w:r>
          </w:p>
        </w:tc>
        <w:tc>
          <w:tcPr>
            <w:tcW w:w="1084" w:type="dxa"/>
            <w:vAlign w:val="center"/>
          </w:tcPr>
          <w:p w14:paraId="41DEE5A4">
            <w:pPr>
              <w:jc w:val="center"/>
              <w:rPr>
                <w:szCs w:val="24"/>
              </w:rPr>
            </w:pPr>
            <w:r>
              <w:rPr>
                <w:rFonts w:hint="eastAsia"/>
                <w:szCs w:val="24"/>
              </w:rPr>
              <w:t>机械噪声</w:t>
            </w:r>
          </w:p>
        </w:tc>
      </w:tr>
      <w:tr w14:paraId="3840C4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5" w:type="dxa"/>
            <w:vAlign w:val="center"/>
          </w:tcPr>
          <w:p w14:paraId="26979053">
            <w:pPr>
              <w:jc w:val="center"/>
              <w:rPr>
                <w:szCs w:val="24"/>
              </w:rPr>
            </w:pPr>
            <w:r>
              <w:rPr>
                <w:szCs w:val="24"/>
              </w:rPr>
              <w:t>2025年4月25日</w:t>
            </w:r>
            <w:r>
              <w:rPr>
                <w:rFonts w:hint="eastAsia"/>
                <w:szCs w:val="24"/>
              </w:rPr>
              <w:t>10时44分</w:t>
            </w:r>
          </w:p>
        </w:tc>
        <w:tc>
          <w:tcPr>
            <w:tcW w:w="1480" w:type="dxa"/>
            <w:vAlign w:val="center"/>
          </w:tcPr>
          <w:p w14:paraId="1F88773A">
            <w:pPr>
              <w:jc w:val="center"/>
              <w:rPr>
                <w:szCs w:val="24"/>
              </w:rPr>
            </w:pPr>
            <w:r>
              <w:rPr>
                <w:rFonts w:hint="eastAsia"/>
                <w:szCs w:val="24"/>
              </w:rPr>
              <w:t>25HY0003C3</w:t>
            </w:r>
          </w:p>
        </w:tc>
        <w:tc>
          <w:tcPr>
            <w:tcW w:w="806" w:type="dxa"/>
            <w:vAlign w:val="center"/>
          </w:tcPr>
          <w:p w14:paraId="5152B2F4">
            <w:pPr>
              <w:jc w:val="center"/>
              <w:rPr>
                <w:szCs w:val="24"/>
              </w:rPr>
            </w:pPr>
            <w:r>
              <w:rPr>
                <w:rFonts w:hint="eastAsia"/>
                <w:szCs w:val="24"/>
              </w:rPr>
              <w:t>59.8</w:t>
            </w:r>
          </w:p>
        </w:tc>
        <w:tc>
          <w:tcPr>
            <w:tcW w:w="806" w:type="dxa"/>
            <w:vAlign w:val="center"/>
          </w:tcPr>
          <w:p w14:paraId="6CA80E09">
            <w:pPr>
              <w:jc w:val="center"/>
              <w:rPr>
                <w:szCs w:val="24"/>
              </w:rPr>
            </w:pPr>
            <w:r>
              <w:rPr>
                <w:rFonts w:hint="eastAsia"/>
                <w:szCs w:val="24"/>
              </w:rPr>
              <w:t>/</w:t>
            </w:r>
          </w:p>
        </w:tc>
        <w:tc>
          <w:tcPr>
            <w:tcW w:w="806" w:type="dxa"/>
            <w:vAlign w:val="center"/>
          </w:tcPr>
          <w:p w14:paraId="062F4F7B">
            <w:pPr>
              <w:jc w:val="center"/>
              <w:rPr>
                <w:szCs w:val="24"/>
              </w:rPr>
            </w:pPr>
            <w:r>
              <w:rPr>
                <w:rFonts w:hint="eastAsia"/>
                <w:szCs w:val="24"/>
              </w:rPr>
              <w:t>60</w:t>
            </w:r>
          </w:p>
        </w:tc>
        <w:tc>
          <w:tcPr>
            <w:tcW w:w="807" w:type="dxa"/>
            <w:vAlign w:val="center"/>
          </w:tcPr>
          <w:p w14:paraId="6008DDD9">
            <w:pPr>
              <w:jc w:val="center"/>
              <w:rPr>
                <w:szCs w:val="24"/>
              </w:rPr>
            </w:pPr>
            <w:r>
              <w:rPr>
                <w:rFonts w:hint="eastAsia"/>
                <w:szCs w:val="24"/>
              </w:rPr>
              <w:t>/</w:t>
            </w:r>
          </w:p>
        </w:tc>
        <w:tc>
          <w:tcPr>
            <w:tcW w:w="672" w:type="dxa"/>
            <w:vAlign w:val="center"/>
          </w:tcPr>
          <w:p w14:paraId="4F33C890">
            <w:pPr>
              <w:jc w:val="center"/>
              <w:rPr>
                <w:szCs w:val="24"/>
              </w:rPr>
            </w:pPr>
            <w:r>
              <w:rPr>
                <w:rFonts w:hint="eastAsia"/>
                <w:szCs w:val="24"/>
              </w:rPr>
              <w:t>65</w:t>
            </w:r>
          </w:p>
        </w:tc>
        <w:tc>
          <w:tcPr>
            <w:tcW w:w="1084" w:type="dxa"/>
            <w:vAlign w:val="center"/>
          </w:tcPr>
          <w:p w14:paraId="10A22A63">
            <w:pPr>
              <w:jc w:val="center"/>
              <w:rPr>
                <w:szCs w:val="24"/>
              </w:rPr>
            </w:pPr>
            <w:r>
              <w:rPr>
                <w:rFonts w:hint="eastAsia"/>
                <w:szCs w:val="24"/>
              </w:rPr>
              <w:t>机械噪声</w:t>
            </w:r>
          </w:p>
        </w:tc>
      </w:tr>
      <w:tr w14:paraId="5B348C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5" w:type="dxa"/>
            <w:vAlign w:val="center"/>
          </w:tcPr>
          <w:p w14:paraId="55B8EB4C">
            <w:pPr>
              <w:jc w:val="center"/>
              <w:rPr>
                <w:szCs w:val="24"/>
              </w:rPr>
            </w:pPr>
            <w:r>
              <w:rPr>
                <w:szCs w:val="24"/>
              </w:rPr>
              <w:t>2025年4月25日</w:t>
            </w:r>
            <w:r>
              <w:rPr>
                <w:rFonts w:hint="eastAsia"/>
                <w:szCs w:val="24"/>
              </w:rPr>
              <w:t>14时30分</w:t>
            </w:r>
          </w:p>
        </w:tc>
        <w:tc>
          <w:tcPr>
            <w:tcW w:w="1480" w:type="dxa"/>
            <w:vAlign w:val="center"/>
          </w:tcPr>
          <w:p w14:paraId="3227B5DA">
            <w:pPr>
              <w:jc w:val="center"/>
              <w:rPr>
                <w:szCs w:val="24"/>
              </w:rPr>
            </w:pPr>
            <w:r>
              <w:rPr>
                <w:rFonts w:hint="eastAsia"/>
                <w:szCs w:val="24"/>
              </w:rPr>
              <w:t>25HY0003C4</w:t>
            </w:r>
          </w:p>
        </w:tc>
        <w:tc>
          <w:tcPr>
            <w:tcW w:w="806" w:type="dxa"/>
            <w:vAlign w:val="center"/>
          </w:tcPr>
          <w:p w14:paraId="3878449D">
            <w:pPr>
              <w:jc w:val="center"/>
              <w:rPr>
                <w:szCs w:val="24"/>
              </w:rPr>
            </w:pPr>
            <w:r>
              <w:rPr>
                <w:rFonts w:hint="eastAsia"/>
                <w:szCs w:val="24"/>
              </w:rPr>
              <w:t>58.8</w:t>
            </w:r>
          </w:p>
        </w:tc>
        <w:tc>
          <w:tcPr>
            <w:tcW w:w="806" w:type="dxa"/>
            <w:vAlign w:val="center"/>
          </w:tcPr>
          <w:p w14:paraId="78ECFB65">
            <w:pPr>
              <w:jc w:val="center"/>
              <w:rPr>
                <w:szCs w:val="24"/>
              </w:rPr>
            </w:pPr>
            <w:r>
              <w:rPr>
                <w:rFonts w:hint="eastAsia"/>
                <w:szCs w:val="24"/>
              </w:rPr>
              <w:t>/</w:t>
            </w:r>
          </w:p>
        </w:tc>
        <w:tc>
          <w:tcPr>
            <w:tcW w:w="806" w:type="dxa"/>
            <w:vAlign w:val="center"/>
          </w:tcPr>
          <w:p w14:paraId="36755305">
            <w:pPr>
              <w:jc w:val="center"/>
              <w:rPr>
                <w:szCs w:val="24"/>
              </w:rPr>
            </w:pPr>
            <w:r>
              <w:rPr>
                <w:rFonts w:hint="eastAsia"/>
                <w:szCs w:val="24"/>
              </w:rPr>
              <w:t>59</w:t>
            </w:r>
          </w:p>
        </w:tc>
        <w:tc>
          <w:tcPr>
            <w:tcW w:w="807" w:type="dxa"/>
            <w:vAlign w:val="center"/>
          </w:tcPr>
          <w:p w14:paraId="4DFEAE13">
            <w:pPr>
              <w:jc w:val="center"/>
              <w:rPr>
                <w:szCs w:val="24"/>
              </w:rPr>
            </w:pPr>
            <w:r>
              <w:rPr>
                <w:rFonts w:hint="eastAsia"/>
                <w:szCs w:val="24"/>
              </w:rPr>
              <w:t>/</w:t>
            </w:r>
          </w:p>
        </w:tc>
        <w:tc>
          <w:tcPr>
            <w:tcW w:w="672" w:type="dxa"/>
            <w:vAlign w:val="center"/>
          </w:tcPr>
          <w:p w14:paraId="3E68DEC7">
            <w:pPr>
              <w:jc w:val="center"/>
              <w:rPr>
                <w:szCs w:val="24"/>
              </w:rPr>
            </w:pPr>
            <w:r>
              <w:rPr>
                <w:rFonts w:hint="eastAsia"/>
                <w:szCs w:val="24"/>
              </w:rPr>
              <w:t>65</w:t>
            </w:r>
          </w:p>
        </w:tc>
        <w:tc>
          <w:tcPr>
            <w:tcW w:w="1084" w:type="dxa"/>
            <w:vAlign w:val="center"/>
          </w:tcPr>
          <w:p w14:paraId="583743E5">
            <w:pPr>
              <w:jc w:val="center"/>
              <w:rPr>
                <w:szCs w:val="24"/>
              </w:rPr>
            </w:pPr>
            <w:r>
              <w:rPr>
                <w:rFonts w:hint="eastAsia"/>
                <w:szCs w:val="24"/>
              </w:rPr>
              <w:t>机械噪声</w:t>
            </w:r>
          </w:p>
        </w:tc>
      </w:tr>
      <w:tr w14:paraId="00FFE0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5" w:type="dxa"/>
            <w:vAlign w:val="center"/>
          </w:tcPr>
          <w:p w14:paraId="0A028C59">
            <w:pPr>
              <w:jc w:val="center"/>
              <w:rPr>
                <w:szCs w:val="24"/>
              </w:rPr>
            </w:pPr>
            <w:r>
              <w:rPr>
                <w:szCs w:val="24"/>
              </w:rPr>
              <w:t>2025年4月25日</w:t>
            </w:r>
            <w:r>
              <w:rPr>
                <w:rFonts w:hint="eastAsia"/>
                <w:szCs w:val="24"/>
              </w:rPr>
              <w:t>16时07分</w:t>
            </w:r>
          </w:p>
        </w:tc>
        <w:tc>
          <w:tcPr>
            <w:tcW w:w="1480" w:type="dxa"/>
            <w:vAlign w:val="center"/>
          </w:tcPr>
          <w:p w14:paraId="1ECEDFBE">
            <w:pPr>
              <w:jc w:val="center"/>
              <w:rPr>
                <w:szCs w:val="24"/>
              </w:rPr>
            </w:pPr>
            <w:r>
              <w:rPr>
                <w:rFonts w:hint="eastAsia"/>
                <w:szCs w:val="24"/>
              </w:rPr>
              <w:t>25HY0003C1</w:t>
            </w:r>
          </w:p>
        </w:tc>
        <w:tc>
          <w:tcPr>
            <w:tcW w:w="806" w:type="dxa"/>
            <w:vAlign w:val="center"/>
          </w:tcPr>
          <w:p w14:paraId="016A325A">
            <w:pPr>
              <w:jc w:val="center"/>
              <w:rPr>
                <w:szCs w:val="24"/>
              </w:rPr>
            </w:pPr>
            <w:r>
              <w:rPr>
                <w:rFonts w:hint="eastAsia"/>
                <w:szCs w:val="24"/>
              </w:rPr>
              <w:t>58.2</w:t>
            </w:r>
          </w:p>
        </w:tc>
        <w:tc>
          <w:tcPr>
            <w:tcW w:w="806" w:type="dxa"/>
            <w:vAlign w:val="center"/>
          </w:tcPr>
          <w:p w14:paraId="621A4E41">
            <w:pPr>
              <w:jc w:val="center"/>
              <w:rPr>
                <w:szCs w:val="24"/>
              </w:rPr>
            </w:pPr>
            <w:r>
              <w:rPr>
                <w:rFonts w:hint="eastAsia"/>
                <w:szCs w:val="24"/>
              </w:rPr>
              <w:t>/</w:t>
            </w:r>
          </w:p>
        </w:tc>
        <w:tc>
          <w:tcPr>
            <w:tcW w:w="806" w:type="dxa"/>
            <w:vAlign w:val="center"/>
          </w:tcPr>
          <w:p w14:paraId="26391039">
            <w:pPr>
              <w:jc w:val="center"/>
              <w:rPr>
                <w:szCs w:val="24"/>
              </w:rPr>
            </w:pPr>
            <w:r>
              <w:rPr>
                <w:rFonts w:hint="eastAsia"/>
                <w:szCs w:val="24"/>
              </w:rPr>
              <w:t>58</w:t>
            </w:r>
          </w:p>
        </w:tc>
        <w:tc>
          <w:tcPr>
            <w:tcW w:w="807" w:type="dxa"/>
            <w:vAlign w:val="center"/>
          </w:tcPr>
          <w:p w14:paraId="76301C44">
            <w:pPr>
              <w:jc w:val="center"/>
              <w:rPr>
                <w:szCs w:val="24"/>
              </w:rPr>
            </w:pPr>
            <w:r>
              <w:rPr>
                <w:rFonts w:hint="eastAsia"/>
                <w:szCs w:val="24"/>
              </w:rPr>
              <w:t>/</w:t>
            </w:r>
          </w:p>
        </w:tc>
        <w:tc>
          <w:tcPr>
            <w:tcW w:w="672" w:type="dxa"/>
            <w:vAlign w:val="center"/>
          </w:tcPr>
          <w:p w14:paraId="2EB95A6F">
            <w:pPr>
              <w:jc w:val="center"/>
              <w:rPr>
                <w:szCs w:val="24"/>
              </w:rPr>
            </w:pPr>
            <w:r>
              <w:rPr>
                <w:rFonts w:hint="eastAsia"/>
                <w:szCs w:val="24"/>
              </w:rPr>
              <w:t>65</w:t>
            </w:r>
          </w:p>
        </w:tc>
        <w:tc>
          <w:tcPr>
            <w:tcW w:w="1084" w:type="dxa"/>
            <w:vAlign w:val="center"/>
          </w:tcPr>
          <w:p w14:paraId="17CF2660">
            <w:pPr>
              <w:jc w:val="center"/>
              <w:rPr>
                <w:szCs w:val="24"/>
              </w:rPr>
            </w:pPr>
            <w:r>
              <w:rPr>
                <w:rFonts w:hint="eastAsia"/>
                <w:szCs w:val="24"/>
              </w:rPr>
              <w:t>机械噪声</w:t>
            </w:r>
          </w:p>
        </w:tc>
      </w:tr>
      <w:tr w14:paraId="55FE87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5" w:type="dxa"/>
            <w:vAlign w:val="center"/>
          </w:tcPr>
          <w:p w14:paraId="734FC938">
            <w:pPr>
              <w:jc w:val="center"/>
              <w:rPr>
                <w:szCs w:val="24"/>
              </w:rPr>
            </w:pPr>
            <w:r>
              <w:rPr>
                <w:szCs w:val="24"/>
              </w:rPr>
              <w:t>2025年4月25日</w:t>
            </w:r>
            <w:r>
              <w:rPr>
                <w:rFonts w:hint="eastAsia"/>
                <w:szCs w:val="24"/>
              </w:rPr>
              <w:t>22时00分</w:t>
            </w:r>
          </w:p>
        </w:tc>
        <w:tc>
          <w:tcPr>
            <w:tcW w:w="1480" w:type="dxa"/>
            <w:vAlign w:val="center"/>
          </w:tcPr>
          <w:p w14:paraId="56E75D55">
            <w:pPr>
              <w:jc w:val="center"/>
              <w:rPr>
                <w:szCs w:val="24"/>
              </w:rPr>
            </w:pPr>
            <w:r>
              <w:rPr>
                <w:rFonts w:hint="eastAsia"/>
                <w:szCs w:val="24"/>
              </w:rPr>
              <w:t>25HY0003C2</w:t>
            </w:r>
          </w:p>
        </w:tc>
        <w:tc>
          <w:tcPr>
            <w:tcW w:w="806" w:type="dxa"/>
            <w:vAlign w:val="center"/>
          </w:tcPr>
          <w:p w14:paraId="04F47227">
            <w:pPr>
              <w:jc w:val="center"/>
              <w:rPr>
                <w:szCs w:val="24"/>
              </w:rPr>
            </w:pPr>
            <w:r>
              <w:rPr>
                <w:rFonts w:hint="eastAsia"/>
                <w:szCs w:val="24"/>
              </w:rPr>
              <w:t>51.6</w:t>
            </w:r>
          </w:p>
        </w:tc>
        <w:tc>
          <w:tcPr>
            <w:tcW w:w="806" w:type="dxa"/>
            <w:vAlign w:val="center"/>
          </w:tcPr>
          <w:p w14:paraId="30CC07B4">
            <w:pPr>
              <w:jc w:val="center"/>
              <w:rPr>
                <w:szCs w:val="24"/>
              </w:rPr>
            </w:pPr>
            <w:r>
              <w:rPr>
                <w:rFonts w:hint="eastAsia"/>
                <w:szCs w:val="24"/>
              </w:rPr>
              <w:t>/</w:t>
            </w:r>
          </w:p>
        </w:tc>
        <w:tc>
          <w:tcPr>
            <w:tcW w:w="806" w:type="dxa"/>
            <w:vAlign w:val="center"/>
          </w:tcPr>
          <w:p w14:paraId="1E504D73">
            <w:pPr>
              <w:jc w:val="center"/>
              <w:rPr>
                <w:szCs w:val="24"/>
              </w:rPr>
            </w:pPr>
            <w:r>
              <w:rPr>
                <w:rFonts w:hint="eastAsia"/>
                <w:szCs w:val="24"/>
              </w:rPr>
              <w:t>52</w:t>
            </w:r>
          </w:p>
        </w:tc>
        <w:tc>
          <w:tcPr>
            <w:tcW w:w="807" w:type="dxa"/>
            <w:vAlign w:val="center"/>
          </w:tcPr>
          <w:p w14:paraId="09B7EC14">
            <w:pPr>
              <w:jc w:val="center"/>
              <w:rPr>
                <w:szCs w:val="24"/>
              </w:rPr>
            </w:pPr>
            <w:r>
              <w:rPr>
                <w:rFonts w:hint="eastAsia"/>
                <w:szCs w:val="24"/>
              </w:rPr>
              <w:t>67.6</w:t>
            </w:r>
          </w:p>
        </w:tc>
        <w:tc>
          <w:tcPr>
            <w:tcW w:w="672" w:type="dxa"/>
            <w:vAlign w:val="center"/>
          </w:tcPr>
          <w:p w14:paraId="6FE870B0">
            <w:pPr>
              <w:jc w:val="center"/>
              <w:rPr>
                <w:szCs w:val="24"/>
              </w:rPr>
            </w:pPr>
            <w:r>
              <w:rPr>
                <w:rFonts w:hint="eastAsia"/>
                <w:szCs w:val="24"/>
              </w:rPr>
              <w:t>55</w:t>
            </w:r>
          </w:p>
        </w:tc>
        <w:tc>
          <w:tcPr>
            <w:tcW w:w="1084" w:type="dxa"/>
            <w:vAlign w:val="center"/>
          </w:tcPr>
          <w:p w14:paraId="4337FD55">
            <w:pPr>
              <w:jc w:val="center"/>
              <w:rPr>
                <w:szCs w:val="24"/>
              </w:rPr>
            </w:pPr>
            <w:r>
              <w:rPr>
                <w:rFonts w:hint="eastAsia"/>
                <w:szCs w:val="24"/>
              </w:rPr>
              <w:t>机械噪声</w:t>
            </w:r>
          </w:p>
        </w:tc>
      </w:tr>
      <w:tr w14:paraId="07FBD1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5" w:type="dxa"/>
            <w:vAlign w:val="center"/>
          </w:tcPr>
          <w:p w14:paraId="2095FA96">
            <w:pPr>
              <w:jc w:val="center"/>
              <w:rPr>
                <w:szCs w:val="24"/>
              </w:rPr>
            </w:pPr>
            <w:r>
              <w:rPr>
                <w:szCs w:val="24"/>
              </w:rPr>
              <w:t>2025年4月25日</w:t>
            </w:r>
            <w:r>
              <w:rPr>
                <w:rFonts w:hint="eastAsia"/>
                <w:szCs w:val="24"/>
              </w:rPr>
              <w:t>22时15分</w:t>
            </w:r>
          </w:p>
        </w:tc>
        <w:tc>
          <w:tcPr>
            <w:tcW w:w="1480" w:type="dxa"/>
            <w:vAlign w:val="center"/>
          </w:tcPr>
          <w:p w14:paraId="34BB0969">
            <w:pPr>
              <w:jc w:val="center"/>
              <w:rPr>
                <w:szCs w:val="24"/>
              </w:rPr>
            </w:pPr>
            <w:r>
              <w:rPr>
                <w:rFonts w:hint="eastAsia"/>
                <w:szCs w:val="24"/>
              </w:rPr>
              <w:t>25HY0003C4</w:t>
            </w:r>
          </w:p>
        </w:tc>
        <w:tc>
          <w:tcPr>
            <w:tcW w:w="806" w:type="dxa"/>
            <w:vAlign w:val="center"/>
          </w:tcPr>
          <w:p w14:paraId="0664CE79">
            <w:pPr>
              <w:jc w:val="center"/>
              <w:rPr>
                <w:szCs w:val="24"/>
              </w:rPr>
            </w:pPr>
            <w:r>
              <w:rPr>
                <w:rFonts w:hint="eastAsia"/>
                <w:szCs w:val="24"/>
              </w:rPr>
              <w:t>52.2</w:t>
            </w:r>
          </w:p>
        </w:tc>
        <w:tc>
          <w:tcPr>
            <w:tcW w:w="806" w:type="dxa"/>
            <w:vAlign w:val="center"/>
          </w:tcPr>
          <w:p w14:paraId="6451BCD0">
            <w:pPr>
              <w:jc w:val="center"/>
              <w:rPr>
                <w:szCs w:val="24"/>
              </w:rPr>
            </w:pPr>
            <w:r>
              <w:rPr>
                <w:rFonts w:hint="eastAsia"/>
                <w:szCs w:val="24"/>
              </w:rPr>
              <w:t>/</w:t>
            </w:r>
          </w:p>
        </w:tc>
        <w:tc>
          <w:tcPr>
            <w:tcW w:w="806" w:type="dxa"/>
            <w:vAlign w:val="center"/>
          </w:tcPr>
          <w:p w14:paraId="2EC574FE">
            <w:pPr>
              <w:jc w:val="center"/>
              <w:rPr>
                <w:szCs w:val="24"/>
              </w:rPr>
            </w:pPr>
            <w:r>
              <w:rPr>
                <w:rFonts w:hint="eastAsia"/>
                <w:szCs w:val="24"/>
              </w:rPr>
              <w:t>52</w:t>
            </w:r>
          </w:p>
        </w:tc>
        <w:tc>
          <w:tcPr>
            <w:tcW w:w="807" w:type="dxa"/>
            <w:vAlign w:val="center"/>
          </w:tcPr>
          <w:p w14:paraId="682610A8">
            <w:pPr>
              <w:jc w:val="center"/>
              <w:rPr>
                <w:szCs w:val="24"/>
              </w:rPr>
            </w:pPr>
            <w:r>
              <w:rPr>
                <w:rFonts w:hint="eastAsia"/>
                <w:szCs w:val="24"/>
              </w:rPr>
              <w:t>66.8</w:t>
            </w:r>
          </w:p>
        </w:tc>
        <w:tc>
          <w:tcPr>
            <w:tcW w:w="672" w:type="dxa"/>
            <w:vAlign w:val="center"/>
          </w:tcPr>
          <w:p w14:paraId="1759FBD0">
            <w:pPr>
              <w:jc w:val="center"/>
              <w:rPr>
                <w:szCs w:val="24"/>
              </w:rPr>
            </w:pPr>
            <w:r>
              <w:rPr>
                <w:rFonts w:hint="eastAsia"/>
                <w:szCs w:val="24"/>
              </w:rPr>
              <w:t>55</w:t>
            </w:r>
          </w:p>
        </w:tc>
        <w:tc>
          <w:tcPr>
            <w:tcW w:w="1084" w:type="dxa"/>
            <w:vAlign w:val="center"/>
          </w:tcPr>
          <w:p w14:paraId="721E1AEC">
            <w:pPr>
              <w:jc w:val="center"/>
              <w:rPr>
                <w:szCs w:val="24"/>
              </w:rPr>
            </w:pPr>
            <w:r>
              <w:rPr>
                <w:rFonts w:hint="eastAsia"/>
                <w:szCs w:val="24"/>
              </w:rPr>
              <w:t>机械噪声</w:t>
            </w:r>
          </w:p>
        </w:tc>
      </w:tr>
      <w:tr w14:paraId="6A7545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5" w:type="dxa"/>
            <w:vAlign w:val="center"/>
          </w:tcPr>
          <w:p w14:paraId="27CF6AFA">
            <w:pPr>
              <w:jc w:val="center"/>
              <w:rPr>
                <w:szCs w:val="24"/>
              </w:rPr>
            </w:pPr>
            <w:r>
              <w:rPr>
                <w:szCs w:val="24"/>
              </w:rPr>
              <w:t>2025年4月25日</w:t>
            </w:r>
            <w:r>
              <w:rPr>
                <w:rFonts w:hint="eastAsia"/>
                <w:szCs w:val="24"/>
              </w:rPr>
              <w:t>22时31分</w:t>
            </w:r>
          </w:p>
        </w:tc>
        <w:tc>
          <w:tcPr>
            <w:tcW w:w="1480" w:type="dxa"/>
            <w:vAlign w:val="center"/>
          </w:tcPr>
          <w:p w14:paraId="5B47B91C">
            <w:pPr>
              <w:jc w:val="center"/>
              <w:rPr>
                <w:szCs w:val="24"/>
              </w:rPr>
            </w:pPr>
            <w:r>
              <w:rPr>
                <w:rFonts w:hint="eastAsia"/>
                <w:szCs w:val="24"/>
              </w:rPr>
              <w:t>25HY0003C3</w:t>
            </w:r>
          </w:p>
        </w:tc>
        <w:tc>
          <w:tcPr>
            <w:tcW w:w="806" w:type="dxa"/>
            <w:vAlign w:val="center"/>
          </w:tcPr>
          <w:p w14:paraId="69953B2A">
            <w:pPr>
              <w:jc w:val="center"/>
              <w:rPr>
                <w:szCs w:val="24"/>
              </w:rPr>
            </w:pPr>
            <w:r>
              <w:rPr>
                <w:rFonts w:hint="eastAsia"/>
                <w:szCs w:val="24"/>
              </w:rPr>
              <w:t>53.3</w:t>
            </w:r>
          </w:p>
        </w:tc>
        <w:tc>
          <w:tcPr>
            <w:tcW w:w="806" w:type="dxa"/>
            <w:vAlign w:val="center"/>
          </w:tcPr>
          <w:p w14:paraId="1D0BABDA">
            <w:pPr>
              <w:jc w:val="center"/>
              <w:rPr>
                <w:szCs w:val="24"/>
              </w:rPr>
            </w:pPr>
            <w:r>
              <w:rPr>
                <w:rFonts w:hint="eastAsia"/>
                <w:szCs w:val="24"/>
              </w:rPr>
              <w:t>/</w:t>
            </w:r>
          </w:p>
        </w:tc>
        <w:tc>
          <w:tcPr>
            <w:tcW w:w="806" w:type="dxa"/>
            <w:vAlign w:val="center"/>
          </w:tcPr>
          <w:p w14:paraId="63CC8BC1">
            <w:pPr>
              <w:jc w:val="center"/>
              <w:rPr>
                <w:szCs w:val="24"/>
              </w:rPr>
            </w:pPr>
            <w:r>
              <w:rPr>
                <w:rFonts w:hint="eastAsia"/>
                <w:szCs w:val="24"/>
              </w:rPr>
              <w:t>53</w:t>
            </w:r>
          </w:p>
        </w:tc>
        <w:tc>
          <w:tcPr>
            <w:tcW w:w="807" w:type="dxa"/>
            <w:vAlign w:val="center"/>
          </w:tcPr>
          <w:p w14:paraId="391A68D8">
            <w:pPr>
              <w:jc w:val="center"/>
              <w:rPr>
                <w:szCs w:val="24"/>
              </w:rPr>
            </w:pPr>
            <w:r>
              <w:rPr>
                <w:rFonts w:hint="eastAsia"/>
                <w:szCs w:val="24"/>
              </w:rPr>
              <w:t>66.4</w:t>
            </w:r>
          </w:p>
        </w:tc>
        <w:tc>
          <w:tcPr>
            <w:tcW w:w="672" w:type="dxa"/>
            <w:vAlign w:val="center"/>
          </w:tcPr>
          <w:p w14:paraId="4534F85E">
            <w:pPr>
              <w:jc w:val="center"/>
              <w:rPr>
                <w:szCs w:val="24"/>
              </w:rPr>
            </w:pPr>
            <w:r>
              <w:rPr>
                <w:rFonts w:hint="eastAsia"/>
                <w:szCs w:val="24"/>
              </w:rPr>
              <w:t>55</w:t>
            </w:r>
          </w:p>
        </w:tc>
        <w:tc>
          <w:tcPr>
            <w:tcW w:w="1084" w:type="dxa"/>
            <w:vAlign w:val="center"/>
          </w:tcPr>
          <w:p w14:paraId="1C28F615">
            <w:pPr>
              <w:jc w:val="center"/>
              <w:rPr>
                <w:szCs w:val="24"/>
              </w:rPr>
            </w:pPr>
            <w:r>
              <w:rPr>
                <w:rFonts w:hint="eastAsia"/>
                <w:szCs w:val="24"/>
              </w:rPr>
              <w:t>机械噪声</w:t>
            </w:r>
          </w:p>
        </w:tc>
      </w:tr>
      <w:tr w14:paraId="556FA6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5" w:type="dxa"/>
            <w:vAlign w:val="center"/>
          </w:tcPr>
          <w:p w14:paraId="1AAC7499">
            <w:pPr>
              <w:jc w:val="center"/>
              <w:rPr>
                <w:szCs w:val="24"/>
              </w:rPr>
            </w:pPr>
            <w:r>
              <w:rPr>
                <w:szCs w:val="24"/>
              </w:rPr>
              <w:t>2025年4月25日</w:t>
            </w:r>
            <w:r>
              <w:rPr>
                <w:rFonts w:hint="eastAsia"/>
                <w:szCs w:val="24"/>
              </w:rPr>
              <w:t>22时47分</w:t>
            </w:r>
          </w:p>
        </w:tc>
        <w:tc>
          <w:tcPr>
            <w:tcW w:w="1480" w:type="dxa"/>
            <w:vAlign w:val="center"/>
          </w:tcPr>
          <w:p w14:paraId="6501CDAC">
            <w:pPr>
              <w:jc w:val="center"/>
              <w:rPr>
                <w:szCs w:val="24"/>
              </w:rPr>
            </w:pPr>
            <w:r>
              <w:rPr>
                <w:rFonts w:hint="eastAsia"/>
                <w:szCs w:val="24"/>
              </w:rPr>
              <w:t>25HY0003C1</w:t>
            </w:r>
          </w:p>
        </w:tc>
        <w:tc>
          <w:tcPr>
            <w:tcW w:w="806" w:type="dxa"/>
            <w:vAlign w:val="center"/>
          </w:tcPr>
          <w:p w14:paraId="113C3340">
            <w:pPr>
              <w:jc w:val="center"/>
              <w:rPr>
                <w:szCs w:val="24"/>
              </w:rPr>
            </w:pPr>
            <w:r>
              <w:rPr>
                <w:rFonts w:hint="eastAsia"/>
                <w:szCs w:val="24"/>
              </w:rPr>
              <w:t>52.6</w:t>
            </w:r>
          </w:p>
        </w:tc>
        <w:tc>
          <w:tcPr>
            <w:tcW w:w="806" w:type="dxa"/>
            <w:vAlign w:val="center"/>
          </w:tcPr>
          <w:p w14:paraId="4D86EA14">
            <w:pPr>
              <w:jc w:val="center"/>
              <w:rPr>
                <w:szCs w:val="24"/>
              </w:rPr>
            </w:pPr>
            <w:r>
              <w:rPr>
                <w:rFonts w:hint="eastAsia"/>
                <w:szCs w:val="24"/>
              </w:rPr>
              <w:t>/</w:t>
            </w:r>
          </w:p>
        </w:tc>
        <w:tc>
          <w:tcPr>
            <w:tcW w:w="806" w:type="dxa"/>
            <w:vAlign w:val="center"/>
          </w:tcPr>
          <w:p w14:paraId="4BCED436">
            <w:pPr>
              <w:jc w:val="center"/>
              <w:rPr>
                <w:szCs w:val="24"/>
              </w:rPr>
            </w:pPr>
            <w:r>
              <w:rPr>
                <w:rFonts w:hint="eastAsia"/>
                <w:szCs w:val="24"/>
              </w:rPr>
              <w:t>53</w:t>
            </w:r>
          </w:p>
        </w:tc>
        <w:tc>
          <w:tcPr>
            <w:tcW w:w="807" w:type="dxa"/>
            <w:vAlign w:val="center"/>
          </w:tcPr>
          <w:p w14:paraId="58AFF861">
            <w:pPr>
              <w:jc w:val="center"/>
              <w:rPr>
                <w:szCs w:val="24"/>
              </w:rPr>
            </w:pPr>
            <w:r>
              <w:rPr>
                <w:rFonts w:hint="eastAsia"/>
                <w:szCs w:val="24"/>
              </w:rPr>
              <w:t>64.5</w:t>
            </w:r>
          </w:p>
        </w:tc>
        <w:tc>
          <w:tcPr>
            <w:tcW w:w="672" w:type="dxa"/>
            <w:vAlign w:val="center"/>
          </w:tcPr>
          <w:p w14:paraId="71D87621">
            <w:pPr>
              <w:jc w:val="center"/>
              <w:rPr>
                <w:szCs w:val="24"/>
              </w:rPr>
            </w:pPr>
            <w:r>
              <w:rPr>
                <w:rFonts w:hint="eastAsia"/>
                <w:szCs w:val="24"/>
              </w:rPr>
              <w:t>55</w:t>
            </w:r>
          </w:p>
        </w:tc>
        <w:tc>
          <w:tcPr>
            <w:tcW w:w="1084" w:type="dxa"/>
            <w:vAlign w:val="center"/>
          </w:tcPr>
          <w:p w14:paraId="1838C87A">
            <w:pPr>
              <w:jc w:val="center"/>
              <w:rPr>
                <w:szCs w:val="24"/>
              </w:rPr>
            </w:pPr>
            <w:r>
              <w:rPr>
                <w:rFonts w:hint="eastAsia"/>
                <w:szCs w:val="24"/>
              </w:rPr>
              <w:t>机械噪声</w:t>
            </w:r>
          </w:p>
        </w:tc>
      </w:tr>
      <w:tr w14:paraId="1EC259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5" w:type="dxa"/>
            <w:vAlign w:val="center"/>
          </w:tcPr>
          <w:p w14:paraId="11EE4768">
            <w:pPr>
              <w:jc w:val="center"/>
              <w:rPr>
                <w:szCs w:val="24"/>
              </w:rPr>
            </w:pPr>
            <w:r>
              <w:rPr>
                <w:rFonts w:hint="eastAsia"/>
                <w:szCs w:val="24"/>
              </w:rPr>
              <w:t>评价依据</w:t>
            </w:r>
          </w:p>
        </w:tc>
        <w:tc>
          <w:tcPr>
            <w:tcW w:w="6461" w:type="dxa"/>
            <w:gridSpan w:val="7"/>
            <w:vAlign w:val="center"/>
          </w:tcPr>
          <w:p w14:paraId="7D3614A1">
            <w:pPr>
              <w:rPr>
                <w:spacing w:val="-2"/>
                <w:szCs w:val="24"/>
              </w:rPr>
            </w:pPr>
            <w:r>
              <w:rPr>
                <w:spacing w:val="-2"/>
              </w:rPr>
              <w:t>《工业企业厂界环境噪声排放标准》（GB 12348-2008）</w:t>
            </w:r>
            <w:r>
              <w:rPr>
                <w:rFonts w:hint="eastAsia"/>
                <w:spacing w:val="-2"/>
              </w:rPr>
              <w:t xml:space="preserve">表1  </w:t>
            </w:r>
            <w:r>
              <w:rPr>
                <w:spacing w:val="-2"/>
              </w:rPr>
              <w:t>3类标准</w:t>
            </w:r>
          </w:p>
        </w:tc>
      </w:tr>
      <w:tr w14:paraId="044C05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5" w:type="dxa"/>
            <w:vAlign w:val="center"/>
          </w:tcPr>
          <w:p w14:paraId="20DD403A">
            <w:pPr>
              <w:jc w:val="center"/>
              <w:rPr>
                <w:szCs w:val="24"/>
              </w:rPr>
            </w:pPr>
            <w:r>
              <w:rPr>
                <w:rFonts w:hint="eastAsia"/>
                <w:szCs w:val="24"/>
              </w:rPr>
              <w:t>监测结论</w:t>
            </w:r>
          </w:p>
        </w:tc>
        <w:tc>
          <w:tcPr>
            <w:tcW w:w="6461" w:type="dxa"/>
            <w:gridSpan w:val="7"/>
            <w:vAlign w:val="center"/>
          </w:tcPr>
          <w:p w14:paraId="62F5A1C6">
            <w:pPr>
              <w:rPr>
                <w:szCs w:val="24"/>
              </w:rPr>
            </w:pPr>
            <w:r>
              <w:rPr>
                <w:rFonts w:hint="eastAsia"/>
              </w:rPr>
              <w:t>本次监测C</w:t>
            </w:r>
            <w:r>
              <w:t>1</w:t>
            </w:r>
            <w:r>
              <w:rPr>
                <w:rFonts w:hint="eastAsia"/>
              </w:rPr>
              <w:t>、</w:t>
            </w:r>
            <w:r>
              <w:t>C2</w:t>
            </w:r>
            <w:r>
              <w:rPr>
                <w:rFonts w:hint="eastAsia"/>
              </w:rPr>
              <w:t>、</w:t>
            </w:r>
            <w:r>
              <w:t>C3</w:t>
            </w:r>
            <w:r>
              <w:rPr>
                <w:rFonts w:hint="eastAsia"/>
              </w:rPr>
              <w:t>、</w:t>
            </w:r>
            <w:r>
              <w:t>C4</w:t>
            </w:r>
            <w:r>
              <w:rPr>
                <w:rFonts w:hint="eastAsia"/>
              </w:rPr>
              <w:t>点位：昼间、夜间厂界噪声均达标</w:t>
            </w:r>
          </w:p>
        </w:tc>
      </w:tr>
      <w:tr w14:paraId="4254D8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5" w:type="dxa"/>
            <w:vAlign w:val="center"/>
          </w:tcPr>
          <w:p w14:paraId="7374CCD7">
            <w:pPr>
              <w:jc w:val="center"/>
              <w:rPr>
                <w:szCs w:val="24"/>
              </w:rPr>
            </w:pPr>
            <w:r>
              <w:rPr>
                <w:szCs w:val="24"/>
              </w:rPr>
              <w:t>备 注</w:t>
            </w:r>
          </w:p>
        </w:tc>
        <w:tc>
          <w:tcPr>
            <w:tcW w:w="6461" w:type="dxa"/>
            <w:gridSpan w:val="7"/>
            <w:vAlign w:val="center"/>
          </w:tcPr>
          <w:p w14:paraId="62E33AD5">
            <w:pPr>
              <w:rPr>
                <w:szCs w:val="24"/>
              </w:rPr>
            </w:pPr>
            <w:r>
              <w:t>测量工况：正常生产</w:t>
            </w:r>
            <w:r>
              <w:rPr>
                <w:rFonts w:hint="eastAsia"/>
              </w:rPr>
              <w:t>；依据《环境噪声监测技术规范噪声测量值修正》（HJ 706-2014），C1、C2、C3、</w:t>
            </w:r>
            <w:r>
              <w:t>C4</w:t>
            </w:r>
            <w:r>
              <w:rPr>
                <w:rFonts w:hint="eastAsia"/>
              </w:rPr>
              <w:t>点位的噪声测量值低于噪声源排放标准限值，未进行背景噪声的测量及修正</w:t>
            </w:r>
          </w:p>
        </w:tc>
      </w:tr>
      <w:bookmarkEnd w:id="221"/>
    </w:tbl>
    <w:p w14:paraId="251B1547">
      <w:pPr>
        <w:spacing w:line="490" w:lineRule="exact"/>
        <w:ind w:firstLine="480" w:firstLineChars="200"/>
        <w:rPr>
          <w:color w:val="auto"/>
          <w:sz w:val="24"/>
          <w:szCs w:val="24"/>
        </w:rPr>
      </w:pPr>
      <w:r>
        <w:rPr>
          <w:color w:val="auto"/>
          <w:sz w:val="24"/>
          <w:szCs w:val="24"/>
        </w:rPr>
        <w:t>噪声监测结论：</w:t>
      </w:r>
      <w:bookmarkStart w:id="222" w:name="_Hlk505673870"/>
      <w:r>
        <w:rPr>
          <w:color w:val="auto"/>
          <w:sz w:val="24"/>
          <w:szCs w:val="24"/>
        </w:rPr>
        <w:t>根据检测结果可知，验收监测期间，项目厂界噪声均能满足</w:t>
      </w:r>
      <w:r>
        <w:rPr>
          <w:rFonts w:hint="eastAsia"/>
          <w:color w:val="auto"/>
          <w:sz w:val="24"/>
          <w:szCs w:val="24"/>
        </w:rPr>
        <w:t>《工业企业厂界环境噪声排放标准》（GB 12348-2008）表1中</w:t>
      </w:r>
      <w:r>
        <w:rPr>
          <w:color w:val="auto"/>
          <w:sz w:val="24"/>
          <w:szCs w:val="24"/>
        </w:rPr>
        <w:t>3类标准</w:t>
      </w:r>
      <w:bookmarkEnd w:id="222"/>
      <w:r>
        <w:rPr>
          <w:color w:val="auto"/>
          <w:sz w:val="24"/>
          <w:szCs w:val="24"/>
        </w:rPr>
        <w:t>。</w:t>
      </w:r>
    </w:p>
    <w:p w14:paraId="1B0C0CF4">
      <w:pPr>
        <w:pStyle w:val="4"/>
        <w:spacing w:before="0" w:after="0" w:line="490" w:lineRule="exact"/>
        <w:rPr>
          <w:sz w:val="24"/>
          <w:szCs w:val="24"/>
        </w:rPr>
      </w:pPr>
      <w:bookmarkStart w:id="223" w:name="_Toc520988579"/>
      <w:bookmarkStart w:id="224" w:name="_Toc513475007"/>
      <w:r>
        <w:rPr>
          <w:sz w:val="24"/>
          <w:szCs w:val="24"/>
        </w:rPr>
        <w:t>9.2.2.4污染物排放总量核算</w:t>
      </w:r>
      <w:bookmarkEnd w:id="223"/>
      <w:bookmarkEnd w:id="224"/>
    </w:p>
    <w:p w14:paraId="38599D0C">
      <w:pPr>
        <w:spacing w:line="490" w:lineRule="exact"/>
        <w:ind w:firstLine="480" w:firstLineChars="200"/>
        <w:rPr>
          <w:sz w:val="24"/>
          <w:szCs w:val="24"/>
        </w:rPr>
      </w:pPr>
      <w:r>
        <w:rPr>
          <w:rFonts w:hint="eastAsia"/>
          <w:sz w:val="24"/>
          <w:szCs w:val="24"/>
        </w:rPr>
        <w:t>根据本项目已取得的排污许可证，本项目为登记管理，废气、废水均为一般排放口，无主要排放口</w:t>
      </w:r>
      <w:r>
        <w:rPr>
          <w:rFonts w:hint="eastAsia"/>
          <w:sz w:val="24"/>
          <w:szCs w:val="24"/>
          <w:lang w:eastAsia="zh-CN"/>
        </w:rPr>
        <w:t>。</w:t>
      </w:r>
      <w:r>
        <w:rPr>
          <w:sz w:val="24"/>
          <w:szCs w:val="24"/>
        </w:rPr>
        <w:t>根据监测结果，结合项目监测期间的生产工况，及运营期生产制度，计算项目各污染物排放总量。</w:t>
      </w:r>
    </w:p>
    <w:p w14:paraId="60EA95DF">
      <w:pPr>
        <w:spacing w:line="490" w:lineRule="exact"/>
        <w:ind w:firstLine="480" w:firstLineChars="200"/>
        <w:rPr>
          <w:sz w:val="24"/>
          <w:szCs w:val="24"/>
        </w:rPr>
      </w:pPr>
      <w:r>
        <w:rPr>
          <w:sz w:val="24"/>
          <w:szCs w:val="24"/>
        </w:rPr>
        <w:t>（1）废水</w:t>
      </w:r>
    </w:p>
    <w:p w14:paraId="228474EA">
      <w:pPr>
        <w:spacing w:line="490" w:lineRule="exact"/>
        <w:ind w:firstLine="480" w:firstLineChars="200"/>
        <w:rPr>
          <w:sz w:val="24"/>
          <w:szCs w:val="24"/>
        </w:rPr>
      </w:pPr>
      <w:r>
        <w:rPr>
          <w:sz w:val="24"/>
          <w:szCs w:val="24"/>
        </w:rPr>
        <w:t>环评确定的排放总量为经污水处理厂处理后排入环境的总量，</w:t>
      </w:r>
      <w:r>
        <w:rPr>
          <w:rFonts w:hint="eastAsia"/>
          <w:sz w:val="24"/>
          <w:szCs w:val="24"/>
        </w:rPr>
        <w:t>根据</w:t>
      </w:r>
      <w:r>
        <w:rPr>
          <w:rFonts w:hint="eastAsia"/>
          <w:sz w:val="24"/>
          <w:szCs w:val="24"/>
          <w:lang w:val="en-US" w:eastAsia="zh-CN"/>
        </w:rPr>
        <w:t>建设单位</w:t>
      </w:r>
      <w:r>
        <w:rPr>
          <w:rFonts w:hint="eastAsia"/>
          <w:sz w:val="24"/>
          <w:szCs w:val="24"/>
        </w:rPr>
        <w:t>提供资料，</w:t>
      </w:r>
      <w:r>
        <w:rPr>
          <w:rFonts w:hint="eastAsia"/>
          <w:sz w:val="24"/>
          <w:szCs w:val="24"/>
          <w:lang w:val="en-US" w:eastAsia="zh-CN"/>
        </w:rPr>
        <w:t>本项目实际</w:t>
      </w:r>
      <w:r>
        <w:rPr>
          <w:rFonts w:hint="eastAsia"/>
          <w:sz w:val="24"/>
          <w:szCs w:val="24"/>
        </w:rPr>
        <w:t>日排水量约为</w:t>
      </w:r>
      <w:r>
        <w:rPr>
          <w:rFonts w:hint="eastAsia"/>
          <w:sz w:val="24"/>
          <w:szCs w:val="24"/>
          <w:lang w:val="en-US" w:eastAsia="zh-CN"/>
        </w:rPr>
        <w:t>3.10</w:t>
      </w:r>
      <w:r>
        <w:rPr>
          <w:rFonts w:hint="eastAsia"/>
          <w:sz w:val="24"/>
          <w:szCs w:val="24"/>
        </w:rPr>
        <w:t>m</w:t>
      </w:r>
      <w:r>
        <w:rPr>
          <w:rFonts w:hint="eastAsia"/>
          <w:sz w:val="24"/>
          <w:szCs w:val="24"/>
          <w:vertAlign w:val="superscript"/>
        </w:rPr>
        <w:t>3</w:t>
      </w:r>
      <w:r>
        <w:rPr>
          <w:rFonts w:hint="eastAsia"/>
          <w:sz w:val="24"/>
          <w:szCs w:val="24"/>
        </w:rPr>
        <w:t>/d</w:t>
      </w:r>
      <w:r>
        <w:rPr>
          <w:sz w:val="24"/>
          <w:szCs w:val="24"/>
        </w:rPr>
        <w:t>，</w:t>
      </w:r>
      <w:r>
        <w:rPr>
          <w:rFonts w:hint="eastAsia"/>
          <w:sz w:val="24"/>
          <w:szCs w:val="24"/>
        </w:rPr>
        <w:t>污染物排放</w:t>
      </w:r>
      <w:r>
        <w:rPr>
          <w:sz w:val="24"/>
          <w:szCs w:val="24"/>
        </w:rPr>
        <w:t>量如下。</w:t>
      </w:r>
    </w:p>
    <w:p w14:paraId="4E85F3DF">
      <w:pPr>
        <w:spacing w:before="156" w:beforeLines="50"/>
        <w:jc w:val="center"/>
        <w:rPr>
          <w:b/>
          <w:sz w:val="24"/>
          <w:szCs w:val="21"/>
        </w:rPr>
      </w:pPr>
      <w:r>
        <w:rPr>
          <w:b/>
          <w:sz w:val="24"/>
          <w:szCs w:val="21"/>
        </w:rPr>
        <w:t>表9-</w:t>
      </w:r>
      <w:r>
        <w:rPr>
          <w:rFonts w:hint="eastAsia"/>
          <w:b/>
          <w:sz w:val="24"/>
          <w:szCs w:val="21"/>
        </w:rPr>
        <w:t>9</w:t>
      </w:r>
      <w:r>
        <w:rPr>
          <w:b/>
          <w:sz w:val="24"/>
          <w:szCs w:val="21"/>
        </w:rPr>
        <w:t xml:space="preserve">  项目废水污染物总量指标</w:t>
      </w:r>
    </w:p>
    <w:tbl>
      <w:tblPr>
        <w:tblStyle w:val="35"/>
        <w:tblW w:w="878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52"/>
        <w:gridCol w:w="1134"/>
        <w:gridCol w:w="2835"/>
        <w:gridCol w:w="3260"/>
      </w:tblGrid>
      <w:tr w14:paraId="630EF9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1552" w:type="dxa"/>
            <w:vAlign w:val="center"/>
          </w:tcPr>
          <w:p w14:paraId="03E99B11">
            <w:pPr>
              <w:pStyle w:val="85"/>
              <w:jc w:val="center"/>
              <w:textAlignment w:val="center"/>
              <w:rPr>
                <w:rFonts w:cs="Times New Roman"/>
                <w:sz w:val="21"/>
                <w:szCs w:val="21"/>
              </w:rPr>
            </w:pPr>
            <w:r>
              <w:rPr>
                <w:rFonts w:cs="Times New Roman"/>
                <w:sz w:val="21"/>
                <w:szCs w:val="21"/>
              </w:rPr>
              <w:t>污染源</w:t>
            </w:r>
          </w:p>
        </w:tc>
        <w:tc>
          <w:tcPr>
            <w:tcW w:w="1134" w:type="dxa"/>
            <w:vAlign w:val="center"/>
          </w:tcPr>
          <w:p w14:paraId="33EE819D">
            <w:pPr>
              <w:pStyle w:val="85"/>
              <w:jc w:val="center"/>
              <w:textAlignment w:val="center"/>
              <w:rPr>
                <w:rFonts w:cs="Times New Roman"/>
                <w:sz w:val="21"/>
                <w:szCs w:val="21"/>
              </w:rPr>
            </w:pPr>
            <w:r>
              <w:rPr>
                <w:rFonts w:cs="Times New Roman"/>
                <w:sz w:val="21"/>
                <w:szCs w:val="21"/>
              </w:rPr>
              <w:t>污染因子</w:t>
            </w:r>
          </w:p>
        </w:tc>
        <w:tc>
          <w:tcPr>
            <w:tcW w:w="2835" w:type="dxa"/>
            <w:vAlign w:val="center"/>
          </w:tcPr>
          <w:p w14:paraId="5FEF44D7">
            <w:pPr>
              <w:pStyle w:val="85"/>
              <w:jc w:val="center"/>
              <w:textAlignment w:val="center"/>
              <w:rPr>
                <w:rFonts w:cs="Times New Roman"/>
                <w:sz w:val="21"/>
                <w:szCs w:val="21"/>
              </w:rPr>
            </w:pPr>
            <w:r>
              <w:rPr>
                <w:rFonts w:cs="Times New Roman"/>
                <w:sz w:val="21"/>
                <w:szCs w:val="21"/>
              </w:rPr>
              <w:t>环评阶段</w:t>
            </w:r>
            <w:r>
              <w:rPr>
                <w:rFonts w:hint="eastAsia" w:cs="Times New Roman"/>
                <w:sz w:val="21"/>
                <w:szCs w:val="21"/>
                <w:lang w:val="en-US" w:eastAsia="zh-CN"/>
              </w:rPr>
              <w:t>排入环境</w:t>
            </w:r>
            <w:r>
              <w:rPr>
                <w:rFonts w:cs="Times New Roman"/>
                <w:sz w:val="21"/>
                <w:szCs w:val="21"/>
              </w:rPr>
              <w:t>总量（t/a）</w:t>
            </w:r>
          </w:p>
        </w:tc>
        <w:tc>
          <w:tcPr>
            <w:tcW w:w="3260" w:type="dxa"/>
            <w:vAlign w:val="center"/>
          </w:tcPr>
          <w:p w14:paraId="7930E004">
            <w:pPr>
              <w:pStyle w:val="85"/>
              <w:jc w:val="center"/>
              <w:textAlignment w:val="center"/>
              <w:rPr>
                <w:rFonts w:cs="Times New Roman"/>
                <w:sz w:val="21"/>
                <w:szCs w:val="21"/>
              </w:rPr>
            </w:pPr>
            <w:r>
              <w:rPr>
                <w:rFonts w:cs="Times New Roman"/>
                <w:sz w:val="21"/>
                <w:szCs w:val="21"/>
              </w:rPr>
              <w:t>验收阶段</w:t>
            </w:r>
            <w:r>
              <w:rPr>
                <w:rFonts w:hint="eastAsia" w:cs="Times New Roman"/>
                <w:sz w:val="21"/>
                <w:szCs w:val="21"/>
                <w:lang w:val="en-US" w:eastAsia="zh-CN"/>
              </w:rPr>
              <w:t>排入环境</w:t>
            </w:r>
            <w:r>
              <w:rPr>
                <w:rFonts w:cs="Times New Roman"/>
                <w:sz w:val="21"/>
                <w:szCs w:val="21"/>
              </w:rPr>
              <w:t>总量（t/a）</w:t>
            </w:r>
          </w:p>
        </w:tc>
      </w:tr>
      <w:tr w14:paraId="2D21AF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52" w:type="dxa"/>
            <w:vMerge w:val="restart"/>
            <w:vAlign w:val="center"/>
          </w:tcPr>
          <w:p w14:paraId="48FEEFA1">
            <w:pPr>
              <w:jc w:val="center"/>
              <w:rPr>
                <w:rFonts w:hint="eastAsia" w:eastAsia="宋体"/>
                <w:szCs w:val="21"/>
                <w:lang w:val="en-US" w:eastAsia="zh-CN"/>
              </w:rPr>
            </w:pPr>
            <w:r>
              <w:rPr>
                <w:rFonts w:hint="eastAsia"/>
                <w:szCs w:val="21"/>
                <w:lang w:val="en-US" w:eastAsia="zh-CN"/>
              </w:rPr>
              <w:t>废水</w:t>
            </w:r>
          </w:p>
        </w:tc>
        <w:tc>
          <w:tcPr>
            <w:tcW w:w="1134" w:type="dxa"/>
            <w:vAlign w:val="center"/>
          </w:tcPr>
          <w:p w14:paraId="773BDF75">
            <w:pPr>
              <w:widowControl/>
              <w:jc w:val="center"/>
              <w:rPr>
                <w:szCs w:val="21"/>
              </w:rPr>
            </w:pPr>
            <w:r>
              <w:rPr>
                <w:rFonts w:hint="eastAsia"/>
              </w:rPr>
              <w:t>COD</w:t>
            </w:r>
          </w:p>
        </w:tc>
        <w:tc>
          <w:tcPr>
            <w:tcW w:w="2835" w:type="dxa"/>
            <w:vAlign w:val="center"/>
          </w:tcPr>
          <w:p w14:paraId="4EF881E4">
            <w:pPr>
              <w:jc w:val="center"/>
              <w:rPr>
                <w:rFonts w:hint="default" w:eastAsia="宋体"/>
                <w:lang w:val="en-US" w:eastAsia="zh-CN"/>
              </w:rPr>
            </w:pPr>
            <w:r>
              <w:rPr>
                <w:rFonts w:hint="eastAsia"/>
                <w:lang w:val="en-US" w:eastAsia="zh-CN"/>
              </w:rPr>
              <w:t>0.026</w:t>
            </w:r>
          </w:p>
        </w:tc>
        <w:tc>
          <w:tcPr>
            <w:tcW w:w="3260" w:type="dxa"/>
            <w:vAlign w:val="center"/>
          </w:tcPr>
          <w:p w14:paraId="2E9BE15E">
            <w:pPr>
              <w:jc w:val="center"/>
              <w:rPr>
                <w:rFonts w:hint="default" w:eastAsia="宋体"/>
                <w:lang w:val="en-US" w:eastAsia="zh-CN"/>
              </w:rPr>
            </w:pPr>
            <w:r>
              <w:rPr>
                <w:rFonts w:hint="eastAsia"/>
                <w:lang w:val="en-US" w:eastAsia="zh-CN"/>
              </w:rPr>
              <w:t>0.023</w:t>
            </w:r>
          </w:p>
        </w:tc>
      </w:tr>
      <w:tr w14:paraId="6FE204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52" w:type="dxa"/>
            <w:vMerge w:val="continue"/>
            <w:vAlign w:val="center"/>
          </w:tcPr>
          <w:p w14:paraId="75881CA7">
            <w:pPr>
              <w:jc w:val="center"/>
              <w:rPr>
                <w:szCs w:val="21"/>
              </w:rPr>
            </w:pPr>
          </w:p>
        </w:tc>
        <w:tc>
          <w:tcPr>
            <w:tcW w:w="1134" w:type="dxa"/>
            <w:shd w:val="clear" w:color="auto" w:fill="auto"/>
            <w:vAlign w:val="center"/>
          </w:tcPr>
          <w:p w14:paraId="01C02DA1">
            <w:pPr>
              <w:widowControl/>
              <w:jc w:val="center"/>
              <w:rPr>
                <w:rFonts w:ascii="Times New Roman" w:hAnsi="Times New Roman" w:eastAsia="宋体" w:cs="Times New Roman"/>
                <w:kern w:val="0"/>
                <w:sz w:val="21"/>
                <w:szCs w:val="21"/>
                <w:lang w:val="en-US" w:eastAsia="zh-CN" w:bidi="ar-SA"/>
              </w:rPr>
            </w:pPr>
            <w:r>
              <w:rPr>
                <w:rFonts w:hint="eastAsia"/>
              </w:rPr>
              <w:t>NH</w:t>
            </w:r>
            <w:r>
              <w:rPr>
                <w:rFonts w:hint="eastAsia"/>
                <w:vertAlign w:val="subscript"/>
              </w:rPr>
              <w:t>3</w:t>
            </w:r>
            <w:r>
              <w:rPr>
                <w:rFonts w:hint="eastAsia"/>
              </w:rPr>
              <w:t>-N</w:t>
            </w:r>
          </w:p>
        </w:tc>
        <w:tc>
          <w:tcPr>
            <w:tcW w:w="2835" w:type="dxa"/>
            <w:shd w:val="clear" w:color="auto" w:fill="auto"/>
            <w:vAlign w:val="center"/>
          </w:tcPr>
          <w:p w14:paraId="44A32FD0">
            <w:pPr>
              <w:jc w:val="center"/>
              <w:rPr>
                <w:rFonts w:hint="default" w:ascii="Times New Roman" w:hAnsi="Times New Roman" w:eastAsia="宋体" w:cs="Times New Roman"/>
                <w:kern w:val="2"/>
                <w:sz w:val="21"/>
                <w:szCs w:val="22"/>
                <w:lang w:val="en-US" w:eastAsia="zh-CN" w:bidi="ar-SA"/>
              </w:rPr>
            </w:pPr>
            <w:r>
              <w:rPr>
                <w:rFonts w:hint="eastAsia" w:cs="Times New Roman"/>
                <w:kern w:val="2"/>
                <w:sz w:val="21"/>
                <w:szCs w:val="22"/>
                <w:lang w:val="en-US" w:eastAsia="zh-CN" w:bidi="ar-SA"/>
              </w:rPr>
              <w:t>0.0013</w:t>
            </w:r>
          </w:p>
        </w:tc>
        <w:tc>
          <w:tcPr>
            <w:tcW w:w="3260" w:type="dxa"/>
            <w:shd w:val="clear" w:color="auto" w:fill="auto"/>
            <w:vAlign w:val="center"/>
          </w:tcPr>
          <w:p w14:paraId="436E0C7E">
            <w:pPr>
              <w:jc w:val="center"/>
              <w:rPr>
                <w:rFonts w:hint="default" w:ascii="Times New Roman" w:hAnsi="Times New Roman" w:eastAsia="宋体" w:cs="Times New Roman"/>
                <w:kern w:val="2"/>
                <w:sz w:val="21"/>
                <w:szCs w:val="22"/>
                <w:lang w:val="en-US" w:eastAsia="zh-CN" w:bidi="ar-SA"/>
              </w:rPr>
            </w:pPr>
            <w:r>
              <w:rPr>
                <w:rFonts w:hint="eastAsia" w:eastAsia="宋体" w:cs="Times New Roman"/>
                <w:kern w:val="2"/>
                <w:sz w:val="21"/>
                <w:szCs w:val="22"/>
                <w:lang w:val="en-US" w:eastAsia="zh-CN" w:bidi="ar-SA"/>
              </w:rPr>
              <w:t>0.0012</w:t>
            </w:r>
          </w:p>
        </w:tc>
      </w:tr>
      <w:tr w14:paraId="16DEAC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1552" w:type="dxa"/>
            <w:vMerge w:val="continue"/>
            <w:vAlign w:val="center"/>
          </w:tcPr>
          <w:p w14:paraId="5AF54E39">
            <w:pPr>
              <w:jc w:val="center"/>
              <w:rPr>
                <w:szCs w:val="21"/>
              </w:rPr>
            </w:pPr>
          </w:p>
        </w:tc>
        <w:tc>
          <w:tcPr>
            <w:tcW w:w="1134" w:type="dxa"/>
            <w:vAlign w:val="center"/>
          </w:tcPr>
          <w:p w14:paraId="0FC6D6DF">
            <w:pPr>
              <w:widowControl/>
              <w:jc w:val="center"/>
              <w:rPr>
                <w:rFonts w:hint="eastAsia" w:eastAsia="宋体"/>
                <w:kern w:val="0"/>
                <w:szCs w:val="21"/>
                <w:lang w:eastAsia="zh-CN"/>
              </w:rPr>
            </w:pPr>
            <w:r>
              <w:rPr>
                <w:rFonts w:hint="eastAsia"/>
                <w:lang w:val="en-US" w:eastAsia="zh-CN"/>
              </w:rPr>
              <w:t>氟化物</w:t>
            </w:r>
          </w:p>
        </w:tc>
        <w:tc>
          <w:tcPr>
            <w:tcW w:w="2835" w:type="dxa"/>
            <w:vAlign w:val="center"/>
          </w:tcPr>
          <w:p w14:paraId="5A2DEDA5">
            <w:pPr>
              <w:jc w:val="center"/>
              <w:rPr>
                <w:rFonts w:hint="default" w:eastAsia="宋体"/>
                <w:lang w:val="en-US" w:eastAsia="zh-CN"/>
              </w:rPr>
            </w:pPr>
            <w:r>
              <w:rPr>
                <w:rFonts w:hint="eastAsia"/>
                <w:lang w:val="en-US" w:eastAsia="zh-CN"/>
              </w:rPr>
              <w:t>0.004</w:t>
            </w:r>
          </w:p>
        </w:tc>
        <w:tc>
          <w:tcPr>
            <w:tcW w:w="3260" w:type="dxa"/>
            <w:vAlign w:val="center"/>
          </w:tcPr>
          <w:p w14:paraId="2F02BB78">
            <w:pPr>
              <w:jc w:val="center"/>
              <w:rPr>
                <w:rFonts w:hint="default" w:eastAsia="宋体"/>
                <w:lang w:val="en-US" w:eastAsia="zh-CN"/>
              </w:rPr>
            </w:pPr>
            <w:r>
              <w:rPr>
                <w:rFonts w:hint="eastAsia"/>
                <w:lang w:val="en-US" w:eastAsia="zh-CN"/>
              </w:rPr>
              <w:t>0.004</w:t>
            </w:r>
          </w:p>
        </w:tc>
      </w:tr>
    </w:tbl>
    <w:p w14:paraId="76B496A3">
      <w:pPr>
        <w:numPr>
          <w:ilvl w:val="0"/>
          <w:numId w:val="3"/>
        </w:numPr>
        <w:spacing w:line="490" w:lineRule="exact"/>
        <w:ind w:firstLine="480" w:firstLineChars="200"/>
        <w:rPr>
          <w:sz w:val="24"/>
          <w:szCs w:val="24"/>
        </w:rPr>
      </w:pPr>
      <w:r>
        <w:rPr>
          <w:sz w:val="24"/>
          <w:szCs w:val="24"/>
        </w:rPr>
        <w:t>废气</w:t>
      </w:r>
    </w:p>
    <w:p w14:paraId="0903D8FD">
      <w:pPr>
        <w:spacing w:line="490" w:lineRule="exact"/>
        <w:ind w:firstLine="480" w:firstLineChars="200"/>
        <w:rPr>
          <w:sz w:val="24"/>
          <w:szCs w:val="24"/>
        </w:rPr>
      </w:pPr>
      <w:r>
        <w:rPr>
          <w:sz w:val="24"/>
          <w:szCs w:val="24"/>
        </w:rPr>
        <w:t>监测期间</w:t>
      </w:r>
      <w:r>
        <w:rPr>
          <w:rFonts w:hint="eastAsia"/>
          <w:sz w:val="24"/>
          <w:szCs w:val="24"/>
          <w:lang w:eastAsia="zh-CN"/>
        </w:rPr>
        <w:t>2025年4月24日、</w:t>
      </w:r>
      <w:r>
        <w:rPr>
          <w:rFonts w:hint="eastAsia"/>
          <w:sz w:val="24"/>
          <w:szCs w:val="24"/>
          <w:lang w:val="en-US" w:eastAsia="zh-CN"/>
        </w:rPr>
        <w:t>4月25日</w:t>
      </w:r>
      <w:r>
        <w:rPr>
          <w:rFonts w:hint="eastAsia"/>
          <w:sz w:val="24"/>
          <w:szCs w:val="24"/>
        </w:rPr>
        <w:t>生产负荷</w:t>
      </w:r>
      <w:r>
        <w:rPr>
          <w:rFonts w:hint="eastAsia"/>
          <w:sz w:val="24"/>
          <w:szCs w:val="24"/>
          <w:lang w:val="en-US" w:eastAsia="zh-CN"/>
        </w:rPr>
        <w:t>均</w:t>
      </w:r>
      <w:r>
        <w:rPr>
          <w:rFonts w:hint="eastAsia"/>
          <w:sz w:val="24"/>
          <w:szCs w:val="24"/>
        </w:rPr>
        <w:t>为</w:t>
      </w:r>
      <w:r>
        <w:rPr>
          <w:rFonts w:hint="eastAsia"/>
          <w:sz w:val="24"/>
          <w:szCs w:val="24"/>
          <w:lang w:val="en-US" w:eastAsia="zh-CN"/>
        </w:rPr>
        <w:t>77</w:t>
      </w:r>
      <w:r>
        <w:rPr>
          <w:rFonts w:hint="eastAsia"/>
          <w:sz w:val="24"/>
          <w:szCs w:val="24"/>
        </w:rPr>
        <w:t>%。根据</w:t>
      </w:r>
      <w:r>
        <w:rPr>
          <w:sz w:val="24"/>
          <w:szCs w:val="24"/>
        </w:rPr>
        <w:t>实际生产情况，污染物排放量年排放量如下表。</w:t>
      </w:r>
    </w:p>
    <w:p w14:paraId="73A8196E">
      <w:pPr>
        <w:spacing w:before="156" w:beforeLines="50"/>
        <w:jc w:val="center"/>
        <w:rPr>
          <w:b/>
          <w:sz w:val="24"/>
          <w:szCs w:val="21"/>
        </w:rPr>
      </w:pPr>
      <w:r>
        <w:rPr>
          <w:b/>
          <w:sz w:val="24"/>
          <w:szCs w:val="21"/>
        </w:rPr>
        <w:t>表9-</w:t>
      </w:r>
      <w:r>
        <w:rPr>
          <w:rFonts w:hint="eastAsia"/>
          <w:b/>
          <w:sz w:val="24"/>
          <w:szCs w:val="21"/>
        </w:rPr>
        <w:t>10</w:t>
      </w:r>
      <w:r>
        <w:rPr>
          <w:b/>
          <w:sz w:val="24"/>
          <w:szCs w:val="21"/>
        </w:rPr>
        <w:t xml:space="preserve"> 项目废气污染物总量指标</w:t>
      </w:r>
    </w:p>
    <w:tbl>
      <w:tblPr>
        <w:tblStyle w:val="3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85"/>
        <w:gridCol w:w="1306"/>
        <w:gridCol w:w="2875"/>
        <w:gridCol w:w="2875"/>
      </w:tblGrid>
      <w:tr w14:paraId="518892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4" w:type="pct"/>
            <w:vAlign w:val="center"/>
          </w:tcPr>
          <w:p w14:paraId="12E481A8">
            <w:pPr>
              <w:spacing w:line="240" w:lineRule="atLeast"/>
              <w:jc w:val="center"/>
              <w:rPr>
                <w:bCs/>
                <w:szCs w:val="21"/>
              </w:rPr>
            </w:pPr>
            <w:r>
              <w:rPr>
                <w:bCs/>
                <w:szCs w:val="21"/>
              </w:rPr>
              <w:t>污染源</w:t>
            </w:r>
          </w:p>
        </w:tc>
        <w:tc>
          <w:tcPr>
            <w:tcW w:w="730" w:type="pct"/>
            <w:vAlign w:val="center"/>
          </w:tcPr>
          <w:p w14:paraId="634EC4B3">
            <w:pPr>
              <w:spacing w:line="240" w:lineRule="atLeast"/>
              <w:jc w:val="center"/>
              <w:rPr>
                <w:bCs/>
                <w:szCs w:val="21"/>
              </w:rPr>
            </w:pPr>
            <w:r>
              <w:rPr>
                <w:bCs/>
                <w:szCs w:val="21"/>
              </w:rPr>
              <w:t>污染物</w:t>
            </w:r>
          </w:p>
        </w:tc>
        <w:tc>
          <w:tcPr>
            <w:tcW w:w="1607" w:type="pct"/>
            <w:vAlign w:val="center"/>
          </w:tcPr>
          <w:p w14:paraId="10D20995">
            <w:pPr>
              <w:spacing w:line="240" w:lineRule="atLeast"/>
              <w:jc w:val="center"/>
              <w:rPr>
                <w:bCs/>
                <w:szCs w:val="21"/>
              </w:rPr>
            </w:pPr>
            <w:r>
              <w:rPr>
                <w:bCs/>
                <w:szCs w:val="21"/>
              </w:rPr>
              <w:t>环评核定排放总量t/a</w:t>
            </w:r>
          </w:p>
        </w:tc>
        <w:tc>
          <w:tcPr>
            <w:tcW w:w="1607" w:type="pct"/>
            <w:vAlign w:val="center"/>
          </w:tcPr>
          <w:p w14:paraId="38F60773">
            <w:pPr>
              <w:spacing w:line="240" w:lineRule="atLeast"/>
              <w:jc w:val="center"/>
              <w:rPr>
                <w:bCs/>
                <w:szCs w:val="21"/>
              </w:rPr>
            </w:pPr>
            <w:r>
              <w:rPr>
                <w:bCs/>
                <w:szCs w:val="21"/>
              </w:rPr>
              <w:t>实际排放总量t/a</w:t>
            </w:r>
          </w:p>
        </w:tc>
      </w:tr>
      <w:tr w14:paraId="720AA3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4" w:type="pct"/>
            <w:vMerge w:val="restart"/>
            <w:vAlign w:val="center"/>
          </w:tcPr>
          <w:p w14:paraId="7F6D1740">
            <w:pPr>
              <w:spacing w:line="240" w:lineRule="atLeast"/>
              <w:jc w:val="center"/>
              <w:rPr>
                <w:bCs/>
                <w:szCs w:val="21"/>
              </w:rPr>
            </w:pPr>
            <w:r>
              <w:rPr>
                <w:bCs/>
                <w:szCs w:val="21"/>
              </w:rPr>
              <w:t>有组织废气</w:t>
            </w:r>
          </w:p>
        </w:tc>
        <w:tc>
          <w:tcPr>
            <w:tcW w:w="730" w:type="pct"/>
            <w:vAlign w:val="center"/>
          </w:tcPr>
          <w:p w14:paraId="1721F561">
            <w:pPr>
              <w:widowControl/>
              <w:jc w:val="center"/>
              <w:rPr>
                <w:kern w:val="0"/>
              </w:rPr>
            </w:pPr>
            <w:r>
              <w:rPr>
                <w:kern w:val="0"/>
              </w:rPr>
              <w:t>非甲烷总烃</w:t>
            </w:r>
          </w:p>
        </w:tc>
        <w:tc>
          <w:tcPr>
            <w:tcW w:w="1607" w:type="pct"/>
            <w:vAlign w:val="center"/>
          </w:tcPr>
          <w:p w14:paraId="275E7D82">
            <w:pPr>
              <w:adjustRightInd w:val="0"/>
              <w:ind w:left="-105" w:leftChars="-50" w:right="-105" w:rightChars="-50"/>
              <w:jc w:val="center"/>
              <w:rPr>
                <w:rFonts w:hint="default" w:eastAsia="宋体"/>
                <w:kern w:val="0"/>
                <w:lang w:val="en-US" w:eastAsia="zh-CN"/>
              </w:rPr>
            </w:pPr>
            <w:r>
              <w:rPr>
                <w:rFonts w:hint="eastAsia"/>
                <w:kern w:val="0"/>
                <w:lang w:val="en-US" w:eastAsia="zh-CN"/>
              </w:rPr>
              <w:t>1.828</w:t>
            </w:r>
          </w:p>
        </w:tc>
        <w:tc>
          <w:tcPr>
            <w:tcW w:w="1607" w:type="pct"/>
            <w:vAlign w:val="center"/>
          </w:tcPr>
          <w:p w14:paraId="04C76F6F">
            <w:pPr>
              <w:spacing w:line="240" w:lineRule="atLeast"/>
              <w:jc w:val="center"/>
              <w:rPr>
                <w:rFonts w:hint="default" w:eastAsia="宋体"/>
                <w:bCs/>
                <w:szCs w:val="21"/>
                <w:lang w:val="en-US" w:eastAsia="zh-CN"/>
              </w:rPr>
            </w:pPr>
            <w:r>
              <w:rPr>
                <w:rFonts w:hint="eastAsia"/>
                <w:bCs/>
                <w:szCs w:val="21"/>
                <w:lang w:val="en-US" w:eastAsia="zh-CN"/>
              </w:rPr>
              <w:t>0.035</w:t>
            </w:r>
          </w:p>
        </w:tc>
      </w:tr>
      <w:tr w14:paraId="2C9C99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4" w:type="pct"/>
            <w:vMerge w:val="continue"/>
            <w:vAlign w:val="center"/>
          </w:tcPr>
          <w:p w14:paraId="1A8017EB">
            <w:pPr>
              <w:spacing w:line="240" w:lineRule="atLeast"/>
              <w:jc w:val="center"/>
              <w:rPr>
                <w:bCs/>
                <w:szCs w:val="21"/>
              </w:rPr>
            </w:pPr>
          </w:p>
        </w:tc>
        <w:tc>
          <w:tcPr>
            <w:tcW w:w="730" w:type="pct"/>
            <w:shd w:val="clear" w:color="auto" w:fill="auto"/>
            <w:vAlign w:val="center"/>
          </w:tcPr>
          <w:p w14:paraId="1998C47C">
            <w:pPr>
              <w:keepNext w:val="0"/>
              <w:keepLines w:val="0"/>
              <w:widowControl/>
              <w:suppressLineNumbers w:val="0"/>
              <w:jc w:val="center"/>
              <w:textAlignment w:val="center"/>
              <w:rPr>
                <w:rFonts w:hint="eastAsia" w:ascii="Calibri" w:hAnsi="Calibri" w:eastAsia="宋体" w:cs="Times New Roman"/>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氟化物</w:t>
            </w:r>
          </w:p>
        </w:tc>
        <w:tc>
          <w:tcPr>
            <w:tcW w:w="1607" w:type="pct"/>
            <w:vAlign w:val="center"/>
          </w:tcPr>
          <w:p w14:paraId="664AAD36">
            <w:pPr>
              <w:adjustRightInd w:val="0"/>
              <w:ind w:left="-105" w:leftChars="-50" w:right="-105" w:rightChars="-50"/>
              <w:jc w:val="center"/>
              <w:rPr>
                <w:rFonts w:hint="default" w:eastAsia="宋体"/>
                <w:kern w:val="0"/>
                <w:lang w:val="en-US" w:eastAsia="zh-CN"/>
              </w:rPr>
            </w:pPr>
            <w:r>
              <w:rPr>
                <w:rFonts w:hint="eastAsia"/>
                <w:kern w:val="0"/>
                <w:lang w:val="en-US" w:eastAsia="zh-CN"/>
              </w:rPr>
              <w:t>0.024</w:t>
            </w:r>
          </w:p>
        </w:tc>
        <w:tc>
          <w:tcPr>
            <w:tcW w:w="1607" w:type="pct"/>
            <w:vAlign w:val="center"/>
          </w:tcPr>
          <w:p w14:paraId="51C11AED">
            <w:pPr>
              <w:spacing w:line="240" w:lineRule="atLeast"/>
              <w:jc w:val="center"/>
              <w:rPr>
                <w:rFonts w:hint="default" w:eastAsia="宋体"/>
                <w:bCs/>
                <w:szCs w:val="21"/>
                <w:lang w:val="en-US" w:eastAsia="zh-CN"/>
              </w:rPr>
            </w:pPr>
            <w:r>
              <w:rPr>
                <w:rFonts w:hint="eastAsia"/>
                <w:bCs/>
                <w:szCs w:val="21"/>
                <w:lang w:val="en-US" w:eastAsia="zh-CN"/>
              </w:rPr>
              <w:t>0.017</w:t>
            </w:r>
          </w:p>
        </w:tc>
      </w:tr>
      <w:tr w14:paraId="5AA0F2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4" w:type="pct"/>
            <w:vMerge w:val="continue"/>
            <w:vAlign w:val="center"/>
          </w:tcPr>
          <w:p w14:paraId="1692D121">
            <w:pPr>
              <w:spacing w:line="240" w:lineRule="atLeast"/>
              <w:jc w:val="center"/>
              <w:rPr>
                <w:bCs/>
                <w:szCs w:val="21"/>
              </w:rPr>
            </w:pPr>
          </w:p>
        </w:tc>
        <w:tc>
          <w:tcPr>
            <w:tcW w:w="730" w:type="pct"/>
            <w:shd w:val="clear" w:color="auto" w:fill="auto"/>
            <w:vAlign w:val="center"/>
          </w:tcPr>
          <w:p w14:paraId="6534B8A2">
            <w:pPr>
              <w:keepNext w:val="0"/>
              <w:keepLines w:val="0"/>
              <w:widowControl/>
              <w:suppressLineNumbers w:val="0"/>
              <w:jc w:val="center"/>
              <w:textAlignment w:val="center"/>
              <w:rPr>
                <w:rFonts w:hint="eastAsia" w:ascii="Calibri" w:hAnsi="Calibri" w:eastAsia="宋体" w:cs="Times New Roman"/>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氯化氢</w:t>
            </w:r>
          </w:p>
        </w:tc>
        <w:tc>
          <w:tcPr>
            <w:tcW w:w="1607" w:type="pct"/>
            <w:vAlign w:val="center"/>
          </w:tcPr>
          <w:p w14:paraId="691C5D04">
            <w:pPr>
              <w:adjustRightInd w:val="0"/>
              <w:ind w:left="-105" w:leftChars="-50" w:right="-105" w:rightChars="-50"/>
              <w:jc w:val="center"/>
              <w:rPr>
                <w:rFonts w:hint="default" w:eastAsia="宋体"/>
                <w:color w:val="auto"/>
                <w:kern w:val="0"/>
                <w:lang w:val="en-US" w:eastAsia="zh-CN"/>
              </w:rPr>
            </w:pPr>
            <w:r>
              <w:rPr>
                <w:rFonts w:hint="eastAsia"/>
                <w:color w:val="auto"/>
                <w:kern w:val="0"/>
                <w:lang w:val="en-US" w:eastAsia="zh-CN"/>
              </w:rPr>
              <w:t>0.011</w:t>
            </w:r>
          </w:p>
        </w:tc>
        <w:tc>
          <w:tcPr>
            <w:tcW w:w="1607" w:type="pct"/>
            <w:vAlign w:val="center"/>
          </w:tcPr>
          <w:p w14:paraId="1CA1579D">
            <w:pPr>
              <w:spacing w:line="240" w:lineRule="atLeast"/>
              <w:jc w:val="center"/>
              <w:rPr>
                <w:rFonts w:hint="default" w:eastAsia="宋体"/>
                <w:bCs/>
                <w:color w:val="auto"/>
                <w:szCs w:val="21"/>
                <w:lang w:val="en-US" w:eastAsia="zh-CN"/>
              </w:rPr>
            </w:pPr>
            <w:r>
              <w:rPr>
                <w:rFonts w:hint="eastAsia"/>
                <w:bCs/>
                <w:color w:val="auto"/>
                <w:szCs w:val="21"/>
                <w:lang w:val="en-US" w:eastAsia="zh-CN"/>
              </w:rPr>
              <w:t>0.008</w:t>
            </w:r>
          </w:p>
        </w:tc>
      </w:tr>
      <w:tr w14:paraId="78928E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4" w:type="pct"/>
            <w:vMerge w:val="continue"/>
            <w:vAlign w:val="center"/>
          </w:tcPr>
          <w:p w14:paraId="2AEB0D53">
            <w:pPr>
              <w:spacing w:line="240" w:lineRule="atLeast"/>
              <w:jc w:val="center"/>
              <w:rPr>
                <w:bCs/>
                <w:szCs w:val="21"/>
              </w:rPr>
            </w:pPr>
          </w:p>
        </w:tc>
        <w:tc>
          <w:tcPr>
            <w:tcW w:w="730" w:type="pct"/>
            <w:shd w:val="clear" w:color="auto" w:fill="auto"/>
            <w:vAlign w:val="center"/>
          </w:tcPr>
          <w:p w14:paraId="01864B77">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硫酸雾</w:t>
            </w:r>
          </w:p>
        </w:tc>
        <w:tc>
          <w:tcPr>
            <w:tcW w:w="1607" w:type="pct"/>
            <w:vAlign w:val="center"/>
          </w:tcPr>
          <w:p w14:paraId="78122390">
            <w:pPr>
              <w:adjustRightInd w:val="0"/>
              <w:ind w:left="-105" w:leftChars="-50" w:right="-105" w:rightChars="-50"/>
              <w:jc w:val="center"/>
              <w:rPr>
                <w:rFonts w:hint="default" w:eastAsia="宋体"/>
                <w:kern w:val="0"/>
                <w:lang w:val="en-US" w:eastAsia="zh-CN"/>
              </w:rPr>
            </w:pPr>
            <w:r>
              <w:rPr>
                <w:rFonts w:hint="eastAsia"/>
                <w:kern w:val="0"/>
                <w:lang w:val="en-US" w:eastAsia="zh-CN"/>
              </w:rPr>
              <w:t>0.018</w:t>
            </w:r>
          </w:p>
        </w:tc>
        <w:tc>
          <w:tcPr>
            <w:tcW w:w="1607" w:type="pct"/>
            <w:vAlign w:val="center"/>
          </w:tcPr>
          <w:p w14:paraId="519D263D">
            <w:pPr>
              <w:spacing w:line="240" w:lineRule="atLeast"/>
              <w:jc w:val="center"/>
              <w:rPr>
                <w:rFonts w:hint="default" w:eastAsia="宋体"/>
                <w:bCs/>
                <w:szCs w:val="21"/>
                <w:lang w:val="en-US" w:eastAsia="zh-CN"/>
              </w:rPr>
            </w:pPr>
            <w:r>
              <w:rPr>
                <w:rFonts w:hint="eastAsia"/>
                <w:bCs/>
                <w:szCs w:val="21"/>
                <w:lang w:val="en-US" w:eastAsia="zh-CN"/>
              </w:rPr>
              <w:t>0.011</w:t>
            </w:r>
          </w:p>
        </w:tc>
      </w:tr>
    </w:tbl>
    <w:p w14:paraId="6817D8DB">
      <w:pPr>
        <w:spacing w:line="490" w:lineRule="exact"/>
        <w:ind w:firstLine="482"/>
        <w:rPr>
          <w:sz w:val="24"/>
        </w:rPr>
      </w:pPr>
      <w:r>
        <w:rPr>
          <w:rFonts w:hint="eastAsia"/>
          <w:sz w:val="24"/>
        </w:rPr>
        <w:t>排放总量按照环评核定量统计，</w:t>
      </w:r>
      <w:r>
        <w:rPr>
          <w:rFonts w:hint="eastAsia"/>
          <w:sz w:val="24"/>
          <w:lang w:val="en-US" w:eastAsia="zh-CN"/>
        </w:rPr>
        <w:t>其中氯化氢</w:t>
      </w:r>
      <w:r>
        <w:rPr>
          <w:rFonts w:hint="eastAsia"/>
          <w:sz w:val="24"/>
        </w:rPr>
        <w:t>未检出</w:t>
      </w:r>
      <w:r>
        <w:rPr>
          <w:rFonts w:hint="eastAsia"/>
          <w:sz w:val="24"/>
          <w:lang w:eastAsia="zh-CN"/>
        </w:rPr>
        <w:t>，</w:t>
      </w:r>
      <w:r>
        <w:rPr>
          <w:rFonts w:hint="eastAsia"/>
          <w:sz w:val="24"/>
          <w:lang w:val="en-US" w:eastAsia="zh-CN"/>
        </w:rPr>
        <w:t>按1/2检出限参与计算</w:t>
      </w:r>
      <w:r>
        <w:rPr>
          <w:rFonts w:hint="eastAsia"/>
          <w:sz w:val="24"/>
          <w:lang w:eastAsia="zh-CN"/>
        </w:rPr>
        <w:t>。</w:t>
      </w:r>
      <w:r>
        <w:rPr>
          <w:sz w:val="24"/>
        </w:rPr>
        <w:t>通过对比项目污染物排放量及环评预计排放量，项目试生产期间废水、废气均未超过项目环评中排放标准和排放量总量指标。</w:t>
      </w:r>
    </w:p>
    <w:p w14:paraId="513509EC">
      <w:pPr>
        <w:pStyle w:val="3"/>
      </w:pPr>
      <w:bookmarkStart w:id="225" w:name="_Toc5428"/>
      <w:r>
        <w:t>9.</w:t>
      </w:r>
      <w:r>
        <w:rPr>
          <w:rFonts w:hint="eastAsia"/>
        </w:rPr>
        <w:t>3工程建设对环境的影响</w:t>
      </w:r>
      <w:bookmarkEnd w:id="225"/>
    </w:p>
    <w:p w14:paraId="2B45EE75">
      <w:pPr>
        <w:spacing w:line="490" w:lineRule="exact"/>
        <w:ind w:firstLine="482"/>
        <w:rPr>
          <w:sz w:val="24"/>
        </w:rPr>
      </w:pPr>
      <w:r>
        <w:rPr>
          <w:rFonts w:hint="eastAsia"/>
          <w:sz w:val="24"/>
        </w:rPr>
        <w:t>根据《</w:t>
      </w:r>
      <w:r>
        <w:rPr>
          <w:rFonts w:hint="eastAsia"/>
          <w:sz w:val="24"/>
          <w:lang w:eastAsia="zh-CN"/>
        </w:rPr>
        <w:t>年产新型平板显示器件关键部件和材料（玻璃盖板）3840万片项目（二期工程）</w:t>
      </w:r>
      <w:r>
        <w:rPr>
          <w:rFonts w:hint="eastAsia"/>
          <w:sz w:val="24"/>
        </w:rPr>
        <w:t>环境影响报告表》、《重庆市建设项目环境影响评价文件批准书》（渝（高新）环准〔202</w:t>
      </w:r>
      <w:r>
        <w:rPr>
          <w:rFonts w:hint="eastAsia"/>
          <w:sz w:val="24"/>
          <w:lang w:val="en-US" w:eastAsia="zh-CN"/>
        </w:rPr>
        <w:t>5</w:t>
      </w:r>
      <w:r>
        <w:rPr>
          <w:rFonts w:hint="eastAsia"/>
          <w:sz w:val="24"/>
        </w:rPr>
        <w:t>〕</w:t>
      </w:r>
      <w:r>
        <w:rPr>
          <w:rFonts w:hint="eastAsia"/>
          <w:sz w:val="24"/>
          <w:lang w:val="en-US" w:eastAsia="zh-CN"/>
        </w:rPr>
        <w:t>15</w:t>
      </w:r>
      <w:r>
        <w:rPr>
          <w:rFonts w:hint="eastAsia"/>
          <w:sz w:val="24"/>
        </w:rPr>
        <w:t>号）以及验收监测报告（</w:t>
      </w:r>
      <w:r>
        <w:rPr>
          <w:sz w:val="24"/>
          <w:szCs w:val="28"/>
        </w:rPr>
        <w:t>2</w:t>
      </w:r>
      <w:r>
        <w:rPr>
          <w:rFonts w:hint="eastAsia"/>
          <w:sz w:val="24"/>
          <w:szCs w:val="28"/>
          <w:lang w:val="en-US" w:eastAsia="zh-CN"/>
        </w:rPr>
        <w:t>5</w:t>
      </w:r>
      <w:r>
        <w:rPr>
          <w:sz w:val="24"/>
          <w:szCs w:val="28"/>
        </w:rPr>
        <w:t>HY00</w:t>
      </w:r>
      <w:r>
        <w:rPr>
          <w:rFonts w:hint="eastAsia"/>
          <w:sz w:val="24"/>
          <w:szCs w:val="28"/>
          <w:lang w:val="en-US" w:eastAsia="zh-CN"/>
        </w:rPr>
        <w:t>03</w:t>
      </w:r>
      <w:r>
        <w:rPr>
          <w:rFonts w:hint="eastAsia"/>
          <w:sz w:val="24"/>
          <w:szCs w:val="28"/>
        </w:rPr>
        <w:t>、</w:t>
      </w:r>
      <w:r>
        <w:rPr>
          <w:sz w:val="24"/>
          <w:szCs w:val="28"/>
        </w:rPr>
        <w:t>2</w:t>
      </w:r>
      <w:r>
        <w:rPr>
          <w:rFonts w:hint="eastAsia"/>
          <w:sz w:val="24"/>
          <w:szCs w:val="28"/>
          <w:lang w:val="en-US" w:eastAsia="zh-CN"/>
        </w:rPr>
        <w:t>5</w:t>
      </w:r>
      <w:r>
        <w:rPr>
          <w:sz w:val="24"/>
          <w:szCs w:val="28"/>
        </w:rPr>
        <w:t>HY00</w:t>
      </w:r>
      <w:r>
        <w:rPr>
          <w:rFonts w:hint="eastAsia"/>
          <w:sz w:val="24"/>
          <w:szCs w:val="28"/>
          <w:lang w:val="en-US" w:eastAsia="zh-CN"/>
        </w:rPr>
        <w:t>04</w:t>
      </w:r>
      <w:r>
        <w:rPr>
          <w:rFonts w:hint="eastAsia"/>
          <w:sz w:val="24"/>
          <w:szCs w:val="28"/>
        </w:rPr>
        <w:t>、</w:t>
      </w:r>
      <w:r>
        <w:rPr>
          <w:rFonts w:hint="eastAsia"/>
          <w:sz w:val="24"/>
          <w:szCs w:val="28"/>
          <w:lang w:val="en-US" w:eastAsia="zh-CN"/>
        </w:rPr>
        <w:t>渝久（监）字【2025】第YS14号</w:t>
      </w:r>
      <w:r>
        <w:rPr>
          <w:rFonts w:hint="eastAsia"/>
          <w:sz w:val="24"/>
        </w:rPr>
        <w:t>）分析，本项目建设对周边环境的影响如下：</w:t>
      </w:r>
    </w:p>
    <w:p w14:paraId="659EFFF2">
      <w:pPr>
        <w:spacing w:line="490" w:lineRule="exact"/>
        <w:ind w:firstLine="480" w:firstLineChars="200"/>
        <w:rPr>
          <w:sz w:val="24"/>
        </w:rPr>
      </w:pPr>
      <w:r>
        <w:rPr>
          <w:rFonts w:hint="eastAsia"/>
          <w:sz w:val="24"/>
        </w:rPr>
        <w:t>1、废气</w:t>
      </w:r>
    </w:p>
    <w:p w14:paraId="329D54F7">
      <w:pPr>
        <w:spacing w:line="490" w:lineRule="exact"/>
        <w:ind w:firstLine="480" w:firstLineChars="200"/>
        <w:rPr>
          <w:sz w:val="24"/>
        </w:rPr>
      </w:pPr>
      <w:r>
        <w:rPr>
          <w:rFonts w:hint="eastAsia"/>
          <w:sz w:val="24"/>
          <w:lang w:val="en-US" w:eastAsia="zh-CN"/>
        </w:rPr>
        <w:t>本项目</w:t>
      </w:r>
      <w:r>
        <w:rPr>
          <w:rFonts w:hint="eastAsia"/>
          <w:sz w:val="24"/>
        </w:rPr>
        <w:t>废气主要为</w:t>
      </w:r>
      <w:r>
        <w:rPr>
          <w:rFonts w:hint="eastAsia"/>
          <w:sz w:val="24"/>
          <w:lang w:val="en-US" w:eastAsia="zh-CN"/>
        </w:rPr>
        <w:t>油墨喷涂及其后烘烤工序、光刻胶涂抹及其后烘干工序、装配工序产生的有机废气，</w:t>
      </w:r>
      <w:r>
        <w:rPr>
          <w:rFonts w:hint="eastAsia"/>
          <w:sz w:val="24"/>
        </w:rPr>
        <w:t>主要污染因子为非甲烷总烃，经二级活性炭吸附装置收集处理达标后由楼顶</w:t>
      </w:r>
      <w:r>
        <w:rPr>
          <w:rFonts w:hint="eastAsia"/>
          <w:sz w:val="24"/>
          <w:lang w:val="en-US" w:eastAsia="zh-CN"/>
        </w:rPr>
        <w:t>20</w:t>
      </w:r>
      <w:r>
        <w:rPr>
          <w:rFonts w:hint="eastAsia"/>
          <w:sz w:val="24"/>
        </w:rPr>
        <w:t xml:space="preserve"> m高排气筒</w:t>
      </w:r>
      <w:r>
        <w:rPr>
          <w:rFonts w:hint="eastAsia"/>
          <w:sz w:val="24"/>
          <w:lang w:eastAsia="zh-CN"/>
        </w:rPr>
        <w:t>（</w:t>
      </w:r>
      <w:r>
        <w:rPr>
          <w:rFonts w:hint="eastAsia"/>
          <w:sz w:val="24"/>
          <w:lang w:val="en-US" w:eastAsia="zh-CN"/>
        </w:rPr>
        <w:t>DA008</w:t>
      </w:r>
      <w:r>
        <w:rPr>
          <w:rFonts w:hint="eastAsia"/>
          <w:sz w:val="24"/>
          <w:lang w:eastAsia="zh-CN"/>
        </w:rPr>
        <w:t>）</w:t>
      </w:r>
      <w:r>
        <w:rPr>
          <w:rFonts w:hint="eastAsia"/>
          <w:sz w:val="24"/>
        </w:rPr>
        <w:t>排放；</w:t>
      </w:r>
      <w:r>
        <w:rPr>
          <w:rFonts w:hint="eastAsia"/>
          <w:sz w:val="24"/>
          <w:lang w:val="en-US" w:eastAsia="zh-CN"/>
        </w:rPr>
        <w:t>AG蚀刻线蒙砂废气、化抛废气</w:t>
      </w:r>
      <w:r>
        <w:rPr>
          <w:rFonts w:hint="eastAsia"/>
          <w:sz w:val="24"/>
        </w:rPr>
        <w:t>主要污染因子为</w:t>
      </w:r>
      <w:r>
        <w:rPr>
          <w:rFonts w:hint="eastAsia"/>
          <w:sz w:val="24"/>
          <w:lang w:val="en-US" w:eastAsia="zh-CN"/>
        </w:rPr>
        <w:t>氟化物、氯化氢、硫酸雾</w:t>
      </w:r>
      <w:r>
        <w:rPr>
          <w:rFonts w:hint="eastAsia"/>
          <w:sz w:val="24"/>
        </w:rPr>
        <w:t>，经</w:t>
      </w:r>
      <w:r>
        <w:rPr>
          <w:rFonts w:hint="eastAsia"/>
          <w:sz w:val="24"/>
          <w:lang w:val="en-US" w:eastAsia="zh-CN"/>
        </w:rPr>
        <w:t>碱液喷淋塔</w:t>
      </w:r>
      <w:r>
        <w:rPr>
          <w:rFonts w:hint="eastAsia"/>
          <w:sz w:val="24"/>
        </w:rPr>
        <w:t>收集处理达标后由楼顶</w:t>
      </w:r>
      <w:r>
        <w:rPr>
          <w:rFonts w:hint="eastAsia"/>
          <w:sz w:val="24"/>
          <w:lang w:val="en-US" w:eastAsia="zh-CN"/>
        </w:rPr>
        <w:t>20</w:t>
      </w:r>
      <w:r>
        <w:rPr>
          <w:rFonts w:hint="eastAsia"/>
          <w:sz w:val="24"/>
        </w:rPr>
        <w:t>m高排气筒</w:t>
      </w:r>
      <w:r>
        <w:rPr>
          <w:rFonts w:hint="eastAsia"/>
          <w:sz w:val="24"/>
          <w:lang w:val="en-US" w:eastAsia="zh-CN"/>
        </w:rPr>
        <w:t>（DA010）</w:t>
      </w:r>
      <w:r>
        <w:rPr>
          <w:rFonts w:hint="eastAsia"/>
          <w:sz w:val="24"/>
        </w:rPr>
        <w:t>排放；其余</w:t>
      </w:r>
      <w:r>
        <w:rPr>
          <w:rFonts w:hint="eastAsia"/>
          <w:sz w:val="24"/>
          <w:lang w:val="en-US" w:eastAsia="zh-CN"/>
        </w:rPr>
        <w:t>未被收集的废气</w:t>
      </w:r>
      <w:r>
        <w:rPr>
          <w:rFonts w:hint="eastAsia"/>
          <w:sz w:val="24"/>
        </w:rPr>
        <w:t>无组织排放。根据验收监测数据可知，各污染物排放浓度及速率满足相关排放要求，对周围环境的影响较小。</w:t>
      </w:r>
    </w:p>
    <w:p w14:paraId="62760F2F">
      <w:pPr>
        <w:spacing w:line="490" w:lineRule="exact"/>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2、废水</w:t>
      </w:r>
    </w:p>
    <w:p w14:paraId="4BAE71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rFonts w:hint="default" w:ascii="Times New Roman" w:hAnsi="Times New Roman" w:eastAsia="宋体" w:cs="Times New Roman"/>
          <w:sz w:val="24"/>
          <w:szCs w:val="24"/>
          <w:lang w:val="en-US" w:eastAsia="zh-CN"/>
        </w:rPr>
        <w:t>项目生活污水依托富士康园区分散式生化池处理达《污水综合排放标准》（GB8978-1996）三级排放标准后排入西永污水处理厂</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纯水制备浓水直接经园区污水管网排入西永污水处理厂</w:t>
      </w:r>
      <w:r>
        <w:rPr>
          <w:rFonts w:hint="eastAsia" w:ascii="Times New Roman" w:hAnsi="Times New Roman" w:eastAsia="宋体" w:cs="Times New Roman"/>
          <w:sz w:val="24"/>
          <w:szCs w:val="24"/>
          <w:lang w:val="en-US" w:eastAsia="zh-CN"/>
        </w:rPr>
        <w:t>；</w:t>
      </w:r>
      <w:r>
        <w:rPr>
          <w:rFonts w:hint="eastAsia"/>
          <w:sz w:val="24"/>
          <w:szCs w:val="24"/>
          <w:lang w:val="en-US" w:eastAsia="zh-CN"/>
        </w:rPr>
        <w:t>化抛蚀刻槽液废液、蒙砂废液收集于密闭防渗储罐，</w:t>
      </w:r>
      <w:r>
        <w:rPr>
          <w:rFonts w:hint="eastAsia"/>
          <w:sz w:val="24"/>
          <w:szCs w:val="24"/>
          <w:highlight w:val="none"/>
          <w:lang w:val="en-US" w:eastAsia="zh-CN"/>
        </w:rPr>
        <w:t>暂存于污水处理站，定</w:t>
      </w:r>
      <w:r>
        <w:rPr>
          <w:rFonts w:hint="eastAsia"/>
          <w:sz w:val="24"/>
          <w:szCs w:val="24"/>
          <w:lang w:val="en-US" w:eastAsia="zh-CN"/>
        </w:rPr>
        <w:t>期交由有资质的单位处理，其余</w:t>
      </w:r>
      <w:r>
        <w:rPr>
          <w:rFonts w:hint="default" w:ascii="Times New Roman" w:hAnsi="Times New Roman" w:eastAsia="宋体" w:cs="Times New Roman"/>
          <w:sz w:val="24"/>
          <w:szCs w:val="24"/>
          <w:lang w:val="en-US" w:eastAsia="zh-CN"/>
        </w:rPr>
        <w:t>生产废水排入厂区自建污水处理站中处理达《污水综合排放标准》（GB8978-1996）三级排放标准后排入西永污水处理厂</w:t>
      </w:r>
      <w:r>
        <w:rPr>
          <w:rFonts w:hint="eastAsia" w:ascii="Times New Roman" w:hAnsi="Times New Roman" w:eastAsia="宋体" w:cs="Times New Roman"/>
          <w:sz w:val="24"/>
          <w:szCs w:val="24"/>
          <w:lang w:val="en-US" w:eastAsia="zh-CN"/>
        </w:rPr>
        <w:t>。COD、氨氮、总磷、总氮经西永污水处理厂处理达《梁滩河流域城镇污水处理厂主要水污染物排放标准》（DB50/963-2020）表1重点控制区域标准限值，其它污染因子达《城镇污水处理厂污染物排放标准》（GB18918-2002）一级A标准后排入梁滩河，</w:t>
      </w:r>
      <w:r>
        <w:rPr>
          <w:rFonts w:hint="eastAsia"/>
          <w:sz w:val="24"/>
        </w:rPr>
        <w:t>对周边地表水环境影响较小。</w:t>
      </w:r>
    </w:p>
    <w:p w14:paraId="438E7080">
      <w:pPr>
        <w:spacing w:line="490" w:lineRule="exact"/>
        <w:ind w:firstLine="480" w:firstLineChars="200"/>
        <w:rPr>
          <w:sz w:val="24"/>
          <w:szCs w:val="24"/>
        </w:rPr>
      </w:pPr>
      <w:r>
        <w:rPr>
          <w:rFonts w:hint="eastAsia"/>
          <w:sz w:val="24"/>
          <w:szCs w:val="24"/>
        </w:rPr>
        <w:t>3、噪声</w:t>
      </w:r>
    </w:p>
    <w:p w14:paraId="714956A1">
      <w:pPr>
        <w:spacing w:line="490" w:lineRule="exact"/>
        <w:ind w:firstLine="480" w:firstLineChars="200"/>
        <w:rPr>
          <w:sz w:val="24"/>
        </w:rPr>
      </w:pPr>
      <w:r>
        <w:rPr>
          <w:rFonts w:hint="eastAsia"/>
          <w:sz w:val="24"/>
        </w:rPr>
        <w:t>本项目采取安装消声器、减振垫、基础固定等相应噪声防治措施，厂界噪声排放满足《工业企业厂界环境噪声排放标准（GB 12348-2008）3 类标准，对周边环境影响较小。</w:t>
      </w:r>
    </w:p>
    <w:p w14:paraId="4890AB9B">
      <w:pPr>
        <w:spacing w:line="490" w:lineRule="exact"/>
        <w:ind w:firstLine="480" w:firstLineChars="200"/>
        <w:rPr>
          <w:sz w:val="24"/>
          <w:szCs w:val="24"/>
        </w:rPr>
      </w:pPr>
      <w:r>
        <w:rPr>
          <w:rFonts w:hint="eastAsia"/>
          <w:sz w:val="24"/>
          <w:szCs w:val="24"/>
        </w:rPr>
        <w:t>4、固体废物</w:t>
      </w:r>
    </w:p>
    <w:p w14:paraId="22341391">
      <w:pPr>
        <w:spacing w:line="490" w:lineRule="exact"/>
        <w:ind w:firstLine="480" w:firstLineChars="200"/>
        <w:rPr>
          <w:rFonts w:cs="宋体"/>
          <w:sz w:val="24"/>
          <w:szCs w:val="24"/>
          <w:lang w:bidi="ar"/>
        </w:rPr>
      </w:pPr>
      <w:r>
        <w:rPr>
          <w:rFonts w:hint="eastAsia" w:cs="宋体"/>
          <w:sz w:val="24"/>
          <w:szCs w:val="24"/>
          <w:lang w:bidi="ar"/>
        </w:rPr>
        <w:t>本项目固废主要为生活垃圾、不合格品</w:t>
      </w:r>
      <w:r>
        <w:rPr>
          <w:rFonts w:hint="eastAsia" w:cs="宋体"/>
          <w:sz w:val="24"/>
          <w:szCs w:val="24"/>
          <w:lang w:eastAsia="zh-CN" w:bidi="ar"/>
        </w:rPr>
        <w:t>、</w:t>
      </w:r>
      <w:r>
        <w:rPr>
          <w:rFonts w:hint="eastAsia" w:ascii="Times New Roman" w:hAnsi="Times New Roman" w:eastAsia="宋体" w:cs="Times New Roman"/>
          <w:color w:val="auto"/>
          <w:sz w:val="24"/>
          <w:lang w:val="en-US" w:eastAsia="zh-CN"/>
        </w:rPr>
        <w:t>普通</w:t>
      </w:r>
      <w:r>
        <w:rPr>
          <w:rFonts w:hint="eastAsia" w:ascii="Times New Roman" w:hAnsi="Times New Roman" w:eastAsia="宋体" w:cs="Times New Roman"/>
          <w:color w:val="auto"/>
          <w:sz w:val="24"/>
        </w:rPr>
        <w:t>废包装材料</w:t>
      </w:r>
      <w:r>
        <w:rPr>
          <w:rFonts w:hint="eastAsia" w:cs="宋体"/>
          <w:sz w:val="24"/>
          <w:szCs w:val="24"/>
          <w:lang w:eastAsia="zh-CN" w:bidi="ar"/>
        </w:rPr>
        <w:t>、</w:t>
      </w:r>
      <w:r>
        <w:rPr>
          <w:rFonts w:hint="eastAsia" w:cs="宋体"/>
          <w:sz w:val="24"/>
          <w:szCs w:val="24"/>
          <w:lang w:val="en-US" w:eastAsia="zh-CN" w:bidi="ar"/>
        </w:rPr>
        <w:t>废配件</w:t>
      </w:r>
      <w:r>
        <w:rPr>
          <w:rFonts w:hint="eastAsia" w:cs="宋体"/>
          <w:sz w:val="24"/>
          <w:szCs w:val="24"/>
          <w:lang w:bidi="ar"/>
        </w:rPr>
        <w:t>等一般工业固体废物以及废保护油墨桶、</w:t>
      </w:r>
      <w:r>
        <w:rPr>
          <w:rFonts w:hint="eastAsia" w:cs="宋体"/>
          <w:sz w:val="24"/>
          <w:szCs w:val="24"/>
          <w:lang w:val="en-US" w:eastAsia="zh-CN" w:bidi="ar"/>
        </w:rPr>
        <w:t>废光刻胶桶</w:t>
      </w:r>
      <w:r>
        <w:rPr>
          <w:rFonts w:hint="eastAsia" w:cs="宋体"/>
          <w:sz w:val="24"/>
          <w:szCs w:val="24"/>
          <w:lang w:bidi="ar"/>
        </w:rPr>
        <w:t>和废活性炭等危险废物。</w:t>
      </w:r>
    </w:p>
    <w:p w14:paraId="16FE61E2">
      <w:pPr>
        <w:spacing w:line="490" w:lineRule="exact"/>
        <w:ind w:firstLine="480" w:firstLineChars="200"/>
        <w:rPr>
          <w:sz w:val="24"/>
          <w:szCs w:val="24"/>
        </w:rPr>
      </w:pPr>
      <w:r>
        <w:rPr>
          <w:rFonts w:hint="eastAsia"/>
          <w:sz w:val="24"/>
          <w:szCs w:val="24"/>
        </w:rPr>
        <w:t>厂区内设置危废暂存间，</w:t>
      </w:r>
      <w:r>
        <w:rPr>
          <w:rFonts w:hint="eastAsia"/>
          <w:sz w:val="24"/>
          <w:szCs w:val="24"/>
          <w:lang w:val="en-US" w:eastAsia="zh-CN"/>
        </w:rPr>
        <w:t>位于</w:t>
      </w:r>
      <w:r>
        <w:rPr>
          <w:rFonts w:hint="eastAsia"/>
          <w:sz w:val="24"/>
          <w:szCs w:val="24"/>
        </w:rPr>
        <w:t>B04b厂房，面积约</w:t>
      </w:r>
      <w:r>
        <w:rPr>
          <w:rFonts w:hint="eastAsia"/>
          <w:sz w:val="24"/>
          <w:szCs w:val="24"/>
          <w:lang w:val="en-US" w:eastAsia="zh-CN"/>
        </w:rPr>
        <w:t>1</w:t>
      </w:r>
      <w:r>
        <w:rPr>
          <w:rFonts w:hint="eastAsia"/>
          <w:sz w:val="24"/>
          <w:szCs w:val="24"/>
        </w:rPr>
        <w:t>00</w:t>
      </w:r>
      <w:r>
        <w:rPr>
          <w:rFonts w:hint="eastAsia"/>
          <w:sz w:val="24"/>
          <w:szCs w:val="24"/>
          <w:lang w:val="en-US" w:eastAsia="zh-CN"/>
        </w:rPr>
        <w:t>m</w:t>
      </w:r>
      <w:r>
        <w:rPr>
          <w:rFonts w:hint="eastAsia"/>
          <w:sz w:val="24"/>
          <w:szCs w:val="24"/>
          <w:vertAlign w:val="superscript"/>
          <w:lang w:val="en-US" w:eastAsia="zh-CN"/>
        </w:rPr>
        <w:t>2</w:t>
      </w:r>
      <w:r>
        <w:rPr>
          <w:rFonts w:hint="eastAsia"/>
          <w:sz w:val="24"/>
          <w:szCs w:val="24"/>
        </w:rPr>
        <w:t>，</w:t>
      </w:r>
      <w:r>
        <w:rPr>
          <w:rFonts w:hint="eastAsia"/>
          <w:sz w:val="24"/>
          <w:szCs w:val="24"/>
          <w:lang w:val="en-US" w:eastAsia="zh-CN"/>
        </w:rPr>
        <w:t>用于</w:t>
      </w:r>
      <w:r>
        <w:rPr>
          <w:rFonts w:hint="eastAsia"/>
          <w:sz w:val="24"/>
          <w:szCs w:val="24"/>
        </w:rPr>
        <w:t>暂存废保护油墨桶、</w:t>
      </w:r>
      <w:r>
        <w:rPr>
          <w:rFonts w:hint="eastAsia"/>
          <w:sz w:val="24"/>
          <w:szCs w:val="24"/>
          <w:lang w:val="en-US" w:eastAsia="zh-CN"/>
        </w:rPr>
        <w:t>废光刻胶桶</w:t>
      </w:r>
      <w:r>
        <w:rPr>
          <w:rFonts w:hint="eastAsia"/>
          <w:sz w:val="24"/>
          <w:szCs w:val="24"/>
        </w:rPr>
        <w:t>和废活性炭等，危险废物暂存间已按照《危险废物贮存污染控制标准》（GB 18597-20</w:t>
      </w:r>
      <w:r>
        <w:rPr>
          <w:sz w:val="24"/>
          <w:szCs w:val="24"/>
        </w:rPr>
        <w:t>23</w:t>
      </w:r>
      <w:r>
        <w:rPr>
          <w:rFonts w:hint="eastAsia"/>
          <w:sz w:val="24"/>
          <w:szCs w:val="24"/>
        </w:rPr>
        <w:t>）的要求进行防风、防晒、防雨、防漏、防渗、防腐等处理，危险废物分类存放，已与</w:t>
      </w:r>
      <w:r>
        <w:rPr>
          <w:rFonts w:hint="eastAsia"/>
          <w:sz w:val="24"/>
          <w:szCs w:val="24"/>
          <w:lang w:eastAsia="zh-CN"/>
        </w:rPr>
        <w:t>重庆创绿环境保护有限公司</w:t>
      </w:r>
      <w:r>
        <w:rPr>
          <w:rFonts w:hint="eastAsia"/>
          <w:sz w:val="24"/>
          <w:szCs w:val="24"/>
        </w:rPr>
        <w:t>签订处置协议；厂区内设置一般固废暂存间，</w:t>
      </w:r>
      <w:r>
        <w:rPr>
          <w:rFonts w:hint="eastAsia"/>
          <w:sz w:val="24"/>
          <w:szCs w:val="24"/>
          <w:lang w:val="en-US" w:eastAsia="zh-CN"/>
        </w:rPr>
        <w:t>位于</w:t>
      </w:r>
      <w:r>
        <w:rPr>
          <w:rFonts w:hint="eastAsia"/>
          <w:sz w:val="24"/>
          <w:szCs w:val="24"/>
        </w:rPr>
        <w:t>B04b厂房，紧邻危险废物</w:t>
      </w:r>
      <w:r>
        <w:rPr>
          <w:rFonts w:hint="eastAsia"/>
          <w:sz w:val="24"/>
          <w:szCs w:val="24"/>
          <w:lang w:val="en-US" w:eastAsia="zh-CN"/>
        </w:rPr>
        <w:t>暂存间</w:t>
      </w:r>
      <w:r>
        <w:rPr>
          <w:rFonts w:hint="eastAsia"/>
          <w:sz w:val="24"/>
          <w:szCs w:val="24"/>
        </w:rPr>
        <w:t>，建筑面积100 m</w:t>
      </w:r>
      <w:r>
        <w:rPr>
          <w:rFonts w:hint="eastAsia"/>
          <w:sz w:val="24"/>
          <w:szCs w:val="24"/>
          <w:vertAlign w:val="superscript"/>
        </w:rPr>
        <w:t>2</w:t>
      </w:r>
      <w:r>
        <w:rPr>
          <w:rFonts w:hint="eastAsia"/>
          <w:sz w:val="24"/>
          <w:szCs w:val="24"/>
        </w:rPr>
        <w:t>，暂存不合格品</w:t>
      </w:r>
      <w:r>
        <w:rPr>
          <w:rFonts w:hint="eastAsia"/>
          <w:sz w:val="24"/>
          <w:szCs w:val="24"/>
          <w:lang w:eastAsia="zh-CN"/>
        </w:rPr>
        <w:t>、</w:t>
      </w:r>
      <w:r>
        <w:rPr>
          <w:rFonts w:hint="eastAsia"/>
          <w:sz w:val="24"/>
          <w:szCs w:val="24"/>
          <w:lang w:val="en-US" w:eastAsia="zh-CN"/>
        </w:rPr>
        <w:t>普通</w:t>
      </w:r>
      <w:r>
        <w:rPr>
          <w:rFonts w:hint="eastAsia"/>
          <w:sz w:val="24"/>
          <w:szCs w:val="24"/>
        </w:rPr>
        <w:t>废包装材料</w:t>
      </w:r>
      <w:r>
        <w:rPr>
          <w:rFonts w:hint="eastAsia"/>
          <w:sz w:val="24"/>
          <w:szCs w:val="24"/>
          <w:lang w:eastAsia="zh-CN"/>
        </w:rPr>
        <w:t>、</w:t>
      </w:r>
      <w:r>
        <w:rPr>
          <w:rFonts w:hint="eastAsia"/>
          <w:sz w:val="24"/>
          <w:szCs w:val="24"/>
          <w:lang w:val="en-US" w:eastAsia="zh-CN"/>
        </w:rPr>
        <w:t>废配件</w:t>
      </w:r>
      <w:r>
        <w:rPr>
          <w:rFonts w:hint="eastAsia"/>
          <w:sz w:val="24"/>
          <w:szCs w:val="24"/>
        </w:rPr>
        <w:t>等一般工业固废，定期交物资公司回收；厂区内设置垃圾桶，收集生活垃圾，交环卫部门处理。所有固体废物均有明确去向，切实可行，不会造成二次污染。</w:t>
      </w:r>
    </w:p>
    <w:p w14:paraId="1006B1CF">
      <w:pPr>
        <w:spacing w:line="360" w:lineRule="auto"/>
        <w:ind w:firstLine="480" w:firstLineChars="200"/>
        <w:rPr>
          <w:sz w:val="24"/>
          <w:szCs w:val="24"/>
        </w:rPr>
        <w:sectPr>
          <w:footerReference r:id="rId11" w:type="default"/>
          <w:pgSz w:w="11906" w:h="16838"/>
          <w:pgMar w:top="1588" w:right="1588" w:bottom="1588" w:left="1588" w:header="851" w:footer="992" w:gutter="0"/>
          <w:cols w:space="720" w:num="1"/>
          <w:docGrid w:type="linesAndChars" w:linePitch="312" w:charSpace="0"/>
        </w:sectPr>
      </w:pPr>
    </w:p>
    <w:p w14:paraId="4206120B">
      <w:pPr>
        <w:pStyle w:val="2"/>
      </w:pPr>
      <w:bookmarkStart w:id="226" w:name="_Toc25115"/>
      <w:bookmarkStart w:id="227" w:name="_Toc520988580"/>
      <w:bookmarkStart w:id="228" w:name="_Toc513475008"/>
      <w:r>
        <w:t>10验收监测结论</w:t>
      </w:r>
      <w:bookmarkEnd w:id="226"/>
      <w:bookmarkEnd w:id="227"/>
      <w:bookmarkEnd w:id="228"/>
    </w:p>
    <w:p w14:paraId="7DEEFD3E">
      <w:pPr>
        <w:pStyle w:val="3"/>
      </w:pPr>
      <w:bookmarkStart w:id="229" w:name="_Toc520988581"/>
      <w:bookmarkStart w:id="230" w:name="_Toc501378807"/>
      <w:bookmarkStart w:id="231" w:name="_Toc513475009"/>
      <w:bookmarkStart w:id="232" w:name="_Toc8065"/>
      <w:r>
        <w:t>10.1结论</w:t>
      </w:r>
      <w:bookmarkEnd w:id="229"/>
      <w:bookmarkEnd w:id="230"/>
      <w:bookmarkEnd w:id="231"/>
      <w:bookmarkEnd w:id="232"/>
    </w:p>
    <w:p w14:paraId="54763E24">
      <w:pPr>
        <w:pStyle w:val="4"/>
        <w:spacing w:before="0" w:after="0" w:line="490" w:lineRule="exact"/>
        <w:rPr>
          <w:sz w:val="24"/>
          <w:szCs w:val="24"/>
        </w:rPr>
      </w:pPr>
      <w:bookmarkStart w:id="233" w:name="_Toc501378808"/>
      <w:bookmarkStart w:id="234" w:name="_Toc513475010"/>
      <w:r>
        <w:rPr>
          <w:sz w:val="24"/>
          <w:szCs w:val="24"/>
        </w:rPr>
        <w:t>10.1.1项目建设概况</w:t>
      </w:r>
      <w:bookmarkEnd w:id="233"/>
      <w:bookmarkEnd w:id="234"/>
    </w:p>
    <w:p w14:paraId="5A646CFD">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snapToGrid w:val="0"/>
          <w:kern w:val="0"/>
          <w:sz w:val="24"/>
        </w:rPr>
      </w:pPr>
      <w:r>
        <w:rPr>
          <w:rFonts w:hint="eastAsia"/>
          <w:color w:val="auto"/>
          <w:sz w:val="24"/>
          <w:szCs w:val="24"/>
        </w:rPr>
        <w:t>重庆京东方晶远科技有限公司</w:t>
      </w:r>
      <w:r>
        <w:rPr>
          <w:rFonts w:hint="eastAsia"/>
          <w:color w:val="auto"/>
          <w:sz w:val="24"/>
          <w:szCs w:val="24"/>
          <w:lang w:val="en-US" w:eastAsia="zh-CN"/>
        </w:rPr>
        <w:t>现已</w:t>
      </w:r>
      <w:r>
        <w:rPr>
          <w:rFonts w:hint="eastAsia"/>
          <w:color w:val="auto"/>
          <w:sz w:val="24"/>
          <w:szCs w:val="24"/>
        </w:rPr>
        <w:t>租用高新区西永街道西景大道1号</w:t>
      </w:r>
      <w:r>
        <w:rPr>
          <w:color w:val="auto"/>
          <w:sz w:val="24"/>
          <w:szCs w:val="24"/>
        </w:rPr>
        <w:t>B01号楼、B02号楼、</w:t>
      </w:r>
      <w:r>
        <w:rPr>
          <w:rFonts w:hint="eastAsia"/>
          <w:color w:val="auto"/>
          <w:sz w:val="24"/>
          <w:szCs w:val="24"/>
          <w:lang w:val="en-US" w:eastAsia="zh-CN"/>
        </w:rPr>
        <w:t>B03号楼、</w:t>
      </w:r>
      <w:r>
        <w:rPr>
          <w:color w:val="auto"/>
          <w:sz w:val="24"/>
          <w:szCs w:val="24"/>
        </w:rPr>
        <w:t>B21号楼</w:t>
      </w:r>
      <w:r>
        <w:rPr>
          <w:rFonts w:hint="eastAsia"/>
          <w:color w:val="auto"/>
          <w:sz w:val="24"/>
          <w:szCs w:val="24"/>
        </w:rPr>
        <w:t>、B04b</w:t>
      </w:r>
      <w:r>
        <w:rPr>
          <w:color w:val="auto"/>
          <w:sz w:val="24"/>
          <w:szCs w:val="24"/>
        </w:rPr>
        <w:t>号楼</w:t>
      </w:r>
      <w:r>
        <w:rPr>
          <w:rFonts w:hint="eastAsia"/>
          <w:color w:val="auto"/>
          <w:sz w:val="24"/>
          <w:szCs w:val="24"/>
        </w:rPr>
        <w:t>闲置厂房，总建筑面积104265</w:t>
      </w:r>
      <w:r>
        <w:rPr>
          <w:rFonts w:hint="eastAsia"/>
          <w:color w:val="auto"/>
          <w:sz w:val="24"/>
          <w:szCs w:val="24"/>
          <w:lang w:val="en-US" w:eastAsia="zh-CN"/>
        </w:rPr>
        <w:t>m</w:t>
      </w:r>
      <w:r>
        <w:rPr>
          <w:rFonts w:hint="eastAsia"/>
          <w:color w:val="auto"/>
          <w:sz w:val="24"/>
          <w:szCs w:val="24"/>
          <w:vertAlign w:val="superscript"/>
          <w:lang w:val="en-US" w:eastAsia="zh-CN"/>
        </w:rPr>
        <w:t>2</w:t>
      </w:r>
      <w:r>
        <w:rPr>
          <w:rFonts w:hint="eastAsia"/>
          <w:color w:val="auto"/>
          <w:sz w:val="24"/>
          <w:szCs w:val="24"/>
        </w:rPr>
        <w:t>，购置手机玻璃盖板国产设备抛光机、移印机、清洗设备、车载玻璃盖板国产设备等，</w:t>
      </w:r>
      <w:r>
        <w:rPr>
          <w:rFonts w:hint="eastAsia"/>
          <w:color w:val="auto"/>
          <w:sz w:val="24"/>
          <w:szCs w:val="24"/>
          <w:lang w:val="en-US" w:eastAsia="zh-CN"/>
        </w:rPr>
        <w:t>建设</w:t>
      </w:r>
      <w:r>
        <w:rPr>
          <w:rFonts w:hint="eastAsia"/>
          <w:color w:val="auto"/>
          <w:sz w:val="24"/>
          <w:szCs w:val="24"/>
        </w:rPr>
        <w:t>微晶手机玻璃盖板生产线及车载玻璃盖板生产线，</w:t>
      </w:r>
      <w:r>
        <w:rPr>
          <w:rFonts w:hint="eastAsia"/>
          <w:color w:val="auto"/>
          <w:sz w:val="24"/>
          <w:szCs w:val="24"/>
          <w:lang w:val="en-US" w:eastAsia="zh-CN"/>
        </w:rPr>
        <w:t>原备案生产规模为形成年产微晶手机玻璃盖板3600万片、手机玻璃后盖800万片及车载玻璃盖板240万片的生产能力，其中年产微晶手机玻璃盖板3600万片和车载玻璃盖板240万片的生产能力已通过</w:t>
      </w:r>
      <w:r>
        <w:rPr>
          <w:bCs/>
          <w:color w:val="auto"/>
          <w:sz w:val="24"/>
        </w:rPr>
        <w:t>《</w:t>
      </w:r>
      <w:r>
        <w:rPr>
          <w:rFonts w:hint="eastAsia"/>
          <w:bCs/>
          <w:color w:val="auto"/>
          <w:sz w:val="24"/>
        </w:rPr>
        <w:t>年产新型平板显示器件关键部件和材料（玻璃盖板）</w:t>
      </w:r>
      <w:r>
        <w:rPr>
          <w:bCs/>
          <w:color w:val="auto"/>
          <w:sz w:val="24"/>
        </w:rPr>
        <w:t>3840</w:t>
      </w:r>
      <w:r>
        <w:rPr>
          <w:rFonts w:hint="eastAsia"/>
          <w:bCs/>
          <w:color w:val="auto"/>
          <w:sz w:val="24"/>
        </w:rPr>
        <w:t>万片项目环境影响报告表</w:t>
      </w:r>
      <w:r>
        <w:rPr>
          <w:bCs/>
          <w:color w:val="auto"/>
          <w:sz w:val="24"/>
        </w:rPr>
        <w:t>》</w:t>
      </w:r>
      <w:r>
        <w:rPr>
          <w:rFonts w:hint="eastAsia"/>
          <w:bCs/>
          <w:color w:val="auto"/>
          <w:sz w:val="24"/>
          <w:lang w:val="en-US" w:eastAsia="zh-CN"/>
        </w:rPr>
        <w:t>进行评价并取得批复和完成了一阶段的验收</w:t>
      </w:r>
      <w:r>
        <w:rPr>
          <w:rFonts w:hint="eastAsia"/>
          <w:color w:val="auto"/>
          <w:sz w:val="24"/>
          <w:szCs w:val="24"/>
          <w:lang w:val="en-US" w:eastAsia="zh-CN"/>
        </w:rPr>
        <w:t>，由于企业建设规划，其中800万片手机玻璃后盖半成品玻璃为原有项目3D手机玻璃，其组装生产线因生产规划未纳入该环评进行评价。根据市场需求，2025年3月，重庆京东方晶远科技有限公司在已租用的B01、B03厂房，建设手机后盖玻璃AG蚀刻生产线，并配套建设5条组装线，对原有项目B01厂房中生产的800万件手机玻璃后盖进行延伸加工，实施“年产新型平板显示器件关键部件和材料（玻璃盖板）3840万片项目（二期工程）”</w:t>
      </w:r>
      <w:r>
        <w:rPr>
          <w:rFonts w:hint="eastAsia"/>
          <w:snapToGrid w:val="0"/>
          <w:kern w:val="0"/>
          <w:sz w:val="24"/>
          <w:lang w:val="en-US" w:eastAsia="zh-CN"/>
        </w:rPr>
        <w:t>。</w:t>
      </w:r>
    </w:p>
    <w:p w14:paraId="7818A384">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outlineLvl w:val="1"/>
        <w:rPr>
          <w:rFonts w:hint="eastAsia"/>
          <w:bCs/>
          <w:color w:val="auto"/>
          <w:sz w:val="24"/>
        </w:rPr>
      </w:pPr>
      <w:bookmarkStart w:id="235" w:name="_Toc30059"/>
      <w:bookmarkStart w:id="236" w:name="_Toc513475011"/>
      <w:bookmarkStart w:id="237" w:name="_Toc501378809"/>
      <w:r>
        <w:rPr>
          <w:bCs/>
          <w:color w:val="auto"/>
          <w:sz w:val="24"/>
        </w:rPr>
        <w:t>20</w:t>
      </w:r>
      <w:r>
        <w:rPr>
          <w:rFonts w:hint="eastAsia"/>
          <w:bCs/>
          <w:color w:val="auto"/>
          <w:sz w:val="24"/>
        </w:rPr>
        <w:t>24</w:t>
      </w:r>
      <w:r>
        <w:rPr>
          <w:bCs/>
          <w:color w:val="auto"/>
          <w:sz w:val="24"/>
        </w:rPr>
        <w:t>年</w:t>
      </w:r>
      <w:r>
        <w:rPr>
          <w:rFonts w:hint="eastAsia"/>
          <w:bCs/>
          <w:color w:val="auto"/>
          <w:sz w:val="24"/>
        </w:rPr>
        <w:t>5</w:t>
      </w:r>
      <w:r>
        <w:rPr>
          <w:bCs/>
          <w:color w:val="auto"/>
          <w:sz w:val="24"/>
        </w:rPr>
        <w:t>月，</w:t>
      </w:r>
      <w:r>
        <w:rPr>
          <w:rFonts w:hint="eastAsia"/>
          <w:bCs/>
          <w:color w:val="auto"/>
          <w:sz w:val="24"/>
        </w:rPr>
        <w:t>重庆京东方晶远科技有限公司</w:t>
      </w:r>
      <w:r>
        <w:rPr>
          <w:bCs/>
          <w:color w:val="auto"/>
          <w:sz w:val="24"/>
        </w:rPr>
        <w:t>委托</w:t>
      </w:r>
      <w:r>
        <w:rPr>
          <w:rFonts w:hint="eastAsia"/>
          <w:bCs/>
          <w:color w:val="auto"/>
          <w:sz w:val="24"/>
        </w:rPr>
        <w:t>重庆至恒环保技术有限公司</w:t>
      </w:r>
      <w:r>
        <w:rPr>
          <w:bCs/>
          <w:color w:val="auto"/>
          <w:sz w:val="24"/>
        </w:rPr>
        <w:t>编制完成了《</w:t>
      </w:r>
      <w:r>
        <w:rPr>
          <w:rFonts w:hint="eastAsia"/>
          <w:bCs/>
          <w:color w:val="auto"/>
          <w:sz w:val="24"/>
        </w:rPr>
        <w:t>年产新型平板显示器件关键部件和材料（玻璃盖板）</w:t>
      </w:r>
      <w:r>
        <w:rPr>
          <w:bCs/>
          <w:color w:val="auto"/>
          <w:sz w:val="24"/>
        </w:rPr>
        <w:t>3840</w:t>
      </w:r>
      <w:r>
        <w:rPr>
          <w:rFonts w:hint="eastAsia"/>
          <w:bCs/>
          <w:color w:val="auto"/>
          <w:sz w:val="24"/>
        </w:rPr>
        <w:t>万片项目环境影响报告表</w:t>
      </w:r>
      <w:r>
        <w:rPr>
          <w:bCs/>
          <w:color w:val="auto"/>
          <w:sz w:val="24"/>
        </w:rPr>
        <w:t>》，并于20</w:t>
      </w:r>
      <w:r>
        <w:rPr>
          <w:rFonts w:hint="eastAsia"/>
          <w:bCs/>
          <w:color w:val="auto"/>
          <w:sz w:val="24"/>
        </w:rPr>
        <w:t>24</w:t>
      </w:r>
      <w:r>
        <w:rPr>
          <w:bCs/>
          <w:color w:val="auto"/>
          <w:sz w:val="24"/>
        </w:rPr>
        <w:t>年</w:t>
      </w:r>
      <w:r>
        <w:rPr>
          <w:rFonts w:hint="eastAsia"/>
          <w:bCs/>
          <w:color w:val="auto"/>
          <w:sz w:val="24"/>
        </w:rPr>
        <w:t>5</w:t>
      </w:r>
      <w:r>
        <w:rPr>
          <w:bCs/>
          <w:color w:val="auto"/>
          <w:sz w:val="24"/>
        </w:rPr>
        <w:t>月1</w:t>
      </w:r>
      <w:r>
        <w:rPr>
          <w:rFonts w:hint="eastAsia"/>
          <w:bCs/>
          <w:color w:val="auto"/>
          <w:sz w:val="24"/>
        </w:rPr>
        <w:t>1</w:t>
      </w:r>
      <w:r>
        <w:rPr>
          <w:bCs/>
          <w:color w:val="auto"/>
          <w:sz w:val="24"/>
        </w:rPr>
        <w:t>日，取得</w:t>
      </w:r>
      <w:r>
        <w:rPr>
          <w:rFonts w:hint="eastAsia"/>
          <w:bCs/>
          <w:color w:val="auto"/>
          <w:sz w:val="24"/>
        </w:rPr>
        <w:t>重庆高新区生态环境局</w:t>
      </w:r>
      <w:r>
        <w:rPr>
          <w:bCs/>
          <w:color w:val="auto"/>
          <w:sz w:val="24"/>
        </w:rPr>
        <w:t>下发的《重庆市建设项目环境影响评价文件批准书》（</w:t>
      </w:r>
      <w:r>
        <w:rPr>
          <w:rFonts w:hint="eastAsia"/>
          <w:bCs/>
          <w:color w:val="auto"/>
          <w:sz w:val="24"/>
        </w:rPr>
        <w:t>渝（高新）环准〔2024〕60号</w:t>
      </w:r>
      <w:r>
        <w:rPr>
          <w:bCs/>
          <w:color w:val="auto"/>
          <w:sz w:val="24"/>
        </w:rPr>
        <w:t>）。</w:t>
      </w:r>
      <w:r>
        <w:rPr>
          <w:rFonts w:hint="eastAsia"/>
          <w:bCs/>
          <w:color w:val="auto"/>
          <w:sz w:val="24"/>
        </w:rPr>
        <w:t>批复的建设内容及建设规模为：租用高新区西永街道西景大道1号B01号楼、B02号楼、B21号楼、B04b号楼闲置厂房，总建筑面积104265</w:t>
      </w:r>
      <w:r>
        <w:rPr>
          <w:rFonts w:hint="eastAsia"/>
          <w:bCs/>
          <w:color w:val="auto"/>
          <w:sz w:val="24"/>
          <w:lang w:val="en-US" w:eastAsia="zh-CN"/>
        </w:rPr>
        <w:t>m</w:t>
      </w:r>
      <w:r>
        <w:rPr>
          <w:rFonts w:hint="eastAsia"/>
          <w:bCs/>
          <w:color w:val="auto"/>
          <w:sz w:val="24"/>
          <w:vertAlign w:val="superscript"/>
          <w:lang w:val="en-US" w:eastAsia="zh-CN"/>
        </w:rPr>
        <w:t>2</w:t>
      </w:r>
      <w:r>
        <w:rPr>
          <w:rFonts w:hint="eastAsia"/>
          <w:bCs/>
          <w:color w:val="auto"/>
          <w:sz w:val="24"/>
        </w:rPr>
        <w:t>，购置手机玻璃盖板国产设备抛光机、移印机、清洗设备、车载玻璃盖板国产设备等，新建微晶手机玻璃盖板生产线及车载玻璃盖板生产线，形成年产微晶手机玻璃盖板3600万片及车载玻璃盖板240万片的生产能力。</w:t>
      </w:r>
      <w:bookmarkEnd w:id="235"/>
    </w:p>
    <w:p w14:paraId="02E4F005">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outlineLvl w:val="1"/>
        <w:rPr>
          <w:rFonts w:hint="eastAsia" w:ascii="Times New Roman" w:hAnsi="Times New Roman" w:eastAsia="宋体" w:cs="Times New Roman"/>
          <w:bCs/>
          <w:color w:val="auto"/>
          <w:sz w:val="24"/>
        </w:rPr>
      </w:pPr>
      <w:bookmarkStart w:id="238" w:name="_Toc6664"/>
      <w:r>
        <w:rPr>
          <w:rFonts w:hint="eastAsia" w:ascii="Times New Roman" w:hAnsi="Times New Roman" w:eastAsia="宋体" w:cs="Times New Roman"/>
          <w:bCs/>
          <w:color w:val="auto"/>
          <w:sz w:val="24"/>
        </w:rPr>
        <w:t>2024年5月12日，</w:t>
      </w:r>
      <w:r>
        <w:rPr>
          <w:rFonts w:hint="eastAsia" w:ascii="Times New Roman" w:hAnsi="Times New Roman" w:eastAsia="宋体" w:cs="Times New Roman"/>
          <w:bCs/>
          <w:color w:val="auto"/>
          <w:sz w:val="24"/>
          <w:lang w:val="en-US" w:eastAsia="zh-CN"/>
        </w:rPr>
        <w:t>该</w:t>
      </w:r>
      <w:r>
        <w:rPr>
          <w:rFonts w:hint="eastAsia" w:ascii="Times New Roman" w:hAnsi="Times New Roman" w:eastAsia="宋体" w:cs="Times New Roman"/>
          <w:bCs/>
          <w:color w:val="auto"/>
          <w:sz w:val="24"/>
        </w:rPr>
        <w:t>项目开工建设：2024年5月23日，申请办理了固定污染源排污登记（登记编号：91500107MADAYMYH0Q001X）；2024年6月30日，</w:t>
      </w:r>
      <w:r>
        <w:rPr>
          <w:rFonts w:hint="eastAsia" w:ascii="Times New Roman" w:hAnsi="Times New Roman" w:eastAsia="宋体" w:cs="Times New Roman"/>
          <w:bCs/>
          <w:color w:val="auto"/>
          <w:sz w:val="24"/>
          <w:lang w:val="en-US" w:eastAsia="zh-CN"/>
        </w:rPr>
        <w:t>该</w:t>
      </w:r>
      <w:r>
        <w:rPr>
          <w:rFonts w:hint="eastAsia" w:ascii="Times New Roman" w:hAnsi="Times New Roman" w:eastAsia="宋体" w:cs="Times New Roman"/>
          <w:bCs/>
          <w:color w:val="auto"/>
          <w:sz w:val="24"/>
        </w:rPr>
        <w:t>项目</w:t>
      </w:r>
      <w:r>
        <w:rPr>
          <w:rFonts w:hint="eastAsia" w:ascii="Times New Roman" w:hAnsi="Times New Roman" w:eastAsia="宋体" w:cs="Times New Roman"/>
          <w:bCs/>
          <w:color w:val="auto"/>
          <w:sz w:val="24"/>
          <w:lang w:val="en-US" w:eastAsia="zh-CN"/>
        </w:rPr>
        <w:t>一阶段</w:t>
      </w:r>
      <w:r>
        <w:rPr>
          <w:rFonts w:hint="eastAsia" w:ascii="Times New Roman" w:hAnsi="Times New Roman" w:eastAsia="宋体" w:cs="Times New Roman"/>
          <w:bCs/>
          <w:color w:val="auto"/>
          <w:sz w:val="24"/>
        </w:rPr>
        <w:t>建设完成。</w:t>
      </w:r>
      <w:bookmarkEnd w:id="238"/>
    </w:p>
    <w:p w14:paraId="0BDDAB3D">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snapToGrid w:val="0"/>
          <w:kern w:val="0"/>
          <w:sz w:val="24"/>
        </w:rPr>
      </w:pPr>
      <w:r>
        <w:rPr>
          <w:rFonts w:hint="eastAsia" w:ascii="Times New Roman" w:hAnsi="Times New Roman" w:eastAsia="宋体" w:cs="Times New Roman"/>
          <w:bCs/>
          <w:color w:val="auto"/>
          <w:sz w:val="24"/>
          <w:lang w:val="en-US" w:eastAsia="zh-CN"/>
        </w:rPr>
        <w:t>该项目目前已于2024年7月按建设进度实施了分阶段验收（一阶段），形成了《</w:t>
      </w:r>
      <w:r>
        <w:rPr>
          <w:rFonts w:hint="eastAsia" w:ascii="Times New Roman" w:hAnsi="Times New Roman" w:eastAsia="宋体" w:cs="Times New Roman"/>
          <w:bCs/>
          <w:color w:val="auto"/>
          <w:sz w:val="24"/>
        </w:rPr>
        <w:t>年产新型平板显示器件关键部件和材料（玻璃盖板）3840万片项目</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一阶段</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竣工环境保护验收监测报告》并通过专家评审，主要验收内容为于租赁的B01厂房</w:t>
      </w:r>
      <w:r>
        <w:rPr>
          <w:rFonts w:hint="eastAsia" w:ascii="Times New Roman" w:hAnsi="Times New Roman" w:eastAsia="宋体" w:cs="Times New Roman"/>
          <w:bCs/>
          <w:color w:val="auto"/>
          <w:sz w:val="24"/>
        </w:rPr>
        <w:t>购置手机玻璃盖板国产设备抛光机、移印机、清洗设备等，新建微晶手机玻璃盖板生产线，形成年产微晶手机玻璃盖板3600万片的生产能力。</w:t>
      </w:r>
    </w:p>
    <w:p w14:paraId="4EC4C905">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snapToGrid w:val="0"/>
          <w:kern w:val="0"/>
          <w:sz w:val="24"/>
        </w:rPr>
      </w:pPr>
      <w:r>
        <w:rPr>
          <w:snapToGrid w:val="0"/>
          <w:kern w:val="0"/>
          <w:sz w:val="24"/>
        </w:rPr>
        <w:t>20</w:t>
      </w:r>
      <w:r>
        <w:rPr>
          <w:rFonts w:hint="eastAsia"/>
          <w:snapToGrid w:val="0"/>
          <w:kern w:val="0"/>
          <w:sz w:val="24"/>
        </w:rPr>
        <w:t>2</w:t>
      </w:r>
      <w:r>
        <w:rPr>
          <w:rFonts w:hint="eastAsia"/>
          <w:snapToGrid w:val="0"/>
          <w:kern w:val="0"/>
          <w:sz w:val="24"/>
          <w:lang w:val="en-US" w:eastAsia="zh-CN"/>
        </w:rPr>
        <w:t>5</w:t>
      </w:r>
      <w:r>
        <w:rPr>
          <w:snapToGrid w:val="0"/>
          <w:kern w:val="0"/>
          <w:sz w:val="24"/>
        </w:rPr>
        <w:t>年</w:t>
      </w:r>
      <w:r>
        <w:rPr>
          <w:rFonts w:hint="eastAsia"/>
          <w:snapToGrid w:val="0"/>
          <w:kern w:val="0"/>
          <w:sz w:val="24"/>
          <w:lang w:val="en-US" w:eastAsia="zh-CN"/>
        </w:rPr>
        <w:t>3</w:t>
      </w:r>
      <w:r>
        <w:rPr>
          <w:snapToGrid w:val="0"/>
          <w:kern w:val="0"/>
          <w:sz w:val="24"/>
        </w:rPr>
        <w:t>月，</w:t>
      </w:r>
      <w:r>
        <w:rPr>
          <w:rFonts w:hint="eastAsia"/>
          <w:snapToGrid w:val="0"/>
          <w:kern w:val="0"/>
          <w:sz w:val="24"/>
          <w:lang w:eastAsia="zh-CN"/>
        </w:rPr>
        <w:t>重庆京东方晶远科技有限公司</w:t>
      </w:r>
      <w:r>
        <w:rPr>
          <w:rFonts w:hint="eastAsia"/>
          <w:snapToGrid w:val="0"/>
          <w:kern w:val="0"/>
          <w:sz w:val="24"/>
        </w:rPr>
        <w:t>委托重庆惠能标普科技有限公司</w:t>
      </w:r>
      <w:r>
        <w:rPr>
          <w:snapToGrid w:val="0"/>
          <w:kern w:val="0"/>
          <w:sz w:val="24"/>
        </w:rPr>
        <w:t>编制完成</w:t>
      </w:r>
      <w:r>
        <w:rPr>
          <w:rFonts w:hint="eastAsia"/>
          <w:snapToGrid w:val="0"/>
          <w:kern w:val="0"/>
          <w:sz w:val="24"/>
        </w:rPr>
        <w:t>了</w:t>
      </w:r>
      <w:r>
        <w:rPr>
          <w:snapToGrid w:val="0"/>
          <w:kern w:val="0"/>
          <w:sz w:val="24"/>
        </w:rPr>
        <w:t>《</w:t>
      </w:r>
      <w:r>
        <w:rPr>
          <w:rFonts w:hint="eastAsia"/>
          <w:snapToGrid w:val="0"/>
          <w:kern w:val="0"/>
          <w:sz w:val="24"/>
          <w:lang w:eastAsia="zh-CN"/>
        </w:rPr>
        <w:t>年产新型平板显示器件关键部件和材料（玻璃盖板）3840万片项目（二期工程）</w:t>
      </w:r>
      <w:r>
        <w:rPr>
          <w:snapToGrid w:val="0"/>
          <w:kern w:val="0"/>
          <w:sz w:val="24"/>
        </w:rPr>
        <w:t>环境影响报告表》</w:t>
      </w:r>
      <w:r>
        <w:rPr>
          <w:rFonts w:hint="eastAsia"/>
          <w:snapToGrid w:val="0"/>
          <w:kern w:val="0"/>
          <w:sz w:val="24"/>
        </w:rPr>
        <w:t>。</w:t>
      </w:r>
    </w:p>
    <w:p w14:paraId="6E60A22D">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snapToGrid w:val="0"/>
          <w:kern w:val="0"/>
          <w:sz w:val="24"/>
        </w:rPr>
      </w:pPr>
      <w:r>
        <w:rPr>
          <w:snapToGrid w:val="0"/>
          <w:kern w:val="0"/>
          <w:sz w:val="24"/>
        </w:rPr>
        <w:t>202</w:t>
      </w:r>
      <w:r>
        <w:rPr>
          <w:rFonts w:hint="eastAsia"/>
          <w:snapToGrid w:val="0"/>
          <w:kern w:val="0"/>
          <w:sz w:val="24"/>
          <w:lang w:val="en-US" w:eastAsia="zh-CN"/>
        </w:rPr>
        <w:t>5</w:t>
      </w:r>
      <w:r>
        <w:rPr>
          <w:snapToGrid w:val="0"/>
          <w:kern w:val="0"/>
          <w:sz w:val="24"/>
        </w:rPr>
        <w:t>年9月8日</w:t>
      </w:r>
      <w:r>
        <w:rPr>
          <w:rFonts w:hint="eastAsia"/>
          <w:snapToGrid w:val="0"/>
          <w:kern w:val="0"/>
          <w:sz w:val="24"/>
        </w:rPr>
        <w:t>重庆高新区生态环境局出具了</w:t>
      </w:r>
      <w:r>
        <w:rPr>
          <w:snapToGrid w:val="0"/>
          <w:kern w:val="0"/>
          <w:sz w:val="24"/>
        </w:rPr>
        <w:t>《重庆市建设项目环境影响评价文件批准书》</w:t>
      </w:r>
      <w:r>
        <w:rPr>
          <w:rFonts w:hint="eastAsia"/>
          <w:snapToGrid w:val="0"/>
          <w:kern w:val="0"/>
          <w:sz w:val="24"/>
        </w:rPr>
        <w:t>（文号：</w:t>
      </w:r>
      <w:r>
        <w:rPr>
          <w:rFonts w:hint="eastAsia"/>
          <w:snapToGrid w:val="0"/>
          <w:kern w:val="0"/>
          <w:sz w:val="24"/>
          <w:highlight w:val="none"/>
        </w:rPr>
        <w:t>渝（</w:t>
      </w:r>
      <w:r>
        <w:rPr>
          <w:rFonts w:hint="eastAsia"/>
          <w:snapToGrid w:val="0"/>
          <w:kern w:val="0"/>
          <w:sz w:val="24"/>
          <w:highlight w:val="none"/>
          <w:lang w:val="en-US" w:eastAsia="zh-CN"/>
        </w:rPr>
        <w:t>高新</w:t>
      </w:r>
      <w:r>
        <w:rPr>
          <w:rFonts w:hint="eastAsia"/>
          <w:snapToGrid w:val="0"/>
          <w:kern w:val="0"/>
          <w:sz w:val="24"/>
          <w:highlight w:val="none"/>
        </w:rPr>
        <w:t>）环准〔202</w:t>
      </w:r>
      <w:r>
        <w:rPr>
          <w:rFonts w:hint="eastAsia"/>
          <w:snapToGrid w:val="0"/>
          <w:kern w:val="0"/>
          <w:sz w:val="24"/>
          <w:highlight w:val="none"/>
          <w:lang w:val="en-US" w:eastAsia="zh-CN"/>
        </w:rPr>
        <w:t>5</w:t>
      </w:r>
      <w:r>
        <w:rPr>
          <w:rFonts w:hint="eastAsia"/>
          <w:snapToGrid w:val="0"/>
          <w:kern w:val="0"/>
          <w:sz w:val="24"/>
          <w:highlight w:val="none"/>
        </w:rPr>
        <w:t>〕</w:t>
      </w:r>
      <w:r>
        <w:rPr>
          <w:rFonts w:hint="eastAsia"/>
          <w:snapToGrid w:val="0"/>
          <w:kern w:val="0"/>
          <w:sz w:val="24"/>
          <w:highlight w:val="none"/>
          <w:lang w:val="en-US" w:eastAsia="zh-CN"/>
        </w:rPr>
        <w:t>15</w:t>
      </w:r>
      <w:r>
        <w:rPr>
          <w:rFonts w:hint="eastAsia"/>
          <w:snapToGrid w:val="0"/>
          <w:kern w:val="0"/>
          <w:sz w:val="24"/>
          <w:highlight w:val="none"/>
        </w:rPr>
        <w:t>号</w:t>
      </w:r>
      <w:r>
        <w:rPr>
          <w:rFonts w:hint="eastAsia"/>
          <w:snapToGrid w:val="0"/>
          <w:kern w:val="0"/>
          <w:sz w:val="24"/>
        </w:rPr>
        <w:t>）；</w:t>
      </w:r>
    </w:p>
    <w:p w14:paraId="0C3A7EA1">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snapToGrid w:val="0"/>
          <w:kern w:val="0"/>
          <w:sz w:val="24"/>
        </w:rPr>
      </w:pPr>
      <w:r>
        <w:rPr>
          <w:rFonts w:hint="eastAsia"/>
          <w:snapToGrid w:val="0"/>
          <w:kern w:val="0"/>
          <w:sz w:val="24"/>
        </w:rPr>
        <w:t>项目于202</w:t>
      </w:r>
      <w:r>
        <w:rPr>
          <w:rFonts w:hint="eastAsia"/>
          <w:snapToGrid w:val="0"/>
          <w:kern w:val="0"/>
          <w:sz w:val="24"/>
          <w:lang w:val="en-US" w:eastAsia="zh-CN"/>
        </w:rPr>
        <w:t>5</w:t>
      </w:r>
      <w:r>
        <w:rPr>
          <w:rFonts w:hint="eastAsia"/>
          <w:snapToGrid w:val="0"/>
          <w:kern w:val="0"/>
          <w:sz w:val="24"/>
        </w:rPr>
        <w:t>年</w:t>
      </w:r>
      <w:r>
        <w:rPr>
          <w:rFonts w:hint="eastAsia"/>
          <w:snapToGrid w:val="0"/>
          <w:kern w:val="0"/>
          <w:sz w:val="24"/>
          <w:lang w:val="en-US" w:eastAsia="zh-CN"/>
        </w:rPr>
        <w:t>3</w:t>
      </w:r>
      <w:r>
        <w:rPr>
          <w:rFonts w:hint="eastAsia"/>
          <w:snapToGrid w:val="0"/>
          <w:kern w:val="0"/>
          <w:sz w:val="24"/>
        </w:rPr>
        <w:t>月开工</w:t>
      </w:r>
      <w:r>
        <w:rPr>
          <w:rFonts w:hint="eastAsia"/>
          <w:snapToGrid w:val="0"/>
          <w:kern w:val="0"/>
          <w:sz w:val="24"/>
          <w:lang w:val="en-US" w:eastAsia="zh-CN"/>
        </w:rPr>
        <w:t>并于当月</w:t>
      </w:r>
      <w:r>
        <w:rPr>
          <w:rFonts w:hint="eastAsia"/>
          <w:snapToGrid w:val="0"/>
          <w:kern w:val="0"/>
          <w:sz w:val="24"/>
        </w:rPr>
        <w:t>竣工。项目于20</w:t>
      </w:r>
      <w:r>
        <w:rPr>
          <w:snapToGrid w:val="0"/>
          <w:kern w:val="0"/>
          <w:sz w:val="24"/>
        </w:rPr>
        <w:t>2</w:t>
      </w:r>
      <w:r>
        <w:rPr>
          <w:rFonts w:hint="eastAsia"/>
          <w:snapToGrid w:val="0"/>
          <w:kern w:val="0"/>
          <w:sz w:val="24"/>
          <w:lang w:val="en-US" w:eastAsia="zh-CN"/>
        </w:rPr>
        <w:t>5</w:t>
      </w:r>
      <w:r>
        <w:rPr>
          <w:rFonts w:hint="eastAsia"/>
          <w:snapToGrid w:val="0"/>
          <w:kern w:val="0"/>
          <w:sz w:val="24"/>
        </w:rPr>
        <w:t>年</w:t>
      </w:r>
      <w:r>
        <w:rPr>
          <w:rFonts w:hint="eastAsia"/>
          <w:snapToGrid w:val="0"/>
          <w:kern w:val="0"/>
          <w:sz w:val="24"/>
          <w:lang w:val="en-US" w:eastAsia="zh-CN"/>
        </w:rPr>
        <w:t>4</w:t>
      </w:r>
      <w:r>
        <w:rPr>
          <w:rFonts w:hint="eastAsia"/>
          <w:snapToGrid w:val="0"/>
          <w:kern w:val="0"/>
          <w:sz w:val="24"/>
        </w:rPr>
        <w:t>月调试；</w:t>
      </w:r>
    </w:p>
    <w:p w14:paraId="3B1897B8">
      <w:pPr>
        <w:keepNext w:val="0"/>
        <w:keepLines w:val="0"/>
        <w:pageBreakBefore w:val="0"/>
        <w:widowControl w:val="0"/>
        <w:kinsoku/>
        <w:wordWrap/>
        <w:overflowPunct/>
        <w:topLinePunct w:val="0"/>
        <w:autoSpaceDE/>
        <w:autoSpaceDN/>
        <w:bidi w:val="0"/>
        <w:adjustRightInd/>
        <w:snapToGrid/>
        <w:spacing w:line="490" w:lineRule="exact"/>
        <w:ind w:firstLine="480" w:firstLineChars="200"/>
        <w:textAlignment w:val="auto"/>
        <w:rPr>
          <w:snapToGrid w:val="0"/>
          <w:kern w:val="0"/>
          <w:sz w:val="24"/>
        </w:rPr>
      </w:pPr>
      <w:r>
        <w:rPr>
          <w:rFonts w:hint="eastAsia"/>
          <w:snapToGrid w:val="0"/>
          <w:kern w:val="0"/>
          <w:sz w:val="24"/>
        </w:rPr>
        <w:t>202</w:t>
      </w:r>
      <w:r>
        <w:rPr>
          <w:rFonts w:hint="eastAsia"/>
          <w:snapToGrid w:val="0"/>
          <w:kern w:val="0"/>
          <w:sz w:val="24"/>
          <w:lang w:val="en-US" w:eastAsia="zh-CN"/>
        </w:rPr>
        <w:t>5</w:t>
      </w:r>
      <w:r>
        <w:rPr>
          <w:rFonts w:hint="eastAsia"/>
          <w:snapToGrid w:val="0"/>
          <w:kern w:val="0"/>
          <w:sz w:val="24"/>
        </w:rPr>
        <w:t>年</w:t>
      </w:r>
      <w:r>
        <w:rPr>
          <w:rFonts w:hint="eastAsia"/>
          <w:snapToGrid w:val="0"/>
          <w:kern w:val="0"/>
          <w:sz w:val="24"/>
          <w:lang w:val="en-US" w:eastAsia="zh-CN"/>
        </w:rPr>
        <w:t>4</w:t>
      </w:r>
      <w:r>
        <w:rPr>
          <w:rFonts w:hint="eastAsia"/>
          <w:snapToGrid w:val="0"/>
          <w:kern w:val="0"/>
          <w:sz w:val="24"/>
        </w:rPr>
        <w:t>月</w:t>
      </w:r>
      <w:r>
        <w:rPr>
          <w:rFonts w:hint="eastAsia"/>
          <w:snapToGrid w:val="0"/>
          <w:kern w:val="0"/>
          <w:sz w:val="24"/>
          <w:lang w:val="en-US" w:eastAsia="zh-CN"/>
        </w:rPr>
        <w:t>25</w:t>
      </w:r>
      <w:r>
        <w:rPr>
          <w:rFonts w:hint="eastAsia"/>
          <w:snapToGrid w:val="0"/>
          <w:kern w:val="0"/>
          <w:sz w:val="24"/>
        </w:rPr>
        <w:t>日，企业完成了排污登记变更</w:t>
      </w:r>
      <w:r>
        <w:rPr>
          <w:rFonts w:hint="eastAsia"/>
          <w:snapToGrid w:val="0"/>
          <w:kern w:val="0"/>
          <w:sz w:val="24"/>
          <w:lang w:eastAsia="zh-CN"/>
        </w:rPr>
        <w:t>（</w:t>
      </w:r>
      <w:r>
        <w:rPr>
          <w:rFonts w:hint="eastAsia"/>
          <w:snapToGrid w:val="0"/>
          <w:kern w:val="0"/>
          <w:sz w:val="24"/>
        </w:rPr>
        <w:t>登记编号：</w:t>
      </w:r>
      <w:r>
        <w:rPr>
          <w:rFonts w:hint="eastAsia"/>
          <w:snapToGrid w:val="0"/>
          <w:kern w:val="0"/>
          <w:sz w:val="24"/>
          <w:lang w:val="en-US" w:eastAsia="zh-CN"/>
        </w:rPr>
        <w:t>91500107MADAYMYH0Q001X</w:t>
      </w:r>
      <w:r>
        <w:rPr>
          <w:rFonts w:hint="eastAsia"/>
          <w:snapToGrid w:val="0"/>
          <w:kern w:val="0"/>
          <w:sz w:val="24"/>
          <w:lang w:eastAsia="zh-CN"/>
        </w:rPr>
        <w:t>）。</w:t>
      </w:r>
    </w:p>
    <w:p w14:paraId="1BFA72F0">
      <w:pPr>
        <w:pStyle w:val="4"/>
        <w:spacing w:before="0" w:after="0" w:line="490" w:lineRule="exact"/>
        <w:rPr>
          <w:sz w:val="24"/>
          <w:szCs w:val="24"/>
        </w:rPr>
      </w:pPr>
      <w:r>
        <w:rPr>
          <w:sz w:val="24"/>
          <w:szCs w:val="24"/>
        </w:rPr>
        <w:t>10.1.2环保措施落实情况</w:t>
      </w:r>
      <w:bookmarkEnd w:id="236"/>
    </w:p>
    <w:p w14:paraId="721810B0">
      <w:pPr>
        <w:numPr>
          <w:ilvl w:val="0"/>
          <w:numId w:val="4"/>
        </w:numPr>
        <w:spacing w:line="490" w:lineRule="exact"/>
        <w:ind w:firstLine="470" w:firstLineChars="196"/>
        <w:rPr>
          <w:b/>
          <w:color w:val="auto"/>
          <w:sz w:val="24"/>
        </w:rPr>
      </w:pPr>
      <w:r>
        <w:rPr>
          <w:b/>
          <w:color w:val="auto"/>
          <w:sz w:val="24"/>
        </w:rPr>
        <w:t>废气</w:t>
      </w:r>
    </w:p>
    <w:p w14:paraId="0C516101">
      <w:pPr>
        <w:spacing w:line="490" w:lineRule="exact"/>
        <w:ind w:firstLine="470" w:firstLineChars="196"/>
        <w:rPr>
          <w:sz w:val="24"/>
        </w:rPr>
      </w:pPr>
      <w:r>
        <w:rPr>
          <w:rFonts w:hint="eastAsia"/>
          <w:sz w:val="24"/>
          <w:lang w:val="en-US" w:eastAsia="zh-CN"/>
        </w:rPr>
        <w:t>本项目</w:t>
      </w:r>
      <w:r>
        <w:rPr>
          <w:rFonts w:hint="eastAsia"/>
          <w:sz w:val="24"/>
        </w:rPr>
        <w:t>废气主要为</w:t>
      </w:r>
      <w:r>
        <w:rPr>
          <w:rFonts w:hint="eastAsia"/>
          <w:sz w:val="24"/>
          <w:lang w:val="en-US" w:eastAsia="zh-CN"/>
        </w:rPr>
        <w:t>油墨喷涂及其后烘烤工序、光刻胶涂抹及其后烘干工序、装配工序产生的有机废气，</w:t>
      </w:r>
      <w:r>
        <w:rPr>
          <w:rFonts w:hint="eastAsia"/>
          <w:sz w:val="24"/>
        </w:rPr>
        <w:t>主要污染因子为非甲烷总烃，经二级活性炭吸附装置收集处理达标后由楼顶</w:t>
      </w:r>
      <w:r>
        <w:rPr>
          <w:rFonts w:hint="eastAsia"/>
          <w:sz w:val="24"/>
          <w:lang w:val="en-US" w:eastAsia="zh-CN"/>
        </w:rPr>
        <w:t>20</w:t>
      </w:r>
      <w:r>
        <w:rPr>
          <w:rFonts w:hint="eastAsia"/>
          <w:sz w:val="24"/>
        </w:rPr>
        <w:t xml:space="preserve"> m高排气筒</w:t>
      </w:r>
      <w:r>
        <w:rPr>
          <w:rFonts w:hint="eastAsia"/>
          <w:sz w:val="24"/>
          <w:lang w:eastAsia="zh-CN"/>
        </w:rPr>
        <w:t>（</w:t>
      </w:r>
      <w:r>
        <w:rPr>
          <w:rFonts w:hint="eastAsia"/>
          <w:sz w:val="24"/>
          <w:lang w:val="en-US" w:eastAsia="zh-CN"/>
        </w:rPr>
        <w:t>DA008</w:t>
      </w:r>
      <w:r>
        <w:rPr>
          <w:rFonts w:hint="eastAsia"/>
          <w:sz w:val="24"/>
          <w:lang w:eastAsia="zh-CN"/>
        </w:rPr>
        <w:t>）</w:t>
      </w:r>
      <w:r>
        <w:rPr>
          <w:rFonts w:hint="eastAsia"/>
          <w:sz w:val="24"/>
        </w:rPr>
        <w:t>排放；</w:t>
      </w:r>
      <w:r>
        <w:rPr>
          <w:rFonts w:hint="eastAsia"/>
          <w:sz w:val="24"/>
          <w:lang w:val="en-US" w:eastAsia="zh-CN"/>
        </w:rPr>
        <w:t>AG蚀刻线蒙砂废气、化抛废气</w:t>
      </w:r>
      <w:r>
        <w:rPr>
          <w:rFonts w:hint="eastAsia"/>
          <w:sz w:val="24"/>
        </w:rPr>
        <w:t>主要污染因子为</w:t>
      </w:r>
      <w:r>
        <w:rPr>
          <w:rFonts w:hint="eastAsia"/>
          <w:sz w:val="24"/>
          <w:lang w:val="en-US" w:eastAsia="zh-CN"/>
        </w:rPr>
        <w:t>氟化物、氯化氢、硫酸雾</w:t>
      </w:r>
      <w:r>
        <w:rPr>
          <w:rFonts w:hint="eastAsia"/>
          <w:sz w:val="24"/>
        </w:rPr>
        <w:t>，经</w:t>
      </w:r>
      <w:r>
        <w:rPr>
          <w:rFonts w:hint="eastAsia"/>
          <w:sz w:val="24"/>
          <w:lang w:val="en-US" w:eastAsia="zh-CN"/>
        </w:rPr>
        <w:t>碱液喷淋塔</w:t>
      </w:r>
      <w:r>
        <w:rPr>
          <w:rFonts w:hint="eastAsia"/>
          <w:sz w:val="24"/>
        </w:rPr>
        <w:t>收集处理达标后由楼顶</w:t>
      </w:r>
      <w:r>
        <w:rPr>
          <w:rFonts w:hint="eastAsia"/>
          <w:sz w:val="24"/>
          <w:lang w:val="en-US" w:eastAsia="zh-CN"/>
        </w:rPr>
        <w:t>20</w:t>
      </w:r>
      <w:r>
        <w:rPr>
          <w:rFonts w:hint="eastAsia"/>
          <w:sz w:val="24"/>
        </w:rPr>
        <w:t>m高排气筒</w:t>
      </w:r>
      <w:r>
        <w:rPr>
          <w:rFonts w:hint="eastAsia"/>
          <w:sz w:val="24"/>
          <w:lang w:val="en-US" w:eastAsia="zh-CN"/>
        </w:rPr>
        <w:t>（DA010）</w:t>
      </w:r>
      <w:r>
        <w:rPr>
          <w:rFonts w:hint="eastAsia"/>
          <w:sz w:val="24"/>
        </w:rPr>
        <w:t>排放；其余</w:t>
      </w:r>
      <w:r>
        <w:rPr>
          <w:rFonts w:hint="eastAsia"/>
          <w:sz w:val="24"/>
          <w:lang w:val="en-US" w:eastAsia="zh-CN"/>
        </w:rPr>
        <w:t>未被收集的废气</w:t>
      </w:r>
      <w:r>
        <w:rPr>
          <w:rFonts w:hint="eastAsia"/>
          <w:sz w:val="24"/>
        </w:rPr>
        <w:t>无组织排放。</w:t>
      </w:r>
    </w:p>
    <w:p w14:paraId="1A405C39">
      <w:pPr>
        <w:spacing w:line="490" w:lineRule="exact"/>
        <w:ind w:firstLine="470" w:firstLineChars="196"/>
        <w:rPr>
          <w:b/>
          <w:sz w:val="24"/>
        </w:rPr>
      </w:pPr>
      <w:r>
        <w:rPr>
          <w:b/>
          <w:sz w:val="24"/>
        </w:rPr>
        <w:t>2、废水</w:t>
      </w:r>
    </w:p>
    <w:p w14:paraId="321EB80C">
      <w:pPr>
        <w:spacing w:line="490" w:lineRule="exact"/>
        <w:ind w:firstLine="470" w:firstLineChars="196"/>
        <w:rPr>
          <w:sz w:val="24"/>
          <w:szCs w:val="24"/>
        </w:rPr>
      </w:pPr>
      <w:r>
        <w:rPr>
          <w:rFonts w:hint="eastAsia"/>
          <w:bCs/>
          <w:iCs/>
          <w:sz w:val="24"/>
          <w:szCs w:val="24"/>
          <w:lang w:val="en-US" w:eastAsia="zh-CN"/>
        </w:rPr>
        <w:t>项目生活污水依托富士康园区分散式生化池处理达《污水综合排放标准》（GB8978-1996）三级排放标准后排入西永污水处理厂；纯水制备浓水直接经园区污水管网排入西永污水处理厂；化抛蚀刻槽液废液、蒙砂废液收集于密闭防渗储罐，暂存于污水处理站，定期交由有资质的单位处理，其余生产废水排入厂区自建污水处理站中处理达《污水综合排放标准》（GB8978-1996）三级排放标准后排入西永污水处理厂。COD、氨氮、总磷、总氮经西永污水处理厂处理达《梁滩河流域城镇污水处理厂主要水污染物排放标准》（DB50/963-2020）表1重点控制区域标准限值，其它污染因子达《城镇污水处理厂污染物排放标准》（GB18918-2002）一级A标准后排入梁滩河</w:t>
      </w:r>
      <w:r>
        <w:rPr>
          <w:rFonts w:hint="eastAsia"/>
          <w:bCs/>
          <w:iCs/>
          <w:sz w:val="24"/>
          <w:szCs w:val="24"/>
        </w:rPr>
        <w:t>。</w:t>
      </w:r>
    </w:p>
    <w:p w14:paraId="5F8766D2">
      <w:pPr>
        <w:spacing w:line="490" w:lineRule="exact"/>
        <w:ind w:firstLine="470" w:firstLineChars="196"/>
        <w:rPr>
          <w:b/>
          <w:sz w:val="24"/>
        </w:rPr>
      </w:pPr>
      <w:r>
        <w:rPr>
          <w:b/>
          <w:sz w:val="24"/>
        </w:rPr>
        <w:t>3、噪声</w:t>
      </w:r>
    </w:p>
    <w:p w14:paraId="6880648C">
      <w:pPr>
        <w:spacing w:line="490" w:lineRule="exact"/>
        <w:ind w:firstLine="470" w:firstLineChars="196"/>
        <w:rPr>
          <w:sz w:val="24"/>
        </w:rPr>
      </w:pPr>
      <w:r>
        <w:rPr>
          <w:sz w:val="24"/>
        </w:rPr>
        <w:t>项目</w:t>
      </w:r>
      <w:r>
        <w:rPr>
          <w:rFonts w:hint="eastAsia"/>
          <w:sz w:val="24"/>
        </w:rPr>
        <w:t>采取安装消声器、减振垫、基础固定等相应噪声防治措施，厂界噪声排放满足《工业企业厂界环境噪声排放标准（GB 12348-2008）3 类标准，对周边环境影响较小</w:t>
      </w:r>
      <w:r>
        <w:rPr>
          <w:sz w:val="24"/>
        </w:rPr>
        <w:t>。</w:t>
      </w:r>
    </w:p>
    <w:p w14:paraId="209E3C08">
      <w:pPr>
        <w:spacing w:line="490" w:lineRule="exact"/>
        <w:ind w:firstLine="470" w:firstLineChars="196"/>
        <w:rPr>
          <w:b/>
          <w:sz w:val="24"/>
        </w:rPr>
      </w:pPr>
      <w:r>
        <w:rPr>
          <w:b/>
          <w:sz w:val="24"/>
        </w:rPr>
        <w:t>4、固废</w:t>
      </w:r>
    </w:p>
    <w:p w14:paraId="7171CB55">
      <w:pPr>
        <w:spacing w:line="490" w:lineRule="exact"/>
        <w:ind w:firstLine="480" w:firstLineChars="200"/>
        <w:rPr>
          <w:sz w:val="24"/>
          <w:szCs w:val="24"/>
        </w:rPr>
      </w:pPr>
      <w:r>
        <w:rPr>
          <w:rFonts w:hint="eastAsia"/>
          <w:sz w:val="24"/>
          <w:szCs w:val="24"/>
        </w:rPr>
        <w:t>厂区内设置危废暂存间，</w:t>
      </w:r>
      <w:r>
        <w:rPr>
          <w:rFonts w:hint="eastAsia"/>
          <w:sz w:val="24"/>
          <w:szCs w:val="24"/>
          <w:lang w:val="en-US" w:eastAsia="zh-CN"/>
        </w:rPr>
        <w:t>位于</w:t>
      </w:r>
      <w:r>
        <w:rPr>
          <w:rFonts w:hint="eastAsia"/>
          <w:sz w:val="24"/>
          <w:szCs w:val="24"/>
        </w:rPr>
        <w:t>B04b厂房，面积约</w:t>
      </w:r>
      <w:r>
        <w:rPr>
          <w:rFonts w:hint="eastAsia"/>
          <w:sz w:val="24"/>
          <w:szCs w:val="24"/>
          <w:lang w:val="en-US" w:eastAsia="zh-CN"/>
        </w:rPr>
        <w:t>1</w:t>
      </w:r>
      <w:r>
        <w:rPr>
          <w:rFonts w:hint="eastAsia"/>
          <w:sz w:val="24"/>
          <w:szCs w:val="24"/>
        </w:rPr>
        <w:t>00</w:t>
      </w:r>
      <w:r>
        <w:rPr>
          <w:rFonts w:hint="eastAsia"/>
          <w:sz w:val="24"/>
          <w:szCs w:val="24"/>
          <w:lang w:val="en-US" w:eastAsia="zh-CN"/>
        </w:rPr>
        <w:t>m</w:t>
      </w:r>
      <w:r>
        <w:rPr>
          <w:rFonts w:hint="eastAsia"/>
          <w:sz w:val="24"/>
          <w:szCs w:val="24"/>
          <w:vertAlign w:val="superscript"/>
          <w:lang w:val="en-US" w:eastAsia="zh-CN"/>
        </w:rPr>
        <w:t>2</w:t>
      </w:r>
      <w:r>
        <w:rPr>
          <w:rFonts w:hint="eastAsia"/>
          <w:sz w:val="24"/>
          <w:szCs w:val="24"/>
        </w:rPr>
        <w:t>，</w:t>
      </w:r>
      <w:r>
        <w:rPr>
          <w:rFonts w:hint="eastAsia"/>
          <w:sz w:val="24"/>
          <w:szCs w:val="24"/>
          <w:lang w:val="en-US" w:eastAsia="zh-CN"/>
        </w:rPr>
        <w:t>用于</w:t>
      </w:r>
      <w:r>
        <w:rPr>
          <w:rFonts w:hint="eastAsia"/>
          <w:sz w:val="24"/>
          <w:szCs w:val="24"/>
        </w:rPr>
        <w:t>暂存废保护油墨桶、</w:t>
      </w:r>
      <w:r>
        <w:rPr>
          <w:rFonts w:hint="eastAsia"/>
          <w:sz w:val="24"/>
          <w:szCs w:val="24"/>
          <w:lang w:val="en-US" w:eastAsia="zh-CN"/>
        </w:rPr>
        <w:t>废光刻胶桶</w:t>
      </w:r>
      <w:r>
        <w:rPr>
          <w:rFonts w:hint="eastAsia"/>
          <w:sz w:val="24"/>
          <w:szCs w:val="24"/>
        </w:rPr>
        <w:t>和废活性炭等，危险废物暂存间已按照《危险废物贮存污染控制标准》（GB 18597-20</w:t>
      </w:r>
      <w:r>
        <w:rPr>
          <w:sz w:val="24"/>
          <w:szCs w:val="24"/>
        </w:rPr>
        <w:t>23</w:t>
      </w:r>
      <w:r>
        <w:rPr>
          <w:rFonts w:hint="eastAsia"/>
          <w:sz w:val="24"/>
          <w:szCs w:val="24"/>
        </w:rPr>
        <w:t>）的要求进行防风、防晒、防雨、防漏、防渗、防腐等处理，危险废物分类存放，已与</w:t>
      </w:r>
      <w:r>
        <w:rPr>
          <w:rFonts w:hint="eastAsia"/>
          <w:sz w:val="24"/>
          <w:szCs w:val="24"/>
          <w:lang w:eastAsia="zh-CN"/>
        </w:rPr>
        <w:t>重庆创绿环境保护有限公司</w:t>
      </w:r>
      <w:r>
        <w:rPr>
          <w:rFonts w:hint="eastAsia"/>
          <w:sz w:val="24"/>
          <w:szCs w:val="24"/>
        </w:rPr>
        <w:t>签订处置协议；厂区内设置一般固废暂存间，</w:t>
      </w:r>
      <w:r>
        <w:rPr>
          <w:rFonts w:hint="eastAsia"/>
          <w:sz w:val="24"/>
          <w:szCs w:val="24"/>
          <w:lang w:val="en-US" w:eastAsia="zh-CN"/>
        </w:rPr>
        <w:t>位于</w:t>
      </w:r>
      <w:r>
        <w:rPr>
          <w:rFonts w:hint="eastAsia"/>
          <w:sz w:val="24"/>
          <w:szCs w:val="24"/>
        </w:rPr>
        <w:t>B04b厂房，紧邻危险废物</w:t>
      </w:r>
      <w:r>
        <w:rPr>
          <w:rFonts w:hint="eastAsia"/>
          <w:sz w:val="24"/>
          <w:szCs w:val="24"/>
          <w:lang w:val="en-US" w:eastAsia="zh-CN"/>
        </w:rPr>
        <w:t>暂存间</w:t>
      </w:r>
      <w:r>
        <w:rPr>
          <w:rFonts w:hint="eastAsia"/>
          <w:sz w:val="24"/>
          <w:szCs w:val="24"/>
        </w:rPr>
        <w:t>，建筑面积100 m</w:t>
      </w:r>
      <w:r>
        <w:rPr>
          <w:rFonts w:hint="eastAsia"/>
          <w:sz w:val="24"/>
          <w:szCs w:val="24"/>
          <w:vertAlign w:val="superscript"/>
        </w:rPr>
        <w:t>2</w:t>
      </w:r>
      <w:r>
        <w:rPr>
          <w:rFonts w:hint="eastAsia"/>
          <w:sz w:val="24"/>
          <w:szCs w:val="24"/>
        </w:rPr>
        <w:t>，暂存不合格品</w:t>
      </w:r>
      <w:r>
        <w:rPr>
          <w:rFonts w:hint="eastAsia"/>
          <w:sz w:val="24"/>
          <w:szCs w:val="24"/>
          <w:lang w:eastAsia="zh-CN"/>
        </w:rPr>
        <w:t>、</w:t>
      </w:r>
      <w:r>
        <w:rPr>
          <w:rFonts w:hint="eastAsia"/>
          <w:sz w:val="24"/>
          <w:szCs w:val="24"/>
          <w:lang w:val="en-US" w:eastAsia="zh-CN"/>
        </w:rPr>
        <w:t>普通</w:t>
      </w:r>
      <w:r>
        <w:rPr>
          <w:rFonts w:hint="eastAsia"/>
          <w:sz w:val="24"/>
          <w:szCs w:val="24"/>
        </w:rPr>
        <w:t>废包装材料</w:t>
      </w:r>
      <w:r>
        <w:rPr>
          <w:rFonts w:hint="eastAsia"/>
          <w:sz w:val="24"/>
          <w:szCs w:val="24"/>
          <w:lang w:eastAsia="zh-CN"/>
        </w:rPr>
        <w:t>、</w:t>
      </w:r>
      <w:r>
        <w:rPr>
          <w:rFonts w:hint="eastAsia"/>
          <w:sz w:val="24"/>
          <w:szCs w:val="24"/>
          <w:lang w:val="en-US" w:eastAsia="zh-CN"/>
        </w:rPr>
        <w:t>废配件</w:t>
      </w:r>
      <w:r>
        <w:rPr>
          <w:rFonts w:hint="eastAsia"/>
          <w:sz w:val="24"/>
          <w:szCs w:val="24"/>
        </w:rPr>
        <w:t>等一般工业固废，定期交物资公司回收；厂区内设置垃圾桶，收集生活垃圾，交环卫部门处理</w:t>
      </w:r>
      <w:r>
        <w:rPr>
          <w:sz w:val="24"/>
          <w:szCs w:val="24"/>
        </w:rPr>
        <w:t>。</w:t>
      </w:r>
    </w:p>
    <w:p w14:paraId="35926035">
      <w:pPr>
        <w:pStyle w:val="4"/>
        <w:spacing w:before="0" w:after="0" w:line="490" w:lineRule="exact"/>
        <w:rPr>
          <w:sz w:val="24"/>
          <w:szCs w:val="24"/>
        </w:rPr>
      </w:pPr>
      <w:bookmarkStart w:id="239" w:name="_Toc513475012"/>
      <w:r>
        <w:rPr>
          <w:sz w:val="24"/>
          <w:szCs w:val="24"/>
        </w:rPr>
        <w:t>10.1.3验收监测结论</w:t>
      </w:r>
      <w:bookmarkEnd w:id="237"/>
      <w:bookmarkEnd w:id="239"/>
    </w:p>
    <w:p w14:paraId="58FC6C71">
      <w:pPr>
        <w:spacing w:line="490" w:lineRule="exact"/>
        <w:ind w:firstLine="420"/>
        <w:rPr>
          <w:sz w:val="24"/>
        </w:rPr>
      </w:pPr>
      <w:bookmarkStart w:id="240" w:name="_Toc501378812"/>
      <w:r>
        <w:rPr>
          <w:sz w:val="24"/>
        </w:rPr>
        <w:t>验收监测期间，企业</w:t>
      </w:r>
      <w:r>
        <w:rPr>
          <w:rFonts w:hint="eastAsia"/>
          <w:sz w:val="24"/>
        </w:rPr>
        <w:t>生产废水处理站排放口WS1排放废水，</w:t>
      </w:r>
      <w:r>
        <w:rPr>
          <w:color w:val="auto"/>
          <w:sz w:val="24"/>
        </w:rPr>
        <w:t>pH值、</w:t>
      </w:r>
      <w:r>
        <w:rPr>
          <w:rFonts w:hint="eastAsia"/>
          <w:color w:val="auto"/>
          <w:sz w:val="24"/>
        </w:rPr>
        <w:t>化学需氧量、悬浮物、五日生化需氧量、石油类</w:t>
      </w:r>
      <w:r>
        <w:rPr>
          <w:rFonts w:hint="eastAsia"/>
          <w:color w:val="auto"/>
          <w:sz w:val="24"/>
          <w:lang w:eastAsia="zh-CN"/>
        </w:rPr>
        <w:t>、阴离子表面活性剂、氟化物</w:t>
      </w:r>
      <w:r>
        <w:rPr>
          <w:color w:val="auto"/>
          <w:sz w:val="24"/>
        </w:rPr>
        <w:t>的监测结果符合</w:t>
      </w:r>
      <w:r>
        <w:rPr>
          <w:rFonts w:hint="eastAsia"/>
          <w:color w:val="auto"/>
          <w:sz w:val="24"/>
        </w:rPr>
        <w:t>《污水综合排放标准》（GB 8978-1996）表4 三级标准限值要求</w:t>
      </w:r>
      <w:r>
        <w:rPr>
          <w:color w:val="auto"/>
          <w:sz w:val="24"/>
        </w:rPr>
        <w:t>；</w:t>
      </w:r>
      <w:r>
        <w:rPr>
          <w:rFonts w:hint="eastAsia"/>
          <w:color w:val="auto"/>
          <w:sz w:val="24"/>
        </w:rPr>
        <w:t>氨氮、总氮、总磷</w:t>
      </w:r>
      <w:r>
        <w:rPr>
          <w:rFonts w:hint="eastAsia"/>
          <w:color w:val="auto"/>
          <w:sz w:val="24"/>
          <w:lang w:val="en-US" w:eastAsia="zh-CN"/>
        </w:rPr>
        <w:t>达到《污水排入城镇下水道水质标准》（GB/T 31962-2015）表1</w:t>
      </w:r>
      <w:r>
        <w:rPr>
          <w:rFonts w:hint="eastAsia"/>
          <w:color w:val="auto"/>
          <w:sz w:val="24"/>
        </w:rPr>
        <w:t xml:space="preserve"> </w:t>
      </w:r>
      <w:r>
        <w:rPr>
          <w:rFonts w:hint="eastAsia"/>
          <w:color w:val="auto"/>
          <w:sz w:val="24"/>
          <w:lang w:val="en-US" w:eastAsia="zh-CN"/>
        </w:rPr>
        <w:t>B级</w:t>
      </w:r>
      <w:r>
        <w:rPr>
          <w:rFonts w:hint="eastAsia"/>
          <w:color w:val="auto"/>
          <w:sz w:val="24"/>
        </w:rPr>
        <w:t>标准</w:t>
      </w:r>
      <w:r>
        <w:rPr>
          <w:color w:val="auto"/>
          <w:sz w:val="24"/>
        </w:rPr>
        <w:t>限值要求</w:t>
      </w:r>
      <w:r>
        <w:rPr>
          <w:sz w:val="24"/>
        </w:rPr>
        <w:t>。</w:t>
      </w:r>
    </w:p>
    <w:p w14:paraId="49CF7AE8">
      <w:pPr>
        <w:spacing w:line="490" w:lineRule="exact"/>
        <w:ind w:firstLine="420"/>
        <w:rPr>
          <w:sz w:val="24"/>
        </w:rPr>
      </w:pPr>
      <w:r>
        <w:rPr>
          <w:rFonts w:hint="eastAsia"/>
          <w:sz w:val="24"/>
        </w:rPr>
        <w:t>验收监测期间，</w:t>
      </w:r>
      <w:r>
        <w:rPr>
          <w:rFonts w:hint="eastAsia"/>
          <w:color w:val="auto"/>
          <w:sz w:val="24"/>
          <w:szCs w:val="24"/>
          <w:lang w:val="en-US" w:eastAsia="zh-CN"/>
        </w:rPr>
        <w:t>有机</w:t>
      </w:r>
      <w:r>
        <w:rPr>
          <w:rFonts w:hint="eastAsia"/>
          <w:color w:val="auto"/>
          <w:sz w:val="24"/>
          <w:szCs w:val="24"/>
        </w:rPr>
        <w:t>废气排放口</w:t>
      </w:r>
      <w:r>
        <w:rPr>
          <w:rFonts w:hint="eastAsia"/>
          <w:color w:val="auto"/>
          <w:sz w:val="24"/>
          <w:szCs w:val="24"/>
          <w:lang w:eastAsia="zh-CN"/>
        </w:rPr>
        <w:t>（</w:t>
      </w:r>
      <w:r>
        <w:rPr>
          <w:rFonts w:hint="eastAsia"/>
          <w:color w:val="auto"/>
          <w:sz w:val="24"/>
          <w:szCs w:val="24"/>
        </w:rPr>
        <w:t>DA00</w:t>
      </w:r>
      <w:r>
        <w:rPr>
          <w:rFonts w:hint="eastAsia"/>
          <w:color w:val="auto"/>
          <w:sz w:val="24"/>
          <w:szCs w:val="24"/>
          <w:lang w:val="en-US" w:eastAsia="zh-CN"/>
        </w:rPr>
        <w:t>8</w:t>
      </w:r>
      <w:r>
        <w:rPr>
          <w:rFonts w:hint="eastAsia"/>
          <w:color w:val="auto"/>
          <w:sz w:val="24"/>
          <w:szCs w:val="24"/>
          <w:lang w:eastAsia="zh-CN"/>
        </w:rPr>
        <w:t>）</w:t>
      </w:r>
      <w:r>
        <w:rPr>
          <w:rFonts w:hint="eastAsia"/>
          <w:color w:val="auto"/>
          <w:sz w:val="24"/>
          <w:szCs w:val="24"/>
        </w:rPr>
        <w:t>废气中</w:t>
      </w:r>
      <w:r>
        <w:rPr>
          <w:rFonts w:hint="eastAsia"/>
          <w:color w:val="auto"/>
          <w:sz w:val="24"/>
          <w:szCs w:val="24"/>
          <w:lang w:val="en-US" w:eastAsia="zh-CN"/>
        </w:rPr>
        <w:t>非甲烷总烃</w:t>
      </w:r>
      <w:r>
        <w:rPr>
          <w:rFonts w:hint="eastAsia"/>
          <w:color w:val="auto"/>
          <w:sz w:val="24"/>
          <w:szCs w:val="24"/>
        </w:rPr>
        <w:t>的监测结果符合</w:t>
      </w:r>
      <w:r>
        <w:rPr>
          <w:rFonts w:hint="eastAsia"/>
          <w:sz w:val="24"/>
          <w:szCs w:val="28"/>
        </w:rPr>
        <w:t>《包装印刷业大气污染物排放标准》（DB 50/758-2017）表2 主城区限值</w:t>
      </w:r>
      <w:r>
        <w:rPr>
          <w:rFonts w:hint="eastAsia"/>
          <w:color w:val="auto"/>
          <w:sz w:val="24"/>
          <w:szCs w:val="24"/>
        </w:rPr>
        <w:t>要求；</w:t>
      </w:r>
      <w:r>
        <w:rPr>
          <w:rFonts w:hint="eastAsia"/>
          <w:color w:val="auto"/>
          <w:sz w:val="24"/>
          <w:szCs w:val="24"/>
          <w:lang w:val="en-US" w:eastAsia="zh-CN"/>
        </w:rPr>
        <w:t>AG蚀刻线蒙砂废气、化抛废气</w:t>
      </w:r>
      <w:r>
        <w:rPr>
          <w:rFonts w:hint="eastAsia"/>
          <w:color w:val="auto"/>
          <w:sz w:val="24"/>
          <w:szCs w:val="24"/>
        </w:rPr>
        <w:t>排放口</w:t>
      </w:r>
      <w:r>
        <w:rPr>
          <w:rFonts w:hint="eastAsia"/>
          <w:color w:val="auto"/>
          <w:sz w:val="24"/>
          <w:szCs w:val="24"/>
          <w:lang w:eastAsia="zh-CN"/>
        </w:rPr>
        <w:t>（</w:t>
      </w:r>
      <w:r>
        <w:rPr>
          <w:rFonts w:hint="eastAsia"/>
          <w:color w:val="auto"/>
          <w:sz w:val="24"/>
          <w:szCs w:val="24"/>
        </w:rPr>
        <w:t>DA0</w:t>
      </w:r>
      <w:r>
        <w:rPr>
          <w:rFonts w:hint="eastAsia"/>
          <w:color w:val="auto"/>
          <w:sz w:val="24"/>
          <w:szCs w:val="24"/>
          <w:lang w:val="en-US" w:eastAsia="zh-CN"/>
        </w:rPr>
        <w:t>10</w:t>
      </w:r>
      <w:r>
        <w:rPr>
          <w:rFonts w:hint="eastAsia"/>
          <w:color w:val="auto"/>
          <w:sz w:val="24"/>
          <w:szCs w:val="24"/>
          <w:lang w:eastAsia="zh-CN"/>
        </w:rPr>
        <w:t>）</w:t>
      </w:r>
      <w:r>
        <w:rPr>
          <w:rFonts w:hint="eastAsia"/>
          <w:color w:val="auto"/>
          <w:sz w:val="24"/>
          <w:szCs w:val="24"/>
        </w:rPr>
        <w:t>氟化物</w:t>
      </w:r>
      <w:r>
        <w:rPr>
          <w:rFonts w:hint="eastAsia"/>
          <w:color w:val="auto"/>
          <w:sz w:val="24"/>
          <w:szCs w:val="24"/>
          <w:lang w:eastAsia="zh-CN"/>
        </w:rPr>
        <w:t>、</w:t>
      </w:r>
      <w:r>
        <w:rPr>
          <w:rFonts w:hint="eastAsia"/>
          <w:color w:val="auto"/>
          <w:sz w:val="24"/>
          <w:szCs w:val="24"/>
          <w:lang w:val="en-US" w:eastAsia="zh-CN"/>
        </w:rPr>
        <w:t>氯化氢、硫酸雾</w:t>
      </w:r>
      <w:r>
        <w:rPr>
          <w:rFonts w:hint="eastAsia"/>
          <w:color w:val="auto"/>
          <w:sz w:val="24"/>
          <w:szCs w:val="24"/>
        </w:rPr>
        <w:t>的监测结果符合《大气污染物综合排放标准》（DB 50/418-2016）表1限值的要求</w:t>
      </w:r>
      <w:r>
        <w:rPr>
          <w:rFonts w:hint="eastAsia"/>
          <w:sz w:val="24"/>
        </w:rPr>
        <w:t>。</w:t>
      </w:r>
    </w:p>
    <w:p w14:paraId="75C058DD">
      <w:pPr>
        <w:spacing w:line="490" w:lineRule="exact"/>
        <w:ind w:firstLine="420"/>
        <w:rPr>
          <w:rFonts w:hint="eastAsia" w:eastAsia="宋体"/>
          <w:color w:val="auto"/>
          <w:sz w:val="24"/>
          <w:szCs w:val="24"/>
          <w:lang w:val="en-US" w:eastAsia="zh-CN"/>
        </w:rPr>
      </w:pPr>
      <w:r>
        <w:rPr>
          <w:rFonts w:hint="eastAsia"/>
          <w:sz w:val="24"/>
        </w:rPr>
        <w:t>验收监测期间，</w:t>
      </w:r>
      <w:bookmarkStart w:id="241" w:name="_Toc513475013"/>
      <w:r>
        <w:rPr>
          <w:color w:val="auto"/>
          <w:sz w:val="24"/>
          <w:szCs w:val="24"/>
        </w:rPr>
        <w:t>无组织废气</w:t>
      </w:r>
      <w:r>
        <w:rPr>
          <w:rFonts w:hint="eastAsia"/>
          <w:color w:val="auto"/>
          <w:sz w:val="24"/>
          <w:szCs w:val="24"/>
        </w:rPr>
        <w:t>中非甲烷总烃</w:t>
      </w:r>
      <w:r>
        <w:rPr>
          <w:rFonts w:hint="eastAsia"/>
          <w:color w:val="auto"/>
          <w:sz w:val="24"/>
          <w:szCs w:val="24"/>
          <w:lang w:val="en-US" w:eastAsia="zh-CN"/>
        </w:rPr>
        <w:t>结果符合《包装印刷业大气污染物排放标准》（DB 50/758-2017）表4限值要求；氯化氢、硫酸雾、氟化物</w:t>
      </w:r>
      <w:r>
        <w:rPr>
          <w:rFonts w:hint="eastAsia"/>
          <w:color w:val="auto"/>
          <w:sz w:val="24"/>
          <w:szCs w:val="24"/>
        </w:rPr>
        <w:t>监测结果</w:t>
      </w:r>
      <w:r>
        <w:rPr>
          <w:rFonts w:hint="eastAsia"/>
          <w:color w:val="auto"/>
          <w:sz w:val="24"/>
          <w:szCs w:val="24"/>
          <w:lang w:val="en-US" w:eastAsia="zh-CN"/>
        </w:rPr>
        <w:t>均</w:t>
      </w:r>
      <w:r>
        <w:rPr>
          <w:rFonts w:hint="eastAsia"/>
          <w:color w:val="auto"/>
          <w:sz w:val="24"/>
          <w:szCs w:val="24"/>
        </w:rPr>
        <w:t>符合《大气污染物综合排放标准》（DB 50/418-2016）表1限值的要求。</w:t>
      </w:r>
      <w:r>
        <w:rPr>
          <w:rFonts w:hint="eastAsia"/>
          <w:color w:val="auto"/>
          <w:sz w:val="24"/>
          <w:szCs w:val="24"/>
          <w:lang w:val="en-US" w:eastAsia="zh-CN"/>
        </w:rPr>
        <w:t>厂区内监控点非甲烷总烃浓度符合</w:t>
      </w:r>
      <w:r>
        <w:rPr>
          <w:rFonts w:hint="eastAsia"/>
          <w:color w:val="auto"/>
          <w:sz w:val="24"/>
          <w:szCs w:val="24"/>
        </w:rPr>
        <w:t>《挥发性有机物无组织排放控制标准》（GB 37822-2019）表A.1</w:t>
      </w:r>
      <w:r>
        <w:rPr>
          <w:rFonts w:hint="eastAsia"/>
          <w:color w:val="auto"/>
          <w:sz w:val="24"/>
          <w:szCs w:val="24"/>
          <w:lang w:val="en-US" w:eastAsia="zh-CN"/>
        </w:rPr>
        <w:t>要求。</w:t>
      </w:r>
    </w:p>
    <w:p w14:paraId="2A9721A0">
      <w:pPr>
        <w:spacing w:line="490" w:lineRule="exact"/>
        <w:ind w:firstLine="420"/>
        <w:rPr>
          <w:sz w:val="24"/>
        </w:rPr>
      </w:pPr>
      <w:r>
        <w:rPr>
          <w:sz w:val="24"/>
        </w:rPr>
        <w:t>验收监测期间，项目厂界噪声均能满足</w:t>
      </w:r>
      <w:r>
        <w:rPr>
          <w:rFonts w:hint="eastAsia"/>
          <w:sz w:val="24"/>
        </w:rPr>
        <w:t>《工业企业厂界环境噪声排放标准》（GB 12348-2008）表1中</w:t>
      </w:r>
      <w:r>
        <w:rPr>
          <w:sz w:val="24"/>
        </w:rPr>
        <w:t>3类标准。</w:t>
      </w:r>
    </w:p>
    <w:p w14:paraId="0665DE9F">
      <w:pPr>
        <w:pStyle w:val="4"/>
        <w:spacing w:before="0" w:after="0" w:line="490" w:lineRule="exact"/>
        <w:rPr>
          <w:sz w:val="24"/>
          <w:szCs w:val="24"/>
        </w:rPr>
      </w:pPr>
      <w:r>
        <w:rPr>
          <w:sz w:val="24"/>
          <w:szCs w:val="24"/>
        </w:rPr>
        <w:t>10.1.4综合结论</w:t>
      </w:r>
      <w:bookmarkEnd w:id="240"/>
      <w:bookmarkEnd w:id="241"/>
    </w:p>
    <w:p w14:paraId="0D1A3FC0">
      <w:pPr>
        <w:spacing w:line="490" w:lineRule="exact"/>
        <w:ind w:firstLine="480" w:firstLineChars="200"/>
        <w:rPr>
          <w:sz w:val="24"/>
          <w:szCs w:val="24"/>
        </w:rPr>
      </w:pPr>
      <w:r>
        <w:rPr>
          <w:rFonts w:hint="eastAsia"/>
          <w:sz w:val="24"/>
          <w:lang w:eastAsia="zh-CN"/>
        </w:rPr>
        <w:t>年产新型平板显示器件关键部件和材料（玻璃盖板）3840万片项目（二期工程）</w:t>
      </w:r>
      <w:r>
        <w:rPr>
          <w:sz w:val="24"/>
        </w:rPr>
        <w:t>环保审批手续及环保档案资料齐全</w:t>
      </w:r>
      <w:r>
        <w:rPr>
          <w:rFonts w:hint="eastAsia"/>
          <w:sz w:val="24"/>
          <w:lang w:eastAsia="zh-CN"/>
        </w:rPr>
        <w:t>，</w:t>
      </w:r>
      <w:r>
        <w:rPr>
          <w:sz w:val="24"/>
        </w:rPr>
        <w:t>建立了环保管理制度。项目在建设过程中，环保措施均按照环评及批复的要求落实。</w:t>
      </w:r>
    </w:p>
    <w:p w14:paraId="430C4EE3">
      <w:pPr>
        <w:spacing w:line="490" w:lineRule="exact"/>
        <w:ind w:firstLine="480" w:firstLineChars="200"/>
        <w:rPr>
          <w:sz w:val="24"/>
        </w:rPr>
      </w:pPr>
      <w:r>
        <w:rPr>
          <w:sz w:val="24"/>
        </w:rPr>
        <w:t>综上所述，该项目符合验收要求。</w:t>
      </w:r>
    </w:p>
    <w:p w14:paraId="4A3B45C3">
      <w:pPr>
        <w:pStyle w:val="3"/>
      </w:pPr>
      <w:bookmarkStart w:id="242" w:name="_Toc520988582"/>
      <w:bookmarkStart w:id="243" w:name="_Toc1810"/>
      <w:bookmarkStart w:id="244" w:name="_Toc501378813"/>
      <w:bookmarkStart w:id="245" w:name="_Toc513475014"/>
      <w:r>
        <w:t>10.2建议及要求</w:t>
      </w:r>
      <w:bookmarkEnd w:id="242"/>
      <w:bookmarkEnd w:id="243"/>
      <w:bookmarkEnd w:id="244"/>
      <w:bookmarkEnd w:id="245"/>
    </w:p>
    <w:p w14:paraId="2E769918">
      <w:pPr>
        <w:spacing w:line="490" w:lineRule="exact"/>
        <w:ind w:firstLine="480" w:firstLineChars="200"/>
        <w:rPr>
          <w:sz w:val="24"/>
        </w:rPr>
      </w:pPr>
      <w:r>
        <w:rPr>
          <w:rFonts w:hint="eastAsia"/>
          <w:sz w:val="24"/>
        </w:rPr>
        <w:t>（1）应加强对各类环保设施的日常管理和维护，加强对企业员工的操作培训，减少生产环节中的跑、冒、滴、漏，建立环保巡查制度，保证环保设施的正常运行，并完善环保设施运行、维护记录，确保各项污染物长期稳定达标排放。</w:t>
      </w:r>
    </w:p>
    <w:p w14:paraId="12122B03">
      <w:pPr>
        <w:spacing w:line="490" w:lineRule="exact"/>
        <w:ind w:firstLine="480" w:firstLineChars="200"/>
        <w:rPr>
          <w:sz w:val="24"/>
        </w:rPr>
      </w:pPr>
      <w:r>
        <w:rPr>
          <w:rFonts w:hint="eastAsia"/>
          <w:sz w:val="24"/>
        </w:rPr>
        <w:t>（2）</w:t>
      </w:r>
      <w:r>
        <w:rPr>
          <w:rFonts w:hint="default" w:ascii="Times New Roman" w:hAnsi="Times New Roman" w:eastAsia="宋体" w:cs="Times New Roman"/>
          <w:sz w:val="24"/>
        </w:rPr>
        <w:t>加强</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三废</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处理设施监督管理，加强设施的维护，确保设施正常高效运行。并根据污染物监测结果，设施运行指标，废物综合利用情况等做好统计工作，建立污染源档案、废物利用档案</w:t>
      </w:r>
      <w:r>
        <w:rPr>
          <w:rFonts w:hint="eastAsia"/>
          <w:sz w:val="24"/>
        </w:rPr>
        <w:t>。</w:t>
      </w:r>
    </w:p>
    <w:p w14:paraId="23215985">
      <w:pPr>
        <w:spacing w:line="490" w:lineRule="exact"/>
        <w:ind w:firstLine="480" w:firstLineChars="200"/>
        <w:rPr>
          <w:rFonts w:hint="eastAsia"/>
          <w:sz w:val="24"/>
        </w:rPr>
      </w:pPr>
      <w:r>
        <w:rPr>
          <w:rFonts w:hint="eastAsia"/>
          <w:sz w:val="24"/>
        </w:rPr>
        <w:t>（3）</w:t>
      </w:r>
      <w:r>
        <w:rPr>
          <w:rFonts w:hint="default" w:ascii="Times New Roman" w:hAnsi="Times New Roman" w:eastAsia="宋体" w:cs="Times New Roman"/>
          <w:sz w:val="24"/>
        </w:rPr>
        <w:t>加强固废管理台账，危废转移应严格按照《危险废物转移联单管理办法》（国家环保总局令第5号）的规定，采用危险废物转移联单登记的方式对危险废物进行登记、交接和转移的管理。定期更换活性炭等，加强废气治理设施的检查，巡检，确保设施正常运行</w:t>
      </w:r>
      <w:r>
        <w:rPr>
          <w:rFonts w:hint="eastAsia"/>
          <w:sz w:val="24"/>
        </w:rPr>
        <w:t>。</w:t>
      </w:r>
    </w:p>
    <w:p w14:paraId="644C6E9A">
      <w:pPr>
        <w:pStyle w:val="4"/>
        <w:rPr>
          <w:rFonts w:hint="eastAsia"/>
          <w:sz w:val="24"/>
        </w:rPr>
      </w:pPr>
    </w:p>
    <w:p w14:paraId="26E8F442">
      <w:pPr>
        <w:pStyle w:val="2"/>
        <w:rPr>
          <w:rFonts w:hint="eastAsia"/>
        </w:rPr>
        <w:sectPr>
          <w:footerReference r:id="rId12" w:type="default"/>
          <w:pgSz w:w="11906" w:h="16838"/>
          <w:pgMar w:top="1588" w:right="1588" w:bottom="1588" w:left="1588" w:header="851" w:footer="992" w:gutter="0"/>
          <w:pgNumType w:fmt="decimal"/>
          <w:cols w:space="720" w:num="1"/>
          <w:docGrid w:type="linesAndChars" w:linePitch="312" w:charSpace="0"/>
        </w:sectPr>
      </w:pPr>
    </w:p>
    <w:p w14:paraId="3E3694A4">
      <w:pPr>
        <w:pStyle w:val="2"/>
      </w:pPr>
      <w:bookmarkStart w:id="246" w:name="_Toc1413"/>
      <w:r>
        <w:rPr>
          <w:rFonts w:hint="eastAsia"/>
        </w:rPr>
        <w:t>附图及附件</w:t>
      </w:r>
      <w:bookmarkEnd w:id="246"/>
    </w:p>
    <w:p w14:paraId="017A78D8">
      <w:pPr>
        <w:rPr>
          <w:b/>
          <w:bCs/>
          <w:sz w:val="28"/>
          <w:szCs w:val="28"/>
        </w:rPr>
      </w:pPr>
      <w:r>
        <w:rPr>
          <w:rFonts w:hint="eastAsia"/>
          <w:b/>
          <w:bCs/>
          <w:sz w:val="28"/>
          <w:szCs w:val="28"/>
        </w:rPr>
        <w:t>一、附图</w:t>
      </w:r>
    </w:p>
    <w:p w14:paraId="119AA399">
      <w:pPr>
        <w:spacing w:line="480" w:lineRule="auto"/>
        <w:ind w:left="480"/>
        <w:rPr>
          <w:sz w:val="28"/>
          <w:szCs w:val="28"/>
        </w:rPr>
      </w:pPr>
      <w:r>
        <w:rPr>
          <w:sz w:val="28"/>
          <w:szCs w:val="28"/>
        </w:rPr>
        <w:t>附图1：项目地理位置图</w:t>
      </w:r>
    </w:p>
    <w:p w14:paraId="6E878897">
      <w:pPr>
        <w:spacing w:line="480" w:lineRule="auto"/>
        <w:ind w:left="480"/>
        <w:rPr>
          <w:sz w:val="28"/>
          <w:szCs w:val="28"/>
        </w:rPr>
      </w:pPr>
      <w:r>
        <w:rPr>
          <w:sz w:val="28"/>
          <w:szCs w:val="28"/>
        </w:rPr>
        <w:t>附图2：项目</w:t>
      </w:r>
      <w:r>
        <w:rPr>
          <w:rFonts w:hint="eastAsia"/>
          <w:sz w:val="28"/>
          <w:szCs w:val="28"/>
          <w:lang w:val="en-US" w:eastAsia="zh-CN"/>
        </w:rPr>
        <w:t>所在厂区</w:t>
      </w:r>
      <w:r>
        <w:rPr>
          <w:sz w:val="28"/>
          <w:szCs w:val="28"/>
        </w:rPr>
        <w:t>平面布置图</w:t>
      </w:r>
    </w:p>
    <w:p w14:paraId="45845935">
      <w:pPr>
        <w:spacing w:line="480" w:lineRule="auto"/>
        <w:ind w:left="480"/>
        <w:rPr>
          <w:rFonts w:hint="eastAsia"/>
          <w:sz w:val="28"/>
          <w:szCs w:val="28"/>
        </w:rPr>
      </w:pPr>
      <w:r>
        <w:rPr>
          <w:sz w:val="28"/>
          <w:szCs w:val="28"/>
        </w:rPr>
        <w:t>附图3：</w:t>
      </w:r>
      <w:r>
        <w:rPr>
          <w:rFonts w:hint="eastAsia"/>
          <w:sz w:val="28"/>
          <w:szCs w:val="28"/>
        </w:rPr>
        <w:t>项目所在区域外环境关系及保护目标分布图</w:t>
      </w:r>
    </w:p>
    <w:p w14:paraId="4EAA6C29">
      <w:pPr>
        <w:spacing w:line="480" w:lineRule="auto"/>
        <w:ind w:left="480"/>
        <w:rPr>
          <w:rFonts w:hint="eastAsia"/>
          <w:sz w:val="28"/>
          <w:szCs w:val="28"/>
          <w:lang w:val="en-US" w:eastAsia="zh-CN"/>
        </w:rPr>
      </w:pPr>
      <w:r>
        <w:rPr>
          <w:rFonts w:hint="eastAsia"/>
          <w:sz w:val="28"/>
          <w:szCs w:val="28"/>
          <w:lang w:val="en-US" w:eastAsia="zh-CN"/>
        </w:rPr>
        <w:t>附图4：项目B01（2F）总平面布置示意图</w:t>
      </w:r>
    </w:p>
    <w:p w14:paraId="18F1AD9B">
      <w:pPr>
        <w:spacing w:line="480" w:lineRule="auto"/>
        <w:ind w:left="480"/>
        <w:rPr>
          <w:rFonts w:hint="eastAsia"/>
          <w:sz w:val="28"/>
          <w:szCs w:val="28"/>
          <w:lang w:val="en-US" w:eastAsia="zh-CN"/>
        </w:rPr>
      </w:pPr>
      <w:r>
        <w:rPr>
          <w:rFonts w:hint="eastAsia"/>
          <w:sz w:val="28"/>
          <w:szCs w:val="28"/>
          <w:lang w:val="en-US" w:eastAsia="zh-CN"/>
        </w:rPr>
        <w:t>附图5：项目B03（1F）生产线布局及车间分区防渗示意图</w:t>
      </w:r>
    </w:p>
    <w:p w14:paraId="791554EA">
      <w:pPr>
        <w:spacing w:line="480" w:lineRule="auto"/>
        <w:ind w:left="480"/>
        <w:rPr>
          <w:rFonts w:hint="eastAsia"/>
          <w:sz w:val="28"/>
          <w:szCs w:val="28"/>
          <w:lang w:val="en-US" w:eastAsia="zh-CN"/>
        </w:rPr>
      </w:pPr>
      <w:r>
        <w:rPr>
          <w:rFonts w:hint="eastAsia"/>
          <w:sz w:val="28"/>
          <w:szCs w:val="28"/>
          <w:lang w:val="en-US" w:eastAsia="zh-CN"/>
        </w:rPr>
        <w:t>附图6：项目所在厂区排水管网图</w:t>
      </w:r>
    </w:p>
    <w:p w14:paraId="236DE98F">
      <w:pPr>
        <w:spacing w:line="480" w:lineRule="auto"/>
        <w:ind w:left="480"/>
        <w:rPr>
          <w:rFonts w:hint="default"/>
          <w:sz w:val="28"/>
          <w:szCs w:val="28"/>
          <w:lang w:val="en-US" w:eastAsia="zh-CN"/>
        </w:rPr>
      </w:pPr>
      <w:r>
        <w:rPr>
          <w:rFonts w:hint="eastAsia"/>
          <w:sz w:val="28"/>
          <w:szCs w:val="28"/>
          <w:lang w:val="en-US" w:eastAsia="zh-CN"/>
        </w:rPr>
        <w:t>附图7：项目与规划区位置关系图</w:t>
      </w:r>
    </w:p>
    <w:p w14:paraId="375C554E">
      <w:pPr>
        <w:rPr>
          <w:b/>
          <w:bCs/>
          <w:sz w:val="28"/>
          <w:szCs w:val="28"/>
        </w:rPr>
      </w:pPr>
      <w:r>
        <w:rPr>
          <w:rFonts w:hint="eastAsia"/>
          <w:b/>
          <w:bCs/>
          <w:sz w:val="28"/>
          <w:szCs w:val="28"/>
        </w:rPr>
        <w:t>二、附件</w:t>
      </w:r>
    </w:p>
    <w:p w14:paraId="19E3E253">
      <w:pPr>
        <w:spacing w:line="480" w:lineRule="auto"/>
        <w:ind w:left="480"/>
        <w:rPr>
          <w:sz w:val="28"/>
          <w:szCs w:val="28"/>
        </w:rPr>
      </w:pPr>
      <w:r>
        <w:rPr>
          <w:rFonts w:hint="eastAsia"/>
          <w:sz w:val="28"/>
          <w:szCs w:val="28"/>
        </w:rPr>
        <w:t>附件1：</w:t>
      </w:r>
      <w:r>
        <w:rPr>
          <w:sz w:val="28"/>
          <w:szCs w:val="28"/>
        </w:rPr>
        <w:t>环评批复</w:t>
      </w:r>
    </w:p>
    <w:p w14:paraId="5CED6309">
      <w:pPr>
        <w:spacing w:line="480" w:lineRule="auto"/>
        <w:ind w:left="480"/>
        <w:rPr>
          <w:sz w:val="28"/>
          <w:szCs w:val="28"/>
        </w:rPr>
      </w:pPr>
      <w:r>
        <w:rPr>
          <w:sz w:val="28"/>
          <w:szCs w:val="28"/>
        </w:rPr>
        <w:t>附件2：排污登记回执</w:t>
      </w:r>
    </w:p>
    <w:p w14:paraId="74BB653F">
      <w:pPr>
        <w:spacing w:line="480" w:lineRule="auto"/>
        <w:ind w:left="480"/>
        <w:rPr>
          <w:rFonts w:hint="default" w:eastAsia="宋体"/>
          <w:sz w:val="28"/>
          <w:szCs w:val="28"/>
          <w:lang w:val="en-US" w:eastAsia="zh-CN"/>
        </w:rPr>
      </w:pPr>
      <w:r>
        <w:rPr>
          <w:rFonts w:hint="eastAsia"/>
          <w:sz w:val="28"/>
          <w:szCs w:val="28"/>
          <w:lang w:val="en-US" w:eastAsia="zh-CN"/>
        </w:rPr>
        <w:t>附件3：一阶段环境保护验收意见</w:t>
      </w:r>
    </w:p>
    <w:p w14:paraId="2A7174C1">
      <w:pPr>
        <w:spacing w:line="480" w:lineRule="auto"/>
        <w:ind w:left="480"/>
        <w:rPr>
          <w:rFonts w:hint="default" w:eastAsia="宋体"/>
          <w:sz w:val="28"/>
          <w:szCs w:val="28"/>
          <w:lang w:val="en-US" w:eastAsia="zh-CN"/>
        </w:rPr>
      </w:pPr>
      <w:r>
        <w:rPr>
          <w:sz w:val="28"/>
          <w:szCs w:val="28"/>
        </w:rPr>
        <w:t>附件</w:t>
      </w:r>
      <w:r>
        <w:rPr>
          <w:rFonts w:hint="eastAsia"/>
          <w:sz w:val="28"/>
          <w:szCs w:val="28"/>
          <w:lang w:val="en-US" w:eastAsia="zh-CN"/>
        </w:rPr>
        <w:t>4</w:t>
      </w:r>
      <w:r>
        <w:rPr>
          <w:sz w:val="28"/>
          <w:szCs w:val="28"/>
        </w:rPr>
        <w:t>：</w:t>
      </w:r>
      <w:r>
        <w:rPr>
          <w:rFonts w:hint="eastAsia"/>
          <w:sz w:val="28"/>
          <w:szCs w:val="28"/>
          <w:lang w:val="en-US" w:eastAsia="zh-CN"/>
        </w:rPr>
        <w:t>危险废物安全处置服务合同</w:t>
      </w:r>
    </w:p>
    <w:p w14:paraId="2BF51BB8">
      <w:pPr>
        <w:spacing w:line="480" w:lineRule="auto"/>
        <w:ind w:left="480"/>
        <w:rPr>
          <w:sz w:val="28"/>
          <w:szCs w:val="28"/>
        </w:rPr>
      </w:pPr>
      <w:r>
        <w:rPr>
          <w:sz w:val="28"/>
          <w:szCs w:val="28"/>
        </w:rPr>
        <w:t>附件</w:t>
      </w:r>
      <w:r>
        <w:rPr>
          <w:rFonts w:hint="eastAsia"/>
          <w:sz w:val="28"/>
          <w:szCs w:val="28"/>
          <w:lang w:val="en-US" w:eastAsia="zh-CN"/>
        </w:rPr>
        <w:t>5</w:t>
      </w:r>
      <w:r>
        <w:rPr>
          <w:sz w:val="28"/>
          <w:szCs w:val="28"/>
        </w:rPr>
        <w:t>：</w:t>
      </w:r>
      <w:r>
        <w:rPr>
          <w:rFonts w:hint="eastAsia"/>
          <w:sz w:val="28"/>
          <w:szCs w:val="28"/>
        </w:rPr>
        <w:t>废弃物处理服务合同补充协议</w:t>
      </w:r>
    </w:p>
    <w:p w14:paraId="43E58592">
      <w:pPr>
        <w:spacing w:line="480" w:lineRule="auto"/>
        <w:ind w:left="480"/>
        <w:rPr>
          <w:sz w:val="28"/>
          <w:szCs w:val="28"/>
        </w:rPr>
      </w:pPr>
      <w:r>
        <w:rPr>
          <w:sz w:val="28"/>
          <w:szCs w:val="28"/>
        </w:rPr>
        <w:t>附件</w:t>
      </w:r>
      <w:r>
        <w:rPr>
          <w:rFonts w:hint="eastAsia"/>
          <w:sz w:val="28"/>
          <w:szCs w:val="28"/>
          <w:lang w:val="en-US" w:eastAsia="zh-CN"/>
        </w:rPr>
        <w:t>6</w:t>
      </w:r>
      <w:r>
        <w:rPr>
          <w:sz w:val="28"/>
          <w:szCs w:val="28"/>
        </w:rPr>
        <w:t>：验收监测报告（废水、废气）</w:t>
      </w:r>
    </w:p>
    <w:p w14:paraId="4E0EC2F2">
      <w:pPr>
        <w:spacing w:line="480" w:lineRule="auto"/>
        <w:ind w:left="480"/>
        <w:rPr>
          <w:sz w:val="28"/>
          <w:szCs w:val="28"/>
        </w:rPr>
      </w:pPr>
      <w:r>
        <w:rPr>
          <w:sz w:val="28"/>
          <w:szCs w:val="28"/>
        </w:rPr>
        <w:t>附件</w:t>
      </w:r>
      <w:r>
        <w:rPr>
          <w:rFonts w:hint="eastAsia"/>
          <w:sz w:val="28"/>
          <w:szCs w:val="28"/>
          <w:lang w:val="en-US" w:eastAsia="zh-CN"/>
        </w:rPr>
        <w:t>7</w:t>
      </w:r>
      <w:r>
        <w:rPr>
          <w:sz w:val="28"/>
          <w:szCs w:val="28"/>
        </w:rPr>
        <w:t>：验收监测报告（噪声）</w:t>
      </w:r>
    </w:p>
    <w:p w14:paraId="31DC6EC5">
      <w:pPr>
        <w:spacing w:line="480" w:lineRule="auto"/>
        <w:ind w:left="480"/>
        <w:rPr>
          <w:sz w:val="28"/>
          <w:szCs w:val="28"/>
        </w:rPr>
      </w:pPr>
      <w:r>
        <w:rPr>
          <w:sz w:val="28"/>
          <w:szCs w:val="28"/>
        </w:rPr>
        <w:t>附件</w:t>
      </w:r>
      <w:r>
        <w:rPr>
          <w:rFonts w:hint="eastAsia"/>
          <w:sz w:val="28"/>
          <w:szCs w:val="28"/>
          <w:lang w:val="en-US" w:eastAsia="zh-CN"/>
        </w:rPr>
        <w:t>8</w:t>
      </w:r>
      <w:r>
        <w:rPr>
          <w:sz w:val="28"/>
          <w:szCs w:val="28"/>
        </w:rPr>
        <w:t>：验收监测报告（</w:t>
      </w:r>
      <w:r>
        <w:rPr>
          <w:rFonts w:hint="eastAsia"/>
          <w:sz w:val="28"/>
          <w:szCs w:val="28"/>
          <w:lang w:val="en-US" w:eastAsia="zh-CN"/>
        </w:rPr>
        <w:t>无组织氟化物</w:t>
      </w:r>
      <w:r>
        <w:rPr>
          <w:sz w:val="28"/>
          <w:szCs w:val="28"/>
        </w:rPr>
        <w:t>）</w:t>
      </w:r>
    </w:p>
    <w:p w14:paraId="511E6809">
      <w:pPr>
        <w:spacing w:line="480" w:lineRule="auto"/>
        <w:ind w:left="480"/>
        <w:rPr>
          <w:sz w:val="24"/>
        </w:rPr>
      </w:pPr>
    </w:p>
    <w:sectPr>
      <w:footerReference r:id="rId13" w:type="default"/>
      <w:pgSz w:w="11906" w:h="16838"/>
      <w:pgMar w:top="1588" w:right="1588" w:bottom="1588" w:left="1588" w:header="851" w:footer="992" w:gutter="0"/>
      <w:pgNumType w:fmt="decimal" w:start="1"/>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MingLiU">
    <w:panose1 w:val="02010609000101010101"/>
    <w:charset w:val="88"/>
    <w:family w:val="modern"/>
    <w:pitch w:val="default"/>
    <w:sig w:usb0="80000001" w:usb1="28091800" w:usb2="00000016" w:usb3="00000000" w:csb0="00100001"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Dutch801 Rm BT">
    <w:panose1 w:val="02020603060505020304"/>
    <w:charset w:val="00"/>
    <w:family w:val="roman"/>
    <w:pitch w:val="default"/>
    <w:sig w:usb0="00000000" w:usb1="00000000" w:usb2="00000000" w:usb3="00000000" w:csb0="00000000" w:csb1="00000000"/>
  </w:font>
  <w:font w:name="Arial Narrow">
    <w:panose1 w:val="020B0606020202030204"/>
    <w:charset w:val="00"/>
    <w:family w:val="swiss"/>
    <w:pitch w:val="default"/>
    <w:sig w:usb0="00000287" w:usb1="000008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830B4">
    <w:pPr>
      <w:pStyle w:val="22"/>
      <w:framePr w:wrap="around" w:vAnchor="text" w:hAnchor="margin" w:xAlign="center" w:y="1"/>
      <w:rPr>
        <w:rStyle w:val="39"/>
      </w:rPr>
    </w:pPr>
    <w:r>
      <w:fldChar w:fldCharType="begin"/>
    </w:r>
    <w:r>
      <w:rPr>
        <w:rStyle w:val="39"/>
      </w:rPr>
      <w:instrText xml:space="preserve">PAGE  </w:instrText>
    </w:r>
    <w:r>
      <w:fldChar w:fldCharType="separate"/>
    </w:r>
    <w:r>
      <w:rPr>
        <w:rStyle w:val="39"/>
      </w:rPr>
      <w:t>3</w:t>
    </w:r>
    <w:r>
      <w:fldChar w:fldCharType="end"/>
    </w:r>
  </w:p>
  <w:p w14:paraId="40B12841">
    <w:pPr>
      <w:pStyle w:val="22"/>
      <w:ind w:firstLine="5400" w:firstLineChars="30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A15B6">
    <w:pPr>
      <w:pStyle w:val="22"/>
      <w:framePr w:wrap="around" w:vAnchor="text" w:hAnchor="margin" w:xAlign="center" w:y="1"/>
      <w:rPr>
        <w:rStyle w:val="39"/>
      </w:rPr>
    </w:pPr>
    <w:r>
      <w:fldChar w:fldCharType="begin"/>
    </w:r>
    <w:r>
      <w:rPr>
        <w:rStyle w:val="39"/>
      </w:rPr>
      <w:instrText xml:space="preserve">PAGE  </w:instrText>
    </w:r>
    <w:r>
      <w:fldChar w:fldCharType="separate"/>
    </w:r>
    <w:r>
      <w:rPr>
        <w:rStyle w:val="39"/>
      </w:rPr>
      <w:t>1</w:t>
    </w:r>
    <w:r>
      <w:fldChar w:fldCharType="end"/>
    </w:r>
  </w:p>
  <w:p w14:paraId="3DEF9785">
    <w:pPr>
      <w:pStyle w:val="2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7B042">
    <w:pPr>
      <w:pStyle w:val="2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69E8E">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1293573"/>
    </w:sdtPr>
    <w:sdtContent>
      <w:p w14:paraId="3150F635">
        <w:pPr>
          <w:pStyle w:val="22"/>
          <w:jc w:val="center"/>
        </w:pPr>
        <w:r>
          <w:fldChar w:fldCharType="begin"/>
        </w:r>
        <w:r>
          <w:instrText xml:space="preserve">PAGE   \* MERGEFORMAT</w:instrText>
        </w:r>
        <w:r>
          <w:fldChar w:fldCharType="separate"/>
        </w:r>
        <w:r>
          <w:rPr>
            <w:lang w:val="zh-CN"/>
          </w:rPr>
          <w:t>18</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8802041"/>
    </w:sdtPr>
    <w:sdtContent>
      <w:p w14:paraId="576348C2">
        <w:pPr>
          <w:pStyle w:val="22"/>
          <w:jc w:val="center"/>
        </w:pPr>
        <w:r>
          <w:fldChar w:fldCharType="begin"/>
        </w:r>
        <w:r>
          <w:instrText xml:space="preserve">PAGE   \* MERGEFORMAT</w:instrText>
        </w:r>
        <w:r>
          <w:fldChar w:fldCharType="separate"/>
        </w:r>
        <w:r>
          <w:rPr>
            <w:lang w:val="zh-CN"/>
          </w:rPr>
          <w:t>62</w:t>
        </w:r>
        <w:r>
          <w:fldChar w:fldCharType="end"/>
        </w:r>
      </w:p>
    </w:sdtContent>
  </w:sdt>
  <w:p w14:paraId="16EB179E">
    <w:pPr>
      <w:pStyle w:val="22"/>
      <w:tabs>
        <w:tab w:val="left" w:pos="1122"/>
        <w:tab w:val="clear" w:pos="4153"/>
        <w:tab w:val="clear" w:pos="8306"/>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BE517">
    <w:pPr>
      <w:pStyle w:val="2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B99655">
                          <w:pPr>
                            <w:pStyle w:val="22"/>
                          </w:pPr>
                          <w:r>
                            <w:fldChar w:fldCharType="begin"/>
                          </w:r>
                          <w:r>
                            <w:instrText xml:space="preserve"> PAGE  \* MERGEFORMAT </w:instrText>
                          </w:r>
                          <w:r>
                            <w:fldChar w:fldCharType="separate"/>
                          </w:r>
                          <w:r>
                            <w:t>LXI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9B99655">
                    <w:pPr>
                      <w:pStyle w:val="22"/>
                    </w:pPr>
                    <w:r>
                      <w:fldChar w:fldCharType="begin"/>
                    </w:r>
                    <w:r>
                      <w:instrText xml:space="preserve"> PAGE  \* MERGEFORMAT </w:instrText>
                    </w:r>
                    <w:r>
                      <w:fldChar w:fldCharType="separate"/>
                    </w:r>
                    <w:r>
                      <w:t>LXI</w:t>
                    </w:r>
                    <w:r>
                      <w:fldChar w:fldCharType="end"/>
                    </w:r>
                  </w:p>
                </w:txbxContent>
              </v:textbox>
            </v:shape>
          </w:pict>
        </mc:Fallback>
      </mc:AlternateContent>
    </w:r>
  </w:p>
  <w:p w14:paraId="4D806119">
    <w:pPr>
      <w:pStyle w:val="22"/>
      <w:tabs>
        <w:tab w:val="left" w:pos="1122"/>
        <w:tab w:val="clear" w:pos="4153"/>
        <w:tab w:val="clear" w:pos="8306"/>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153D2">
    <w:pPr>
      <w:pStyle w:val="22"/>
      <w:jc w:val="both"/>
    </w:pPr>
  </w:p>
  <w:p w14:paraId="22BE9D57">
    <w:pPr>
      <w:pStyle w:val="22"/>
      <w:tabs>
        <w:tab w:val="left" w:pos="1122"/>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A629D">
    <w:pPr>
      <w:pStyle w:val="23"/>
      <w:pBdr>
        <w:top w:val="none" w:color="auto" w:sz="0" w:space="0"/>
        <w:left w:val="none" w:color="auto" w:sz="0" w:space="0"/>
        <w:bottom w:val="none" w:color="auto" w:sz="0" w:space="1"/>
        <w:right w:val="none" w:color="auto" w:sz="0" w:space="0"/>
        <w:between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80E8D">
    <w:pPr>
      <w:pStyle w:val="23"/>
      <w:pBdr>
        <w:top w:val="none" w:color="auto" w:sz="0" w:space="0"/>
        <w:left w:val="none" w:color="auto" w:sz="0" w:space="0"/>
        <w:bottom w:val="none" w:color="auto" w:sz="0" w:space="1"/>
        <w:right w:val="none" w:color="auto" w:sz="0" w:space="0"/>
        <w:between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7D9D5">
    <w:pPr>
      <w:pStyle w:val="23"/>
      <w:rPr>
        <w:rFonts w:ascii="宋体" w:cs="宋体"/>
        <w:kern w:val="0"/>
      </w:rPr>
    </w:pPr>
    <w:r>
      <w:rPr>
        <w:rFonts w:hint="eastAsia" w:ascii="宋体" w:cs="宋体"/>
        <w:kern w:val="0"/>
        <w:lang w:eastAsia="zh-CN"/>
      </w:rPr>
      <w:t>年产新型平板显示器件关键部件和材料（玻璃盖板）3840万片项目（二期工程）</w:t>
    </w:r>
    <w:r>
      <w:rPr>
        <w:rFonts w:hint="eastAsia" w:ascii="宋体" w:cs="宋体"/>
        <w:kern w:val="0"/>
      </w:rPr>
      <w:t>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EF98E7"/>
    <w:multiLevelType w:val="singleLevel"/>
    <w:tmpl w:val="C5EF98E7"/>
    <w:lvl w:ilvl="0" w:tentative="0">
      <w:start w:val="1"/>
      <w:numFmt w:val="decimal"/>
      <w:pStyle w:val="10"/>
      <w:lvlText w:val="%1."/>
      <w:lvlJc w:val="left"/>
      <w:pPr>
        <w:tabs>
          <w:tab w:val="left" w:pos="360"/>
        </w:tabs>
        <w:ind w:left="360" w:hanging="360"/>
      </w:pPr>
    </w:lvl>
  </w:abstractNum>
  <w:abstractNum w:abstractNumId="1">
    <w:nsid w:val="D958CF17"/>
    <w:multiLevelType w:val="singleLevel"/>
    <w:tmpl w:val="D958CF17"/>
    <w:lvl w:ilvl="0" w:tentative="0">
      <w:start w:val="1"/>
      <w:numFmt w:val="decimal"/>
      <w:suff w:val="nothing"/>
      <w:lvlText w:val="%1、"/>
      <w:lvlJc w:val="left"/>
    </w:lvl>
  </w:abstractNum>
  <w:abstractNum w:abstractNumId="2">
    <w:nsid w:val="1C3C5D0F"/>
    <w:multiLevelType w:val="singleLevel"/>
    <w:tmpl w:val="1C3C5D0F"/>
    <w:lvl w:ilvl="0" w:tentative="0">
      <w:start w:val="2"/>
      <w:numFmt w:val="decimal"/>
      <w:suff w:val="nothing"/>
      <w:lvlText w:val="（%1）"/>
      <w:lvlJc w:val="left"/>
    </w:lvl>
  </w:abstractNum>
  <w:abstractNum w:abstractNumId="3">
    <w:nsid w:val="356A56B6"/>
    <w:multiLevelType w:val="multilevel"/>
    <w:tmpl w:val="356A56B6"/>
    <w:lvl w:ilvl="0" w:tentative="0">
      <w:start w:val="1"/>
      <w:numFmt w:val="decimal"/>
      <w:suff w:val="nothing"/>
      <w:lvlText w:val="%1"/>
      <w:lvlJc w:val="left"/>
      <w:pPr>
        <w:ind w:left="0" w:firstLine="0"/>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E1MGQ3MGI4YWFlZjM0YTk4YzMwYmJiYTg5NmMwMTIifQ=="/>
  </w:docVars>
  <w:rsids>
    <w:rsidRoot w:val="00172A27"/>
    <w:rsid w:val="000002FC"/>
    <w:rsid w:val="00000409"/>
    <w:rsid w:val="00002167"/>
    <w:rsid w:val="00003ACA"/>
    <w:rsid w:val="00004DD8"/>
    <w:rsid w:val="00006BF7"/>
    <w:rsid w:val="0001058F"/>
    <w:rsid w:val="00011844"/>
    <w:rsid w:val="00011C62"/>
    <w:rsid w:val="000123BF"/>
    <w:rsid w:val="00012864"/>
    <w:rsid w:val="00012C9D"/>
    <w:rsid w:val="00015640"/>
    <w:rsid w:val="00016FBA"/>
    <w:rsid w:val="00020338"/>
    <w:rsid w:val="0002248C"/>
    <w:rsid w:val="00022F2E"/>
    <w:rsid w:val="00031ADC"/>
    <w:rsid w:val="00034B5C"/>
    <w:rsid w:val="0004118C"/>
    <w:rsid w:val="00041F4D"/>
    <w:rsid w:val="00043B55"/>
    <w:rsid w:val="0004595C"/>
    <w:rsid w:val="000459EB"/>
    <w:rsid w:val="00047560"/>
    <w:rsid w:val="00050D4B"/>
    <w:rsid w:val="00051299"/>
    <w:rsid w:val="00051678"/>
    <w:rsid w:val="00053AE4"/>
    <w:rsid w:val="0005461C"/>
    <w:rsid w:val="00055A37"/>
    <w:rsid w:val="00057CEF"/>
    <w:rsid w:val="00064D4D"/>
    <w:rsid w:val="00066D48"/>
    <w:rsid w:val="000678BF"/>
    <w:rsid w:val="00067E5D"/>
    <w:rsid w:val="00067ED6"/>
    <w:rsid w:val="00067FA5"/>
    <w:rsid w:val="0007074A"/>
    <w:rsid w:val="00071CA5"/>
    <w:rsid w:val="00076846"/>
    <w:rsid w:val="00077333"/>
    <w:rsid w:val="000774E4"/>
    <w:rsid w:val="00081C45"/>
    <w:rsid w:val="00082406"/>
    <w:rsid w:val="000836F7"/>
    <w:rsid w:val="00083A74"/>
    <w:rsid w:val="000856B2"/>
    <w:rsid w:val="000870BA"/>
    <w:rsid w:val="00087188"/>
    <w:rsid w:val="00087508"/>
    <w:rsid w:val="00090D1E"/>
    <w:rsid w:val="00091CEE"/>
    <w:rsid w:val="0009279C"/>
    <w:rsid w:val="00092977"/>
    <w:rsid w:val="0009559B"/>
    <w:rsid w:val="000964E3"/>
    <w:rsid w:val="00096CD3"/>
    <w:rsid w:val="000A1EC2"/>
    <w:rsid w:val="000A2479"/>
    <w:rsid w:val="000A2B92"/>
    <w:rsid w:val="000A3491"/>
    <w:rsid w:val="000A50DD"/>
    <w:rsid w:val="000A76CB"/>
    <w:rsid w:val="000B10F0"/>
    <w:rsid w:val="000B14ED"/>
    <w:rsid w:val="000B1AC0"/>
    <w:rsid w:val="000B4713"/>
    <w:rsid w:val="000B5743"/>
    <w:rsid w:val="000B5847"/>
    <w:rsid w:val="000B634E"/>
    <w:rsid w:val="000C045D"/>
    <w:rsid w:val="000C04F0"/>
    <w:rsid w:val="000C44EE"/>
    <w:rsid w:val="000C5F2F"/>
    <w:rsid w:val="000C6465"/>
    <w:rsid w:val="000D26E1"/>
    <w:rsid w:val="000D3B76"/>
    <w:rsid w:val="000D3F0E"/>
    <w:rsid w:val="000D4BFF"/>
    <w:rsid w:val="000D60D6"/>
    <w:rsid w:val="000D62A1"/>
    <w:rsid w:val="000D6F1B"/>
    <w:rsid w:val="000E309F"/>
    <w:rsid w:val="000E3573"/>
    <w:rsid w:val="000E40A3"/>
    <w:rsid w:val="000E64A3"/>
    <w:rsid w:val="000F01DF"/>
    <w:rsid w:val="000F0268"/>
    <w:rsid w:val="000F25F2"/>
    <w:rsid w:val="000F29BC"/>
    <w:rsid w:val="000F2C6A"/>
    <w:rsid w:val="000F51C7"/>
    <w:rsid w:val="000F76D2"/>
    <w:rsid w:val="00102A6B"/>
    <w:rsid w:val="00102C68"/>
    <w:rsid w:val="00107D8F"/>
    <w:rsid w:val="001143B3"/>
    <w:rsid w:val="0011536E"/>
    <w:rsid w:val="001158D7"/>
    <w:rsid w:val="001166FD"/>
    <w:rsid w:val="00120678"/>
    <w:rsid w:val="001243D4"/>
    <w:rsid w:val="00124DE3"/>
    <w:rsid w:val="00124F43"/>
    <w:rsid w:val="00124F66"/>
    <w:rsid w:val="00127290"/>
    <w:rsid w:val="00130784"/>
    <w:rsid w:val="0013080A"/>
    <w:rsid w:val="00130959"/>
    <w:rsid w:val="00132102"/>
    <w:rsid w:val="00132AFA"/>
    <w:rsid w:val="001333FD"/>
    <w:rsid w:val="00134861"/>
    <w:rsid w:val="001348C3"/>
    <w:rsid w:val="00137278"/>
    <w:rsid w:val="001405F4"/>
    <w:rsid w:val="00140684"/>
    <w:rsid w:val="001412D2"/>
    <w:rsid w:val="00144E81"/>
    <w:rsid w:val="001454BF"/>
    <w:rsid w:val="00145A90"/>
    <w:rsid w:val="001463D9"/>
    <w:rsid w:val="001470CD"/>
    <w:rsid w:val="00153C6B"/>
    <w:rsid w:val="00154148"/>
    <w:rsid w:val="00155391"/>
    <w:rsid w:val="00156576"/>
    <w:rsid w:val="00160713"/>
    <w:rsid w:val="00163C7D"/>
    <w:rsid w:val="00164C0A"/>
    <w:rsid w:val="001655A2"/>
    <w:rsid w:val="00165E37"/>
    <w:rsid w:val="00166938"/>
    <w:rsid w:val="00167472"/>
    <w:rsid w:val="00167508"/>
    <w:rsid w:val="0017190A"/>
    <w:rsid w:val="00172A27"/>
    <w:rsid w:val="00172C4A"/>
    <w:rsid w:val="0018064A"/>
    <w:rsid w:val="00181672"/>
    <w:rsid w:val="0018169E"/>
    <w:rsid w:val="00182380"/>
    <w:rsid w:val="00182C25"/>
    <w:rsid w:val="001832BF"/>
    <w:rsid w:val="00183CBC"/>
    <w:rsid w:val="00185148"/>
    <w:rsid w:val="00187213"/>
    <w:rsid w:val="0019134A"/>
    <w:rsid w:val="0019237D"/>
    <w:rsid w:val="00192502"/>
    <w:rsid w:val="00192729"/>
    <w:rsid w:val="00194385"/>
    <w:rsid w:val="001965D5"/>
    <w:rsid w:val="001A2727"/>
    <w:rsid w:val="001A6C4E"/>
    <w:rsid w:val="001A7267"/>
    <w:rsid w:val="001A78D9"/>
    <w:rsid w:val="001A7EE6"/>
    <w:rsid w:val="001B141D"/>
    <w:rsid w:val="001B2FA9"/>
    <w:rsid w:val="001B3452"/>
    <w:rsid w:val="001B6C85"/>
    <w:rsid w:val="001B6E0C"/>
    <w:rsid w:val="001C1D6F"/>
    <w:rsid w:val="001C27FA"/>
    <w:rsid w:val="001C3ACD"/>
    <w:rsid w:val="001C46C8"/>
    <w:rsid w:val="001C58B0"/>
    <w:rsid w:val="001C7DE9"/>
    <w:rsid w:val="001D3367"/>
    <w:rsid w:val="001D4B7E"/>
    <w:rsid w:val="001D5059"/>
    <w:rsid w:val="001D51C8"/>
    <w:rsid w:val="001D6F22"/>
    <w:rsid w:val="001E144C"/>
    <w:rsid w:val="001E40AB"/>
    <w:rsid w:val="001E63E8"/>
    <w:rsid w:val="001E67C5"/>
    <w:rsid w:val="001E74C5"/>
    <w:rsid w:val="001F1F66"/>
    <w:rsid w:val="001F4556"/>
    <w:rsid w:val="001F4819"/>
    <w:rsid w:val="001F4F55"/>
    <w:rsid w:val="001F6587"/>
    <w:rsid w:val="00200B79"/>
    <w:rsid w:val="00204CBB"/>
    <w:rsid w:val="00205D63"/>
    <w:rsid w:val="00210EC0"/>
    <w:rsid w:val="002110C8"/>
    <w:rsid w:val="00212B2D"/>
    <w:rsid w:val="0021325A"/>
    <w:rsid w:val="00217B14"/>
    <w:rsid w:val="0022031A"/>
    <w:rsid w:val="00221523"/>
    <w:rsid w:val="002219CD"/>
    <w:rsid w:val="00225B5A"/>
    <w:rsid w:val="002275AE"/>
    <w:rsid w:val="00227715"/>
    <w:rsid w:val="00230E7A"/>
    <w:rsid w:val="00232286"/>
    <w:rsid w:val="00233674"/>
    <w:rsid w:val="002345F0"/>
    <w:rsid w:val="0023777F"/>
    <w:rsid w:val="0024026A"/>
    <w:rsid w:val="00242294"/>
    <w:rsid w:val="002427C5"/>
    <w:rsid w:val="00242DF8"/>
    <w:rsid w:val="00244A87"/>
    <w:rsid w:val="00244DDA"/>
    <w:rsid w:val="00245031"/>
    <w:rsid w:val="00245259"/>
    <w:rsid w:val="00250440"/>
    <w:rsid w:val="00250E94"/>
    <w:rsid w:val="00252E0B"/>
    <w:rsid w:val="002540CD"/>
    <w:rsid w:val="00256A8E"/>
    <w:rsid w:val="00260D87"/>
    <w:rsid w:val="002611CD"/>
    <w:rsid w:val="0026244E"/>
    <w:rsid w:val="0026246C"/>
    <w:rsid w:val="002625C4"/>
    <w:rsid w:val="00262811"/>
    <w:rsid w:val="00263798"/>
    <w:rsid w:val="00264386"/>
    <w:rsid w:val="00265255"/>
    <w:rsid w:val="002663C6"/>
    <w:rsid w:val="002663DA"/>
    <w:rsid w:val="002677EF"/>
    <w:rsid w:val="0027224E"/>
    <w:rsid w:val="00273B9C"/>
    <w:rsid w:val="002742E4"/>
    <w:rsid w:val="00274AE7"/>
    <w:rsid w:val="00282D05"/>
    <w:rsid w:val="00283BEC"/>
    <w:rsid w:val="002844EA"/>
    <w:rsid w:val="002850FC"/>
    <w:rsid w:val="002873F2"/>
    <w:rsid w:val="00291C19"/>
    <w:rsid w:val="002926BA"/>
    <w:rsid w:val="00292AD3"/>
    <w:rsid w:val="00293536"/>
    <w:rsid w:val="0029477B"/>
    <w:rsid w:val="00295E24"/>
    <w:rsid w:val="00295F0F"/>
    <w:rsid w:val="002965FB"/>
    <w:rsid w:val="00297CA1"/>
    <w:rsid w:val="002A043C"/>
    <w:rsid w:val="002A08CC"/>
    <w:rsid w:val="002A1C80"/>
    <w:rsid w:val="002A22ED"/>
    <w:rsid w:val="002B1B68"/>
    <w:rsid w:val="002B446D"/>
    <w:rsid w:val="002B57B1"/>
    <w:rsid w:val="002B70FC"/>
    <w:rsid w:val="002C0723"/>
    <w:rsid w:val="002C1969"/>
    <w:rsid w:val="002C1D6C"/>
    <w:rsid w:val="002C2182"/>
    <w:rsid w:val="002C3C04"/>
    <w:rsid w:val="002D0C00"/>
    <w:rsid w:val="002D2608"/>
    <w:rsid w:val="002D2C92"/>
    <w:rsid w:val="002D394B"/>
    <w:rsid w:val="002D4ECD"/>
    <w:rsid w:val="002D6D35"/>
    <w:rsid w:val="002D71C8"/>
    <w:rsid w:val="002E065E"/>
    <w:rsid w:val="002E1247"/>
    <w:rsid w:val="002E1558"/>
    <w:rsid w:val="002E215B"/>
    <w:rsid w:val="002E2F1E"/>
    <w:rsid w:val="002E45E8"/>
    <w:rsid w:val="002E722A"/>
    <w:rsid w:val="002E792D"/>
    <w:rsid w:val="002F05B0"/>
    <w:rsid w:val="002F0AA6"/>
    <w:rsid w:val="002F48D2"/>
    <w:rsid w:val="003009B5"/>
    <w:rsid w:val="00301FD7"/>
    <w:rsid w:val="00302486"/>
    <w:rsid w:val="00307313"/>
    <w:rsid w:val="00310501"/>
    <w:rsid w:val="0031050E"/>
    <w:rsid w:val="00310C5D"/>
    <w:rsid w:val="0031121F"/>
    <w:rsid w:val="00314732"/>
    <w:rsid w:val="0031572A"/>
    <w:rsid w:val="003161C3"/>
    <w:rsid w:val="0032038F"/>
    <w:rsid w:val="00321F05"/>
    <w:rsid w:val="003221D4"/>
    <w:rsid w:val="003238C4"/>
    <w:rsid w:val="0032521E"/>
    <w:rsid w:val="00325283"/>
    <w:rsid w:val="0032615D"/>
    <w:rsid w:val="00327A64"/>
    <w:rsid w:val="00327D78"/>
    <w:rsid w:val="0033112E"/>
    <w:rsid w:val="00332E9E"/>
    <w:rsid w:val="00335591"/>
    <w:rsid w:val="00335DE9"/>
    <w:rsid w:val="003367CD"/>
    <w:rsid w:val="00337B69"/>
    <w:rsid w:val="003415E5"/>
    <w:rsid w:val="00343886"/>
    <w:rsid w:val="00344A2B"/>
    <w:rsid w:val="00344EDF"/>
    <w:rsid w:val="003451A3"/>
    <w:rsid w:val="003459FD"/>
    <w:rsid w:val="00345A01"/>
    <w:rsid w:val="003461C2"/>
    <w:rsid w:val="00346BD7"/>
    <w:rsid w:val="003474BE"/>
    <w:rsid w:val="003479A2"/>
    <w:rsid w:val="00351117"/>
    <w:rsid w:val="0035111C"/>
    <w:rsid w:val="003528C1"/>
    <w:rsid w:val="00354C2E"/>
    <w:rsid w:val="003552A3"/>
    <w:rsid w:val="0035572B"/>
    <w:rsid w:val="003566E9"/>
    <w:rsid w:val="00360D03"/>
    <w:rsid w:val="00361DAD"/>
    <w:rsid w:val="00362CA4"/>
    <w:rsid w:val="00363170"/>
    <w:rsid w:val="00363F33"/>
    <w:rsid w:val="003655BF"/>
    <w:rsid w:val="003663CD"/>
    <w:rsid w:val="00366DC5"/>
    <w:rsid w:val="003677A5"/>
    <w:rsid w:val="0037122D"/>
    <w:rsid w:val="0037463C"/>
    <w:rsid w:val="003762E4"/>
    <w:rsid w:val="003777E2"/>
    <w:rsid w:val="00380FA1"/>
    <w:rsid w:val="003811B3"/>
    <w:rsid w:val="00381D03"/>
    <w:rsid w:val="00382A10"/>
    <w:rsid w:val="00384041"/>
    <w:rsid w:val="003858D0"/>
    <w:rsid w:val="0039099B"/>
    <w:rsid w:val="0039727D"/>
    <w:rsid w:val="0039763B"/>
    <w:rsid w:val="003A1B7D"/>
    <w:rsid w:val="003A2B8C"/>
    <w:rsid w:val="003A45BD"/>
    <w:rsid w:val="003A7FB3"/>
    <w:rsid w:val="003B0C20"/>
    <w:rsid w:val="003B0F51"/>
    <w:rsid w:val="003B11F8"/>
    <w:rsid w:val="003B2AF5"/>
    <w:rsid w:val="003B32DC"/>
    <w:rsid w:val="003B4137"/>
    <w:rsid w:val="003B4C0E"/>
    <w:rsid w:val="003B60D3"/>
    <w:rsid w:val="003C1D63"/>
    <w:rsid w:val="003C28F5"/>
    <w:rsid w:val="003C2AEF"/>
    <w:rsid w:val="003C37A4"/>
    <w:rsid w:val="003C41C0"/>
    <w:rsid w:val="003C44AC"/>
    <w:rsid w:val="003C4690"/>
    <w:rsid w:val="003C5EED"/>
    <w:rsid w:val="003C6A17"/>
    <w:rsid w:val="003D12C0"/>
    <w:rsid w:val="003D30EE"/>
    <w:rsid w:val="003D33D1"/>
    <w:rsid w:val="003D4188"/>
    <w:rsid w:val="003D46FA"/>
    <w:rsid w:val="003D506B"/>
    <w:rsid w:val="003E0A48"/>
    <w:rsid w:val="003E331D"/>
    <w:rsid w:val="003E4DC2"/>
    <w:rsid w:val="003E7DE8"/>
    <w:rsid w:val="003F70C7"/>
    <w:rsid w:val="00405CC8"/>
    <w:rsid w:val="00406A35"/>
    <w:rsid w:val="00406C4A"/>
    <w:rsid w:val="004103DB"/>
    <w:rsid w:val="00411743"/>
    <w:rsid w:val="004123E9"/>
    <w:rsid w:val="00413A4B"/>
    <w:rsid w:val="004141FF"/>
    <w:rsid w:val="00415582"/>
    <w:rsid w:val="00415611"/>
    <w:rsid w:val="00415B11"/>
    <w:rsid w:val="004162CE"/>
    <w:rsid w:val="0041787E"/>
    <w:rsid w:val="0042225F"/>
    <w:rsid w:val="004226A2"/>
    <w:rsid w:val="004227DB"/>
    <w:rsid w:val="00424322"/>
    <w:rsid w:val="0042452D"/>
    <w:rsid w:val="00425BDA"/>
    <w:rsid w:val="00425E7F"/>
    <w:rsid w:val="00425FBF"/>
    <w:rsid w:val="004263B0"/>
    <w:rsid w:val="00427A05"/>
    <w:rsid w:val="00427A61"/>
    <w:rsid w:val="004329EE"/>
    <w:rsid w:val="00435EE6"/>
    <w:rsid w:val="00437668"/>
    <w:rsid w:val="004402DA"/>
    <w:rsid w:val="00441BDC"/>
    <w:rsid w:val="00441C1F"/>
    <w:rsid w:val="004422F6"/>
    <w:rsid w:val="00444467"/>
    <w:rsid w:val="00445D07"/>
    <w:rsid w:val="004466E3"/>
    <w:rsid w:val="004517B6"/>
    <w:rsid w:val="004522C9"/>
    <w:rsid w:val="004603A6"/>
    <w:rsid w:val="00460A82"/>
    <w:rsid w:val="00460C55"/>
    <w:rsid w:val="00462291"/>
    <w:rsid w:val="004626B9"/>
    <w:rsid w:val="00464630"/>
    <w:rsid w:val="00464712"/>
    <w:rsid w:val="00464CB6"/>
    <w:rsid w:val="00465356"/>
    <w:rsid w:val="004701FF"/>
    <w:rsid w:val="004714A5"/>
    <w:rsid w:val="00471B08"/>
    <w:rsid w:val="00472BC2"/>
    <w:rsid w:val="004747EC"/>
    <w:rsid w:val="00476FB5"/>
    <w:rsid w:val="0047787C"/>
    <w:rsid w:val="0047798E"/>
    <w:rsid w:val="00480232"/>
    <w:rsid w:val="004816A2"/>
    <w:rsid w:val="00481893"/>
    <w:rsid w:val="0048255D"/>
    <w:rsid w:val="00483390"/>
    <w:rsid w:val="00483929"/>
    <w:rsid w:val="00483EC3"/>
    <w:rsid w:val="004841E6"/>
    <w:rsid w:val="00484704"/>
    <w:rsid w:val="00486782"/>
    <w:rsid w:val="00487290"/>
    <w:rsid w:val="0049177C"/>
    <w:rsid w:val="0049261B"/>
    <w:rsid w:val="00492724"/>
    <w:rsid w:val="0049372D"/>
    <w:rsid w:val="00493C8D"/>
    <w:rsid w:val="00496393"/>
    <w:rsid w:val="00496792"/>
    <w:rsid w:val="00497705"/>
    <w:rsid w:val="004A5A63"/>
    <w:rsid w:val="004A6904"/>
    <w:rsid w:val="004A7DC6"/>
    <w:rsid w:val="004B313C"/>
    <w:rsid w:val="004B3A40"/>
    <w:rsid w:val="004B4EC2"/>
    <w:rsid w:val="004B7E80"/>
    <w:rsid w:val="004C1503"/>
    <w:rsid w:val="004C1554"/>
    <w:rsid w:val="004C24AE"/>
    <w:rsid w:val="004C2E5F"/>
    <w:rsid w:val="004C41FD"/>
    <w:rsid w:val="004C48FE"/>
    <w:rsid w:val="004C5ECB"/>
    <w:rsid w:val="004C6BA2"/>
    <w:rsid w:val="004D35AC"/>
    <w:rsid w:val="004D3CFA"/>
    <w:rsid w:val="004E05E0"/>
    <w:rsid w:val="004E0D36"/>
    <w:rsid w:val="004E1ECF"/>
    <w:rsid w:val="004E3C2E"/>
    <w:rsid w:val="004E3F72"/>
    <w:rsid w:val="004E74BF"/>
    <w:rsid w:val="004E7BA5"/>
    <w:rsid w:val="004F0484"/>
    <w:rsid w:val="004F0C86"/>
    <w:rsid w:val="004F2A1D"/>
    <w:rsid w:val="004F40FC"/>
    <w:rsid w:val="004F42D5"/>
    <w:rsid w:val="004F70A4"/>
    <w:rsid w:val="00501548"/>
    <w:rsid w:val="00502040"/>
    <w:rsid w:val="005023B5"/>
    <w:rsid w:val="00503708"/>
    <w:rsid w:val="00504EFC"/>
    <w:rsid w:val="00506638"/>
    <w:rsid w:val="005078BE"/>
    <w:rsid w:val="00507A1F"/>
    <w:rsid w:val="00507B6C"/>
    <w:rsid w:val="00512522"/>
    <w:rsid w:val="00515D65"/>
    <w:rsid w:val="0052154E"/>
    <w:rsid w:val="005223A0"/>
    <w:rsid w:val="00522732"/>
    <w:rsid w:val="00525C16"/>
    <w:rsid w:val="00526D05"/>
    <w:rsid w:val="005272DF"/>
    <w:rsid w:val="00527ED3"/>
    <w:rsid w:val="0053110C"/>
    <w:rsid w:val="00531E65"/>
    <w:rsid w:val="00532657"/>
    <w:rsid w:val="00533E28"/>
    <w:rsid w:val="005375B2"/>
    <w:rsid w:val="00540B74"/>
    <w:rsid w:val="0054144D"/>
    <w:rsid w:val="005455F2"/>
    <w:rsid w:val="005457B5"/>
    <w:rsid w:val="005467C0"/>
    <w:rsid w:val="00546D83"/>
    <w:rsid w:val="00547743"/>
    <w:rsid w:val="005515EC"/>
    <w:rsid w:val="005518E4"/>
    <w:rsid w:val="00554136"/>
    <w:rsid w:val="00554BCC"/>
    <w:rsid w:val="00554E36"/>
    <w:rsid w:val="00555A47"/>
    <w:rsid w:val="005561EC"/>
    <w:rsid w:val="00560A21"/>
    <w:rsid w:val="00561C03"/>
    <w:rsid w:val="00562011"/>
    <w:rsid w:val="00566881"/>
    <w:rsid w:val="00566C4A"/>
    <w:rsid w:val="00570385"/>
    <w:rsid w:val="00572ABE"/>
    <w:rsid w:val="00572D03"/>
    <w:rsid w:val="00573F6E"/>
    <w:rsid w:val="0057498C"/>
    <w:rsid w:val="005769E5"/>
    <w:rsid w:val="005777C2"/>
    <w:rsid w:val="005805C0"/>
    <w:rsid w:val="00580BC9"/>
    <w:rsid w:val="00582A3A"/>
    <w:rsid w:val="005850E5"/>
    <w:rsid w:val="005865B3"/>
    <w:rsid w:val="005876C3"/>
    <w:rsid w:val="0059055B"/>
    <w:rsid w:val="00590C8F"/>
    <w:rsid w:val="00590F86"/>
    <w:rsid w:val="0059126F"/>
    <w:rsid w:val="0059188D"/>
    <w:rsid w:val="00593398"/>
    <w:rsid w:val="00594AF0"/>
    <w:rsid w:val="00597603"/>
    <w:rsid w:val="00597CA0"/>
    <w:rsid w:val="005A02AE"/>
    <w:rsid w:val="005A0E2C"/>
    <w:rsid w:val="005A27D9"/>
    <w:rsid w:val="005A3990"/>
    <w:rsid w:val="005A42DE"/>
    <w:rsid w:val="005A584F"/>
    <w:rsid w:val="005B1D0E"/>
    <w:rsid w:val="005B3A69"/>
    <w:rsid w:val="005B435A"/>
    <w:rsid w:val="005B5987"/>
    <w:rsid w:val="005B7E51"/>
    <w:rsid w:val="005C0E19"/>
    <w:rsid w:val="005C147E"/>
    <w:rsid w:val="005C2C2B"/>
    <w:rsid w:val="005C2DB2"/>
    <w:rsid w:val="005C4800"/>
    <w:rsid w:val="005C5F74"/>
    <w:rsid w:val="005C5FCC"/>
    <w:rsid w:val="005D0470"/>
    <w:rsid w:val="005D0707"/>
    <w:rsid w:val="005D16C8"/>
    <w:rsid w:val="005D24BA"/>
    <w:rsid w:val="005D5A30"/>
    <w:rsid w:val="005D5E6E"/>
    <w:rsid w:val="005D66FE"/>
    <w:rsid w:val="005D75EB"/>
    <w:rsid w:val="005E38C2"/>
    <w:rsid w:val="005E4BDA"/>
    <w:rsid w:val="005E4F5F"/>
    <w:rsid w:val="005E7CED"/>
    <w:rsid w:val="005F116B"/>
    <w:rsid w:val="005F152D"/>
    <w:rsid w:val="005F2CCB"/>
    <w:rsid w:val="005F6D3C"/>
    <w:rsid w:val="005F7E0B"/>
    <w:rsid w:val="0060067A"/>
    <w:rsid w:val="0060369D"/>
    <w:rsid w:val="0060384C"/>
    <w:rsid w:val="00604A25"/>
    <w:rsid w:val="0060540E"/>
    <w:rsid w:val="00612FF3"/>
    <w:rsid w:val="00614BA0"/>
    <w:rsid w:val="00615430"/>
    <w:rsid w:val="00615EF7"/>
    <w:rsid w:val="006175D0"/>
    <w:rsid w:val="00617B71"/>
    <w:rsid w:val="006208F0"/>
    <w:rsid w:val="006216E4"/>
    <w:rsid w:val="0062224F"/>
    <w:rsid w:val="0062254F"/>
    <w:rsid w:val="00622CC2"/>
    <w:rsid w:val="006231CA"/>
    <w:rsid w:val="00623AD4"/>
    <w:rsid w:val="00624B07"/>
    <w:rsid w:val="006347B3"/>
    <w:rsid w:val="0063732A"/>
    <w:rsid w:val="00640788"/>
    <w:rsid w:val="006431C4"/>
    <w:rsid w:val="0064338F"/>
    <w:rsid w:val="0064679E"/>
    <w:rsid w:val="006476EF"/>
    <w:rsid w:val="00647D91"/>
    <w:rsid w:val="00650B36"/>
    <w:rsid w:val="00651B07"/>
    <w:rsid w:val="006530A6"/>
    <w:rsid w:val="006531F5"/>
    <w:rsid w:val="00654E42"/>
    <w:rsid w:val="00655196"/>
    <w:rsid w:val="00655906"/>
    <w:rsid w:val="006564BD"/>
    <w:rsid w:val="00660533"/>
    <w:rsid w:val="0066067A"/>
    <w:rsid w:val="00661B9A"/>
    <w:rsid w:val="0066264F"/>
    <w:rsid w:val="0066364B"/>
    <w:rsid w:val="00671938"/>
    <w:rsid w:val="00673B57"/>
    <w:rsid w:val="006749C8"/>
    <w:rsid w:val="006754E9"/>
    <w:rsid w:val="00675CF2"/>
    <w:rsid w:val="00675E1E"/>
    <w:rsid w:val="00677694"/>
    <w:rsid w:val="00677A0D"/>
    <w:rsid w:val="00677F6E"/>
    <w:rsid w:val="006800C1"/>
    <w:rsid w:val="00680B20"/>
    <w:rsid w:val="00682A0E"/>
    <w:rsid w:val="00685199"/>
    <w:rsid w:val="006851CA"/>
    <w:rsid w:val="00685952"/>
    <w:rsid w:val="00685C3D"/>
    <w:rsid w:val="00690122"/>
    <w:rsid w:val="0069085A"/>
    <w:rsid w:val="00691793"/>
    <w:rsid w:val="00692420"/>
    <w:rsid w:val="006924F8"/>
    <w:rsid w:val="00692558"/>
    <w:rsid w:val="00693FDB"/>
    <w:rsid w:val="006970DD"/>
    <w:rsid w:val="006A02BF"/>
    <w:rsid w:val="006A13DC"/>
    <w:rsid w:val="006A2968"/>
    <w:rsid w:val="006A398C"/>
    <w:rsid w:val="006A53B9"/>
    <w:rsid w:val="006A633B"/>
    <w:rsid w:val="006A7A66"/>
    <w:rsid w:val="006B1201"/>
    <w:rsid w:val="006B519D"/>
    <w:rsid w:val="006B75EC"/>
    <w:rsid w:val="006C1D63"/>
    <w:rsid w:val="006C20A2"/>
    <w:rsid w:val="006C2B54"/>
    <w:rsid w:val="006C31F3"/>
    <w:rsid w:val="006C32BE"/>
    <w:rsid w:val="006C3718"/>
    <w:rsid w:val="006D0605"/>
    <w:rsid w:val="006D06EB"/>
    <w:rsid w:val="006D2F1D"/>
    <w:rsid w:val="006D3B45"/>
    <w:rsid w:val="006D47E1"/>
    <w:rsid w:val="006D4901"/>
    <w:rsid w:val="006D6661"/>
    <w:rsid w:val="006D6F68"/>
    <w:rsid w:val="006E12CA"/>
    <w:rsid w:val="006E1790"/>
    <w:rsid w:val="006E306E"/>
    <w:rsid w:val="006E4154"/>
    <w:rsid w:val="006E4DCB"/>
    <w:rsid w:val="006E576E"/>
    <w:rsid w:val="006E652D"/>
    <w:rsid w:val="006E7D29"/>
    <w:rsid w:val="006F09BC"/>
    <w:rsid w:val="006F1B7F"/>
    <w:rsid w:val="006F3A3F"/>
    <w:rsid w:val="006F3C5E"/>
    <w:rsid w:val="006F4971"/>
    <w:rsid w:val="006F76B7"/>
    <w:rsid w:val="00700364"/>
    <w:rsid w:val="0070083E"/>
    <w:rsid w:val="00701ECD"/>
    <w:rsid w:val="00702D5A"/>
    <w:rsid w:val="0070489D"/>
    <w:rsid w:val="00705628"/>
    <w:rsid w:val="007063BA"/>
    <w:rsid w:val="00706E85"/>
    <w:rsid w:val="00706FEA"/>
    <w:rsid w:val="00710283"/>
    <w:rsid w:val="007102BB"/>
    <w:rsid w:val="00711A54"/>
    <w:rsid w:val="00712B82"/>
    <w:rsid w:val="007144C2"/>
    <w:rsid w:val="00714DDB"/>
    <w:rsid w:val="00716915"/>
    <w:rsid w:val="007175BE"/>
    <w:rsid w:val="0072046B"/>
    <w:rsid w:val="00724288"/>
    <w:rsid w:val="007277DC"/>
    <w:rsid w:val="00730B6E"/>
    <w:rsid w:val="007312B8"/>
    <w:rsid w:val="00732B4E"/>
    <w:rsid w:val="0073377F"/>
    <w:rsid w:val="00737A6D"/>
    <w:rsid w:val="007407E2"/>
    <w:rsid w:val="00740FE4"/>
    <w:rsid w:val="007415A4"/>
    <w:rsid w:val="0074540D"/>
    <w:rsid w:val="00745D6A"/>
    <w:rsid w:val="0074607C"/>
    <w:rsid w:val="00746983"/>
    <w:rsid w:val="007469F8"/>
    <w:rsid w:val="00747B51"/>
    <w:rsid w:val="00750E55"/>
    <w:rsid w:val="00751B92"/>
    <w:rsid w:val="00753945"/>
    <w:rsid w:val="00754E58"/>
    <w:rsid w:val="00754F52"/>
    <w:rsid w:val="007557BA"/>
    <w:rsid w:val="00756C6B"/>
    <w:rsid w:val="007571BC"/>
    <w:rsid w:val="0076317A"/>
    <w:rsid w:val="00764B9A"/>
    <w:rsid w:val="00766C38"/>
    <w:rsid w:val="0077180E"/>
    <w:rsid w:val="00772E13"/>
    <w:rsid w:val="007747E0"/>
    <w:rsid w:val="007747F4"/>
    <w:rsid w:val="00774AA4"/>
    <w:rsid w:val="0077609C"/>
    <w:rsid w:val="007770E3"/>
    <w:rsid w:val="00781CDE"/>
    <w:rsid w:val="00782BCF"/>
    <w:rsid w:val="007853A5"/>
    <w:rsid w:val="0078607B"/>
    <w:rsid w:val="0078725A"/>
    <w:rsid w:val="0078729D"/>
    <w:rsid w:val="00790616"/>
    <w:rsid w:val="007906A8"/>
    <w:rsid w:val="00794589"/>
    <w:rsid w:val="00795682"/>
    <w:rsid w:val="007965D9"/>
    <w:rsid w:val="0079699F"/>
    <w:rsid w:val="007A0B6B"/>
    <w:rsid w:val="007A1201"/>
    <w:rsid w:val="007A398F"/>
    <w:rsid w:val="007A4F36"/>
    <w:rsid w:val="007A5F8F"/>
    <w:rsid w:val="007A7CCC"/>
    <w:rsid w:val="007B1CAF"/>
    <w:rsid w:val="007B2671"/>
    <w:rsid w:val="007B432A"/>
    <w:rsid w:val="007B5E97"/>
    <w:rsid w:val="007B6136"/>
    <w:rsid w:val="007C2593"/>
    <w:rsid w:val="007C2C39"/>
    <w:rsid w:val="007C337C"/>
    <w:rsid w:val="007C33FE"/>
    <w:rsid w:val="007C37CA"/>
    <w:rsid w:val="007C5CEA"/>
    <w:rsid w:val="007D49C3"/>
    <w:rsid w:val="007D55B9"/>
    <w:rsid w:val="007E098A"/>
    <w:rsid w:val="007E2532"/>
    <w:rsid w:val="007E2DDD"/>
    <w:rsid w:val="007E5D8F"/>
    <w:rsid w:val="007E783D"/>
    <w:rsid w:val="007E79FF"/>
    <w:rsid w:val="007F040E"/>
    <w:rsid w:val="007F0842"/>
    <w:rsid w:val="007F0AE2"/>
    <w:rsid w:val="007F25DE"/>
    <w:rsid w:val="007F3EB0"/>
    <w:rsid w:val="007F6200"/>
    <w:rsid w:val="007F66B6"/>
    <w:rsid w:val="007F6843"/>
    <w:rsid w:val="007F6C77"/>
    <w:rsid w:val="007F7CF8"/>
    <w:rsid w:val="007F7FA1"/>
    <w:rsid w:val="00802092"/>
    <w:rsid w:val="00802B74"/>
    <w:rsid w:val="00804720"/>
    <w:rsid w:val="008058E0"/>
    <w:rsid w:val="00807056"/>
    <w:rsid w:val="00807534"/>
    <w:rsid w:val="00811290"/>
    <w:rsid w:val="00811520"/>
    <w:rsid w:val="008118F0"/>
    <w:rsid w:val="00811A99"/>
    <w:rsid w:val="00812050"/>
    <w:rsid w:val="00813042"/>
    <w:rsid w:val="00813753"/>
    <w:rsid w:val="00816173"/>
    <w:rsid w:val="008174D8"/>
    <w:rsid w:val="0082109C"/>
    <w:rsid w:val="00823C0A"/>
    <w:rsid w:val="0082574F"/>
    <w:rsid w:val="00825CA9"/>
    <w:rsid w:val="00826EA5"/>
    <w:rsid w:val="0082767C"/>
    <w:rsid w:val="00830254"/>
    <w:rsid w:val="00830FCE"/>
    <w:rsid w:val="00831EBB"/>
    <w:rsid w:val="00834386"/>
    <w:rsid w:val="008354D8"/>
    <w:rsid w:val="0083698F"/>
    <w:rsid w:val="0083719C"/>
    <w:rsid w:val="00837655"/>
    <w:rsid w:val="0084114C"/>
    <w:rsid w:val="008446D1"/>
    <w:rsid w:val="00847670"/>
    <w:rsid w:val="0085002E"/>
    <w:rsid w:val="008508F3"/>
    <w:rsid w:val="00850F44"/>
    <w:rsid w:val="0085313F"/>
    <w:rsid w:val="008535B4"/>
    <w:rsid w:val="00853CC6"/>
    <w:rsid w:val="0085410C"/>
    <w:rsid w:val="0085460F"/>
    <w:rsid w:val="00855177"/>
    <w:rsid w:val="00855FEA"/>
    <w:rsid w:val="008607C6"/>
    <w:rsid w:val="00861E59"/>
    <w:rsid w:val="008633C0"/>
    <w:rsid w:val="008647C2"/>
    <w:rsid w:val="00867266"/>
    <w:rsid w:val="00871728"/>
    <w:rsid w:val="00874166"/>
    <w:rsid w:val="008768F1"/>
    <w:rsid w:val="0088134E"/>
    <w:rsid w:val="00885C2D"/>
    <w:rsid w:val="00885E67"/>
    <w:rsid w:val="00887DAD"/>
    <w:rsid w:val="00890824"/>
    <w:rsid w:val="00891CD4"/>
    <w:rsid w:val="008937E9"/>
    <w:rsid w:val="0089578C"/>
    <w:rsid w:val="008A1D43"/>
    <w:rsid w:val="008A22C4"/>
    <w:rsid w:val="008A5726"/>
    <w:rsid w:val="008A638E"/>
    <w:rsid w:val="008A7B0C"/>
    <w:rsid w:val="008B4570"/>
    <w:rsid w:val="008B52FF"/>
    <w:rsid w:val="008B6D63"/>
    <w:rsid w:val="008B7047"/>
    <w:rsid w:val="008B7BC1"/>
    <w:rsid w:val="008B7E92"/>
    <w:rsid w:val="008C107A"/>
    <w:rsid w:val="008C1254"/>
    <w:rsid w:val="008C3261"/>
    <w:rsid w:val="008C362E"/>
    <w:rsid w:val="008C56B7"/>
    <w:rsid w:val="008C5B3F"/>
    <w:rsid w:val="008D1771"/>
    <w:rsid w:val="008D1DDE"/>
    <w:rsid w:val="008D1FBA"/>
    <w:rsid w:val="008D474F"/>
    <w:rsid w:val="008D648B"/>
    <w:rsid w:val="008D715D"/>
    <w:rsid w:val="008D74F1"/>
    <w:rsid w:val="008D769D"/>
    <w:rsid w:val="008D7801"/>
    <w:rsid w:val="008E0FD4"/>
    <w:rsid w:val="008E35B9"/>
    <w:rsid w:val="008E3A79"/>
    <w:rsid w:val="008E3DAE"/>
    <w:rsid w:val="008E3EF7"/>
    <w:rsid w:val="008E4DE4"/>
    <w:rsid w:val="008E568D"/>
    <w:rsid w:val="008E6252"/>
    <w:rsid w:val="008E7CB3"/>
    <w:rsid w:val="008F0531"/>
    <w:rsid w:val="008F0622"/>
    <w:rsid w:val="008F19F9"/>
    <w:rsid w:val="008F211E"/>
    <w:rsid w:val="008F2F86"/>
    <w:rsid w:val="008F3A93"/>
    <w:rsid w:val="008F5A74"/>
    <w:rsid w:val="008F6048"/>
    <w:rsid w:val="008F7025"/>
    <w:rsid w:val="008F7380"/>
    <w:rsid w:val="008F7733"/>
    <w:rsid w:val="00900937"/>
    <w:rsid w:val="00901929"/>
    <w:rsid w:val="00901FB8"/>
    <w:rsid w:val="0090235C"/>
    <w:rsid w:val="009042C2"/>
    <w:rsid w:val="009043C5"/>
    <w:rsid w:val="009063C0"/>
    <w:rsid w:val="00907455"/>
    <w:rsid w:val="00910922"/>
    <w:rsid w:val="00913624"/>
    <w:rsid w:val="00915E30"/>
    <w:rsid w:val="00916E70"/>
    <w:rsid w:val="00923322"/>
    <w:rsid w:val="009241FB"/>
    <w:rsid w:val="009265E3"/>
    <w:rsid w:val="00926B80"/>
    <w:rsid w:val="0093100B"/>
    <w:rsid w:val="00931EFD"/>
    <w:rsid w:val="00933042"/>
    <w:rsid w:val="00934BF0"/>
    <w:rsid w:val="00935046"/>
    <w:rsid w:val="009368E0"/>
    <w:rsid w:val="009368F8"/>
    <w:rsid w:val="00936CB8"/>
    <w:rsid w:val="00937B41"/>
    <w:rsid w:val="00940135"/>
    <w:rsid w:val="009408E7"/>
    <w:rsid w:val="00942DB3"/>
    <w:rsid w:val="00943ED8"/>
    <w:rsid w:val="009445E8"/>
    <w:rsid w:val="00944D99"/>
    <w:rsid w:val="00945139"/>
    <w:rsid w:val="00945306"/>
    <w:rsid w:val="009456E6"/>
    <w:rsid w:val="00945C5E"/>
    <w:rsid w:val="009506F0"/>
    <w:rsid w:val="00951B12"/>
    <w:rsid w:val="00952797"/>
    <w:rsid w:val="009539F8"/>
    <w:rsid w:val="009561EB"/>
    <w:rsid w:val="00960D7A"/>
    <w:rsid w:val="0096397C"/>
    <w:rsid w:val="00964F01"/>
    <w:rsid w:val="009650CD"/>
    <w:rsid w:val="00965998"/>
    <w:rsid w:val="00966714"/>
    <w:rsid w:val="00967AF6"/>
    <w:rsid w:val="00967E3E"/>
    <w:rsid w:val="0097040D"/>
    <w:rsid w:val="00970478"/>
    <w:rsid w:val="00970943"/>
    <w:rsid w:val="00972522"/>
    <w:rsid w:val="00972DDB"/>
    <w:rsid w:val="00972E29"/>
    <w:rsid w:val="00981C6D"/>
    <w:rsid w:val="009839CA"/>
    <w:rsid w:val="00983BCE"/>
    <w:rsid w:val="0098425F"/>
    <w:rsid w:val="009859FC"/>
    <w:rsid w:val="0098672E"/>
    <w:rsid w:val="00994EA2"/>
    <w:rsid w:val="00995428"/>
    <w:rsid w:val="009963D8"/>
    <w:rsid w:val="009A09DF"/>
    <w:rsid w:val="009A2D25"/>
    <w:rsid w:val="009A481D"/>
    <w:rsid w:val="009A59D2"/>
    <w:rsid w:val="009A663A"/>
    <w:rsid w:val="009B1BF3"/>
    <w:rsid w:val="009B1D11"/>
    <w:rsid w:val="009B21EA"/>
    <w:rsid w:val="009B39FF"/>
    <w:rsid w:val="009B52FE"/>
    <w:rsid w:val="009B6396"/>
    <w:rsid w:val="009B6C72"/>
    <w:rsid w:val="009B6E87"/>
    <w:rsid w:val="009B7C72"/>
    <w:rsid w:val="009C0650"/>
    <w:rsid w:val="009C0AB3"/>
    <w:rsid w:val="009C2F7E"/>
    <w:rsid w:val="009C36CA"/>
    <w:rsid w:val="009C5547"/>
    <w:rsid w:val="009C7E19"/>
    <w:rsid w:val="009D28F3"/>
    <w:rsid w:val="009D3B32"/>
    <w:rsid w:val="009D4232"/>
    <w:rsid w:val="009D42B1"/>
    <w:rsid w:val="009D48C7"/>
    <w:rsid w:val="009D5622"/>
    <w:rsid w:val="009D6B1E"/>
    <w:rsid w:val="009E0C1A"/>
    <w:rsid w:val="009E147A"/>
    <w:rsid w:val="009E2CD9"/>
    <w:rsid w:val="009E38E7"/>
    <w:rsid w:val="009E392A"/>
    <w:rsid w:val="009E3A5C"/>
    <w:rsid w:val="009E3D8D"/>
    <w:rsid w:val="009E4820"/>
    <w:rsid w:val="009E5D15"/>
    <w:rsid w:val="009F144F"/>
    <w:rsid w:val="009F1981"/>
    <w:rsid w:val="009F342E"/>
    <w:rsid w:val="009F36D6"/>
    <w:rsid w:val="009F42A1"/>
    <w:rsid w:val="009F4D72"/>
    <w:rsid w:val="009F55C0"/>
    <w:rsid w:val="009F6537"/>
    <w:rsid w:val="009F7DA3"/>
    <w:rsid w:val="00A0063F"/>
    <w:rsid w:val="00A0267C"/>
    <w:rsid w:val="00A0339D"/>
    <w:rsid w:val="00A0343F"/>
    <w:rsid w:val="00A034D6"/>
    <w:rsid w:val="00A036C1"/>
    <w:rsid w:val="00A105B2"/>
    <w:rsid w:val="00A12191"/>
    <w:rsid w:val="00A1343B"/>
    <w:rsid w:val="00A16144"/>
    <w:rsid w:val="00A16B7E"/>
    <w:rsid w:val="00A1761D"/>
    <w:rsid w:val="00A2115F"/>
    <w:rsid w:val="00A23399"/>
    <w:rsid w:val="00A23454"/>
    <w:rsid w:val="00A253DB"/>
    <w:rsid w:val="00A25588"/>
    <w:rsid w:val="00A25592"/>
    <w:rsid w:val="00A31592"/>
    <w:rsid w:val="00A31B7F"/>
    <w:rsid w:val="00A31DB8"/>
    <w:rsid w:val="00A32B8D"/>
    <w:rsid w:val="00A34853"/>
    <w:rsid w:val="00A36361"/>
    <w:rsid w:val="00A37480"/>
    <w:rsid w:val="00A40485"/>
    <w:rsid w:val="00A40A18"/>
    <w:rsid w:val="00A41475"/>
    <w:rsid w:val="00A4180F"/>
    <w:rsid w:val="00A4203C"/>
    <w:rsid w:val="00A42602"/>
    <w:rsid w:val="00A428D5"/>
    <w:rsid w:val="00A43D6A"/>
    <w:rsid w:val="00A44101"/>
    <w:rsid w:val="00A453B1"/>
    <w:rsid w:val="00A45594"/>
    <w:rsid w:val="00A47CE1"/>
    <w:rsid w:val="00A50794"/>
    <w:rsid w:val="00A5090B"/>
    <w:rsid w:val="00A51B2F"/>
    <w:rsid w:val="00A51B66"/>
    <w:rsid w:val="00A5295E"/>
    <w:rsid w:val="00A54A2D"/>
    <w:rsid w:val="00A55CBF"/>
    <w:rsid w:val="00A5723B"/>
    <w:rsid w:val="00A626C5"/>
    <w:rsid w:val="00A64FAB"/>
    <w:rsid w:val="00A652FB"/>
    <w:rsid w:val="00A67891"/>
    <w:rsid w:val="00A70583"/>
    <w:rsid w:val="00A71AE0"/>
    <w:rsid w:val="00A7335D"/>
    <w:rsid w:val="00A7335E"/>
    <w:rsid w:val="00A748D3"/>
    <w:rsid w:val="00A8017B"/>
    <w:rsid w:val="00A83786"/>
    <w:rsid w:val="00A85E1B"/>
    <w:rsid w:val="00A87E73"/>
    <w:rsid w:val="00A93FD2"/>
    <w:rsid w:val="00A94221"/>
    <w:rsid w:val="00A94887"/>
    <w:rsid w:val="00A94EED"/>
    <w:rsid w:val="00A958B3"/>
    <w:rsid w:val="00A962B8"/>
    <w:rsid w:val="00AA02CA"/>
    <w:rsid w:val="00AA06DA"/>
    <w:rsid w:val="00AA23A6"/>
    <w:rsid w:val="00AA51EE"/>
    <w:rsid w:val="00AA5DA5"/>
    <w:rsid w:val="00AA725E"/>
    <w:rsid w:val="00AA7622"/>
    <w:rsid w:val="00AA78A3"/>
    <w:rsid w:val="00AB0087"/>
    <w:rsid w:val="00AB0C6C"/>
    <w:rsid w:val="00AB5AF6"/>
    <w:rsid w:val="00AB71D1"/>
    <w:rsid w:val="00AB7EFC"/>
    <w:rsid w:val="00AC0B50"/>
    <w:rsid w:val="00AC33D5"/>
    <w:rsid w:val="00AC7423"/>
    <w:rsid w:val="00AC742C"/>
    <w:rsid w:val="00AD006C"/>
    <w:rsid w:val="00AD09DA"/>
    <w:rsid w:val="00AD2ADC"/>
    <w:rsid w:val="00AD3D37"/>
    <w:rsid w:val="00AD5C98"/>
    <w:rsid w:val="00AE091B"/>
    <w:rsid w:val="00AE0A39"/>
    <w:rsid w:val="00AE1486"/>
    <w:rsid w:val="00AE2B93"/>
    <w:rsid w:val="00AE4583"/>
    <w:rsid w:val="00AE4611"/>
    <w:rsid w:val="00AE6C65"/>
    <w:rsid w:val="00AF047F"/>
    <w:rsid w:val="00AF3456"/>
    <w:rsid w:val="00AF49F1"/>
    <w:rsid w:val="00AF749B"/>
    <w:rsid w:val="00B01375"/>
    <w:rsid w:val="00B02507"/>
    <w:rsid w:val="00B06139"/>
    <w:rsid w:val="00B06C65"/>
    <w:rsid w:val="00B0743A"/>
    <w:rsid w:val="00B0746C"/>
    <w:rsid w:val="00B111E8"/>
    <w:rsid w:val="00B11B62"/>
    <w:rsid w:val="00B12322"/>
    <w:rsid w:val="00B12735"/>
    <w:rsid w:val="00B12FA5"/>
    <w:rsid w:val="00B13AF6"/>
    <w:rsid w:val="00B13E8E"/>
    <w:rsid w:val="00B14363"/>
    <w:rsid w:val="00B156E3"/>
    <w:rsid w:val="00B16C85"/>
    <w:rsid w:val="00B16E14"/>
    <w:rsid w:val="00B1789F"/>
    <w:rsid w:val="00B247DE"/>
    <w:rsid w:val="00B26D3D"/>
    <w:rsid w:val="00B273CE"/>
    <w:rsid w:val="00B274B2"/>
    <w:rsid w:val="00B27BB4"/>
    <w:rsid w:val="00B3017D"/>
    <w:rsid w:val="00B31482"/>
    <w:rsid w:val="00B31B6D"/>
    <w:rsid w:val="00B33023"/>
    <w:rsid w:val="00B33895"/>
    <w:rsid w:val="00B356AA"/>
    <w:rsid w:val="00B37214"/>
    <w:rsid w:val="00B4001E"/>
    <w:rsid w:val="00B40D86"/>
    <w:rsid w:val="00B41F02"/>
    <w:rsid w:val="00B43B3D"/>
    <w:rsid w:val="00B448BE"/>
    <w:rsid w:val="00B452A5"/>
    <w:rsid w:val="00B45625"/>
    <w:rsid w:val="00B4562E"/>
    <w:rsid w:val="00B478B2"/>
    <w:rsid w:val="00B47F7B"/>
    <w:rsid w:val="00B5170D"/>
    <w:rsid w:val="00B52FA4"/>
    <w:rsid w:val="00B53A48"/>
    <w:rsid w:val="00B54636"/>
    <w:rsid w:val="00B56C55"/>
    <w:rsid w:val="00B605C1"/>
    <w:rsid w:val="00B6165A"/>
    <w:rsid w:val="00B6325C"/>
    <w:rsid w:val="00B63E91"/>
    <w:rsid w:val="00B658D9"/>
    <w:rsid w:val="00B700F5"/>
    <w:rsid w:val="00B70F31"/>
    <w:rsid w:val="00B727C5"/>
    <w:rsid w:val="00B728EA"/>
    <w:rsid w:val="00B7395B"/>
    <w:rsid w:val="00B74F88"/>
    <w:rsid w:val="00B7767E"/>
    <w:rsid w:val="00B80A23"/>
    <w:rsid w:val="00B81886"/>
    <w:rsid w:val="00B83016"/>
    <w:rsid w:val="00B92D42"/>
    <w:rsid w:val="00B945CF"/>
    <w:rsid w:val="00B9551E"/>
    <w:rsid w:val="00B95556"/>
    <w:rsid w:val="00B97953"/>
    <w:rsid w:val="00BA0543"/>
    <w:rsid w:val="00BA11C1"/>
    <w:rsid w:val="00BA19D0"/>
    <w:rsid w:val="00BA35BA"/>
    <w:rsid w:val="00BA5C71"/>
    <w:rsid w:val="00BA5FBC"/>
    <w:rsid w:val="00BA68B6"/>
    <w:rsid w:val="00BA74E4"/>
    <w:rsid w:val="00BA7D33"/>
    <w:rsid w:val="00BB0AB2"/>
    <w:rsid w:val="00BB1630"/>
    <w:rsid w:val="00BB3304"/>
    <w:rsid w:val="00BB50C2"/>
    <w:rsid w:val="00BB6A48"/>
    <w:rsid w:val="00BB7BA9"/>
    <w:rsid w:val="00BC03EA"/>
    <w:rsid w:val="00BC4CD6"/>
    <w:rsid w:val="00BC6756"/>
    <w:rsid w:val="00BC6944"/>
    <w:rsid w:val="00BC6BE1"/>
    <w:rsid w:val="00BD16BB"/>
    <w:rsid w:val="00BD25BB"/>
    <w:rsid w:val="00BD5FC6"/>
    <w:rsid w:val="00BD73F0"/>
    <w:rsid w:val="00BD786B"/>
    <w:rsid w:val="00BE1359"/>
    <w:rsid w:val="00BE238F"/>
    <w:rsid w:val="00BE24AB"/>
    <w:rsid w:val="00BE4615"/>
    <w:rsid w:val="00BE4754"/>
    <w:rsid w:val="00BE5FA4"/>
    <w:rsid w:val="00BE64E7"/>
    <w:rsid w:val="00BE7B6A"/>
    <w:rsid w:val="00BF082E"/>
    <w:rsid w:val="00BF262B"/>
    <w:rsid w:val="00BF36FD"/>
    <w:rsid w:val="00BF48E4"/>
    <w:rsid w:val="00BF4A78"/>
    <w:rsid w:val="00BF4EB4"/>
    <w:rsid w:val="00BF5387"/>
    <w:rsid w:val="00BF5A9D"/>
    <w:rsid w:val="00BF71D8"/>
    <w:rsid w:val="00C04328"/>
    <w:rsid w:val="00C04897"/>
    <w:rsid w:val="00C063DE"/>
    <w:rsid w:val="00C1000C"/>
    <w:rsid w:val="00C10A9B"/>
    <w:rsid w:val="00C11069"/>
    <w:rsid w:val="00C11114"/>
    <w:rsid w:val="00C125A8"/>
    <w:rsid w:val="00C127AC"/>
    <w:rsid w:val="00C1416B"/>
    <w:rsid w:val="00C15CCB"/>
    <w:rsid w:val="00C16471"/>
    <w:rsid w:val="00C17D3A"/>
    <w:rsid w:val="00C2036D"/>
    <w:rsid w:val="00C211C1"/>
    <w:rsid w:val="00C21F2A"/>
    <w:rsid w:val="00C2430B"/>
    <w:rsid w:val="00C25351"/>
    <w:rsid w:val="00C258F0"/>
    <w:rsid w:val="00C25F9A"/>
    <w:rsid w:val="00C269C0"/>
    <w:rsid w:val="00C27685"/>
    <w:rsid w:val="00C27D43"/>
    <w:rsid w:val="00C328F0"/>
    <w:rsid w:val="00C33EDC"/>
    <w:rsid w:val="00C34515"/>
    <w:rsid w:val="00C34BB9"/>
    <w:rsid w:val="00C354D2"/>
    <w:rsid w:val="00C355BD"/>
    <w:rsid w:val="00C35932"/>
    <w:rsid w:val="00C372DA"/>
    <w:rsid w:val="00C3754E"/>
    <w:rsid w:val="00C37A73"/>
    <w:rsid w:val="00C4000D"/>
    <w:rsid w:val="00C41AA4"/>
    <w:rsid w:val="00C422F2"/>
    <w:rsid w:val="00C42DB4"/>
    <w:rsid w:val="00C42E6F"/>
    <w:rsid w:val="00C47348"/>
    <w:rsid w:val="00C47ABA"/>
    <w:rsid w:val="00C502C2"/>
    <w:rsid w:val="00C517B8"/>
    <w:rsid w:val="00C529B6"/>
    <w:rsid w:val="00C52D68"/>
    <w:rsid w:val="00C5426B"/>
    <w:rsid w:val="00C553B3"/>
    <w:rsid w:val="00C5619F"/>
    <w:rsid w:val="00C57464"/>
    <w:rsid w:val="00C57A2B"/>
    <w:rsid w:val="00C602D9"/>
    <w:rsid w:val="00C71654"/>
    <w:rsid w:val="00C71F4D"/>
    <w:rsid w:val="00C725B2"/>
    <w:rsid w:val="00C73B01"/>
    <w:rsid w:val="00C73C3F"/>
    <w:rsid w:val="00C748DD"/>
    <w:rsid w:val="00C817EE"/>
    <w:rsid w:val="00C8285D"/>
    <w:rsid w:val="00C82DA6"/>
    <w:rsid w:val="00C83D18"/>
    <w:rsid w:val="00C8479D"/>
    <w:rsid w:val="00C84BB7"/>
    <w:rsid w:val="00C90DBB"/>
    <w:rsid w:val="00C917B1"/>
    <w:rsid w:val="00C928C2"/>
    <w:rsid w:val="00C94D9B"/>
    <w:rsid w:val="00C95710"/>
    <w:rsid w:val="00C96251"/>
    <w:rsid w:val="00C962E9"/>
    <w:rsid w:val="00C97E15"/>
    <w:rsid w:val="00CA003F"/>
    <w:rsid w:val="00CA1526"/>
    <w:rsid w:val="00CA38DA"/>
    <w:rsid w:val="00CA417B"/>
    <w:rsid w:val="00CA5BE4"/>
    <w:rsid w:val="00CA5D11"/>
    <w:rsid w:val="00CA7D01"/>
    <w:rsid w:val="00CB02DA"/>
    <w:rsid w:val="00CB0C79"/>
    <w:rsid w:val="00CB17C2"/>
    <w:rsid w:val="00CB26D3"/>
    <w:rsid w:val="00CB47CD"/>
    <w:rsid w:val="00CB4CC7"/>
    <w:rsid w:val="00CB4EA9"/>
    <w:rsid w:val="00CB5689"/>
    <w:rsid w:val="00CB57E9"/>
    <w:rsid w:val="00CB6023"/>
    <w:rsid w:val="00CC1C8B"/>
    <w:rsid w:val="00CC2E15"/>
    <w:rsid w:val="00CC5FE5"/>
    <w:rsid w:val="00CC7419"/>
    <w:rsid w:val="00CC7915"/>
    <w:rsid w:val="00CD339B"/>
    <w:rsid w:val="00CD33CD"/>
    <w:rsid w:val="00CD3CCB"/>
    <w:rsid w:val="00CD5F9F"/>
    <w:rsid w:val="00CD6706"/>
    <w:rsid w:val="00CE0BE6"/>
    <w:rsid w:val="00CE0E93"/>
    <w:rsid w:val="00CE1355"/>
    <w:rsid w:val="00CE2202"/>
    <w:rsid w:val="00CE3F1A"/>
    <w:rsid w:val="00CE4598"/>
    <w:rsid w:val="00CE4CE9"/>
    <w:rsid w:val="00CE50CA"/>
    <w:rsid w:val="00CE5720"/>
    <w:rsid w:val="00CE683C"/>
    <w:rsid w:val="00CF0245"/>
    <w:rsid w:val="00CF0D30"/>
    <w:rsid w:val="00CF4112"/>
    <w:rsid w:val="00CF4AEC"/>
    <w:rsid w:val="00D0049B"/>
    <w:rsid w:val="00D0088E"/>
    <w:rsid w:val="00D014FF"/>
    <w:rsid w:val="00D037C3"/>
    <w:rsid w:val="00D03B5F"/>
    <w:rsid w:val="00D053DD"/>
    <w:rsid w:val="00D05AE5"/>
    <w:rsid w:val="00D05B71"/>
    <w:rsid w:val="00D06784"/>
    <w:rsid w:val="00D06968"/>
    <w:rsid w:val="00D10DA1"/>
    <w:rsid w:val="00D11ABD"/>
    <w:rsid w:val="00D148D9"/>
    <w:rsid w:val="00D1625C"/>
    <w:rsid w:val="00D16942"/>
    <w:rsid w:val="00D20693"/>
    <w:rsid w:val="00D206E3"/>
    <w:rsid w:val="00D21564"/>
    <w:rsid w:val="00D2329D"/>
    <w:rsid w:val="00D30687"/>
    <w:rsid w:val="00D33B16"/>
    <w:rsid w:val="00D3498C"/>
    <w:rsid w:val="00D361A9"/>
    <w:rsid w:val="00D37B96"/>
    <w:rsid w:val="00D408D8"/>
    <w:rsid w:val="00D40A58"/>
    <w:rsid w:val="00D40AF6"/>
    <w:rsid w:val="00D42354"/>
    <w:rsid w:val="00D423DB"/>
    <w:rsid w:val="00D46291"/>
    <w:rsid w:val="00D47CF5"/>
    <w:rsid w:val="00D505F6"/>
    <w:rsid w:val="00D50A2B"/>
    <w:rsid w:val="00D517D1"/>
    <w:rsid w:val="00D54CED"/>
    <w:rsid w:val="00D5547C"/>
    <w:rsid w:val="00D60224"/>
    <w:rsid w:val="00D62014"/>
    <w:rsid w:val="00D63F2E"/>
    <w:rsid w:val="00D65343"/>
    <w:rsid w:val="00D70097"/>
    <w:rsid w:val="00D71714"/>
    <w:rsid w:val="00D72D75"/>
    <w:rsid w:val="00D72FC2"/>
    <w:rsid w:val="00D74382"/>
    <w:rsid w:val="00D75CEB"/>
    <w:rsid w:val="00D80CB1"/>
    <w:rsid w:val="00D82D9F"/>
    <w:rsid w:val="00D85360"/>
    <w:rsid w:val="00D917F9"/>
    <w:rsid w:val="00D92F51"/>
    <w:rsid w:val="00D9315E"/>
    <w:rsid w:val="00D93C97"/>
    <w:rsid w:val="00D93E50"/>
    <w:rsid w:val="00D94786"/>
    <w:rsid w:val="00D94941"/>
    <w:rsid w:val="00D959B2"/>
    <w:rsid w:val="00D97374"/>
    <w:rsid w:val="00DA30AF"/>
    <w:rsid w:val="00DA4DF3"/>
    <w:rsid w:val="00DA5351"/>
    <w:rsid w:val="00DA5A8B"/>
    <w:rsid w:val="00DB0158"/>
    <w:rsid w:val="00DB0461"/>
    <w:rsid w:val="00DB0F89"/>
    <w:rsid w:val="00DB1E34"/>
    <w:rsid w:val="00DB1F44"/>
    <w:rsid w:val="00DB2424"/>
    <w:rsid w:val="00DB451E"/>
    <w:rsid w:val="00DB552B"/>
    <w:rsid w:val="00DB5EBA"/>
    <w:rsid w:val="00DB7CB5"/>
    <w:rsid w:val="00DC1929"/>
    <w:rsid w:val="00DC1939"/>
    <w:rsid w:val="00DC5873"/>
    <w:rsid w:val="00DC65E6"/>
    <w:rsid w:val="00DC6E5A"/>
    <w:rsid w:val="00DD0EA7"/>
    <w:rsid w:val="00DD1EAC"/>
    <w:rsid w:val="00DD221B"/>
    <w:rsid w:val="00DD5858"/>
    <w:rsid w:val="00DD7949"/>
    <w:rsid w:val="00DE061E"/>
    <w:rsid w:val="00DE23C4"/>
    <w:rsid w:val="00DE3244"/>
    <w:rsid w:val="00DE32A8"/>
    <w:rsid w:val="00DE54BF"/>
    <w:rsid w:val="00DE7789"/>
    <w:rsid w:val="00DE7816"/>
    <w:rsid w:val="00DE7ED5"/>
    <w:rsid w:val="00DF2214"/>
    <w:rsid w:val="00DF2CF2"/>
    <w:rsid w:val="00DF4862"/>
    <w:rsid w:val="00DF69C3"/>
    <w:rsid w:val="00DF76C5"/>
    <w:rsid w:val="00DF7BC9"/>
    <w:rsid w:val="00E00660"/>
    <w:rsid w:val="00E03D9F"/>
    <w:rsid w:val="00E06B42"/>
    <w:rsid w:val="00E0702C"/>
    <w:rsid w:val="00E07605"/>
    <w:rsid w:val="00E101D9"/>
    <w:rsid w:val="00E10A52"/>
    <w:rsid w:val="00E12782"/>
    <w:rsid w:val="00E132B0"/>
    <w:rsid w:val="00E1554B"/>
    <w:rsid w:val="00E20DB4"/>
    <w:rsid w:val="00E23707"/>
    <w:rsid w:val="00E24A0F"/>
    <w:rsid w:val="00E2690C"/>
    <w:rsid w:val="00E269A3"/>
    <w:rsid w:val="00E308A3"/>
    <w:rsid w:val="00E30A26"/>
    <w:rsid w:val="00E31AB7"/>
    <w:rsid w:val="00E343D6"/>
    <w:rsid w:val="00E36E48"/>
    <w:rsid w:val="00E37FCD"/>
    <w:rsid w:val="00E40C21"/>
    <w:rsid w:val="00E40D72"/>
    <w:rsid w:val="00E425FC"/>
    <w:rsid w:val="00E42E45"/>
    <w:rsid w:val="00E42EE7"/>
    <w:rsid w:val="00E43562"/>
    <w:rsid w:val="00E43E4D"/>
    <w:rsid w:val="00E443D1"/>
    <w:rsid w:val="00E44E3C"/>
    <w:rsid w:val="00E4578E"/>
    <w:rsid w:val="00E479D7"/>
    <w:rsid w:val="00E50943"/>
    <w:rsid w:val="00E50D32"/>
    <w:rsid w:val="00E51957"/>
    <w:rsid w:val="00E52430"/>
    <w:rsid w:val="00E53F07"/>
    <w:rsid w:val="00E54650"/>
    <w:rsid w:val="00E60DDB"/>
    <w:rsid w:val="00E62AF4"/>
    <w:rsid w:val="00E6382A"/>
    <w:rsid w:val="00E642AD"/>
    <w:rsid w:val="00E6645E"/>
    <w:rsid w:val="00E70DC8"/>
    <w:rsid w:val="00E72ABC"/>
    <w:rsid w:val="00E754D4"/>
    <w:rsid w:val="00E75747"/>
    <w:rsid w:val="00E76194"/>
    <w:rsid w:val="00E77133"/>
    <w:rsid w:val="00E821D7"/>
    <w:rsid w:val="00E83B3B"/>
    <w:rsid w:val="00E86212"/>
    <w:rsid w:val="00E86DF4"/>
    <w:rsid w:val="00E90164"/>
    <w:rsid w:val="00E926CB"/>
    <w:rsid w:val="00E94A88"/>
    <w:rsid w:val="00E966DB"/>
    <w:rsid w:val="00E97493"/>
    <w:rsid w:val="00E9777D"/>
    <w:rsid w:val="00E97BE9"/>
    <w:rsid w:val="00EA13B3"/>
    <w:rsid w:val="00EA3868"/>
    <w:rsid w:val="00EA6158"/>
    <w:rsid w:val="00EA7411"/>
    <w:rsid w:val="00EA75A4"/>
    <w:rsid w:val="00EB06D9"/>
    <w:rsid w:val="00EB2D75"/>
    <w:rsid w:val="00EB3646"/>
    <w:rsid w:val="00EB46D0"/>
    <w:rsid w:val="00EB5C3F"/>
    <w:rsid w:val="00EB7421"/>
    <w:rsid w:val="00EC0BD2"/>
    <w:rsid w:val="00EC437B"/>
    <w:rsid w:val="00EC7340"/>
    <w:rsid w:val="00EC7EC4"/>
    <w:rsid w:val="00ED0F1F"/>
    <w:rsid w:val="00ED18EB"/>
    <w:rsid w:val="00ED2488"/>
    <w:rsid w:val="00ED2D12"/>
    <w:rsid w:val="00ED3152"/>
    <w:rsid w:val="00ED4402"/>
    <w:rsid w:val="00ED47C4"/>
    <w:rsid w:val="00ED50EF"/>
    <w:rsid w:val="00ED7132"/>
    <w:rsid w:val="00ED7541"/>
    <w:rsid w:val="00EE173B"/>
    <w:rsid w:val="00EE282C"/>
    <w:rsid w:val="00EE2F54"/>
    <w:rsid w:val="00EE30FE"/>
    <w:rsid w:val="00EE5941"/>
    <w:rsid w:val="00EE7A00"/>
    <w:rsid w:val="00EF01A1"/>
    <w:rsid w:val="00EF307B"/>
    <w:rsid w:val="00EF34A3"/>
    <w:rsid w:val="00EF5B2E"/>
    <w:rsid w:val="00EF6D31"/>
    <w:rsid w:val="00F00F46"/>
    <w:rsid w:val="00F01ECA"/>
    <w:rsid w:val="00F0474E"/>
    <w:rsid w:val="00F04D4E"/>
    <w:rsid w:val="00F04E5C"/>
    <w:rsid w:val="00F06CC1"/>
    <w:rsid w:val="00F10FB5"/>
    <w:rsid w:val="00F11B7E"/>
    <w:rsid w:val="00F125DA"/>
    <w:rsid w:val="00F12BB5"/>
    <w:rsid w:val="00F13046"/>
    <w:rsid w:val="00F131FB"/>
    <w:rsid w:val="00F1334D"/>
    <w:rsid w:val="00F147E8"/>
    <w:rsid w:val="00F20063"/>
    <w:rsid w:val="00F20212"/>
    <w:rsid w:val="00F20999"/>
    <w:rsid w:val="00F20B11"/>
    <w:rsid w:val="00F25996"/>
    <w:rsid w:val="00F25BC0"/>
    <w:rsid w:val="00F2660F"/>
    <w:rsid w:val="00F35662"/>
    <w:rsid w:val="00F356A8"/>
    <w:rsid w:val="00F36B20"/>
    <w:rsid w:val="00F40B21"/>
    <w:rsid w:val="00F41D72"/>
    <w:rsid w:val="00F4398F"/>
    <w:rsid w:val="00F4589C"/>
    <w:rsid w:val="00F4596F"/>
    <w:rsid w:val="00F46BEC"/>
    <w:rsid w:val="00F47E17"/>
    <w:rsid w:val="00F501FD"/>
    <w:rsid w:val="00F50923"/>
    <w:rsid w:val="00F51056"/>
    <w:rsid w:val="00F5302F"/>
    <w:rsid w:val="00F53246"/>
    <w:rsid w:val="00F5533E"/>
    <w:rsid w:val="00F55BED"/>
    <w:rsid w:val="00F570F7"/>
    <w:rsid w:val="00F57B58"/>
    <w:rsid w:val="00F62A05"/>
    <w:rsid w:val="00F62CCF"/>
    <w:rsid w:val="00F66855"/>
    <w:rsid w:val="00F669A9"/>
    <w:rsid w:val="00F7011E"/>
    <w:rsid w:val="00F70C9D"/>
    <w:rsid w:val="00F72DC2"/>
    <w:rsid w:val="00F73595"/>
    <w:rsid w:val="00F75096"/>
    <w:rsid w:val="00F752BE"/>
    <w:rsid w:val="00F7554B"/>
    <w:rsid w:val="00F76537"/>
    <w:rsid w:val="00F769E2"/>
    <w:rsid w:val="00F80B6D"/>
    <w:rsid w:val="00F8134E"/>
    <w:rsid w:val="00F819FC"/>
    <w:rsid w:val="00F82407"/>
    <w:rsid w:val="00F8530D"/>
    <w:rsid w:val="00F857D4"/>
    <w:rsid w:val="00F85DB2"/>
    <w:rsid w:val="00F861D9"/>
    <w:rsid w:val="00F8664F"/>
    <w:rsid w:val="00F87197"/>
    <w:rsid w:val="00F90692"/>
    <w:rsid w:val="00F90D0F"/>
    <w:rsid w:val="00F91781"/>
    <w:rsid w:val="00F917BB"/>
    <w:rsid w:val="00F91932"/>
    <w:rsid w:val="00F92306"/>
    <w:rsid w:val="00F93EC1"/>
    <w:rsid w:val="00F9710E"/>
    <w:rsid w:val="00F97175"/>
    <w:rsid w:val="00FA0277"/>
    <w:rsid w:val="00FA04CE"/>
    <w:rsid w:val="00FA0DE7"/>
    <w:rsid w:val="00FA1F55"/>
    <w:rsid w:val="00FA2747"/>
    <w:rsid w:val="00FA69C1"/>
    <w:rsid w:val="00FB34A9"/>
    <w:rsid w:val="00FB50E4"/>
    <w:rsid w:val="00FB6126"/>
    <w:rsid w:val="00FB7D11"/>
    <w:rsid w:val="00FC2A9A"/>
    <w:rsid w:val="00FC58F6"/>
    <w:rsid w:val="00FC6A2F"/>
    <w:rsid w:val="00FC70B4"/>
    <w:rsid w:val="00FC72D3"/>
    <w:rsid w:val="00FC744A"/>
    <w:rsid w:val="00FC77A6"/>
    <w:rsid w:val="00FD581A"/>
    <w:rsid w:val="00FD5EDE"/>
    <w:rsid w:val="00FD7844"/>
    <w:rsid w:val="00FD7894"/>
    <w:rsid w:val="00FE54A3"/>
    <w:rsid w:val="00FE6F55"/>
    <w:rsid w:val="00FE790D"/>
    <w:rsid w:val="00FF0550"/>
    <w:rsid w:val="00FF1A47"/>
    <w:rsid w:val="00FF265D"/>
    <w:rsid w:val="00FF38C5"/>
    <w:rsid w:val="00FF3CC5"/>
    <w:rsid w:val="00FF3D0A"/>
    <w:rsid w:val="00FF5580"/>
    <w:rsid w:val="00FF58FD"/>
    <w:rsid w:val="00FF789F"/>
    <w:rsid w:val="014D14B8"/>
    <w:rsid w:val="01773E2F"/>
    <w:rsid w:val="01BF491E"/>
    <w:rsid w:val="01C63591"/>
    <w:rsid w:val="02621920"/>
    <w:rsid w:val="0262669D"/>
    <w:rsid w:val="03026EED"/>
    <w:rsid w:val="036A040F"/>
    <w:rsid w:val="03773A09"/>
    <w:rsid w:val="0386664D"/>
    <w:rsid w:val="03F32453"/>
    <w:rsid w:val="04232F21"/>
    <w:rsid w:val="042B4F77"/>
    <w:rsid w:val="048C54AD"/>
    <w:rsid w:val="0502778B"/>
    <w:rsid w:val="0505204D"/>
    <w:rsid w:val="050A45F6"/>
    <w:rsid w:val="05587DF2"/>
    <w:rsid w:val="056659B2"/>
    <w:rsid w:val="0570796C"/>
    <w:rsid w:val="057C0137"/>
    <w:rsid w:val="05A97B5B"/>
    <w:rsid w:val="05E6105F"/>
    <w:rsid w:val="06930467"/>
    <w:rsid w:val="06BD4990"/>
    <w:rsid w:val="06EE40B1"/>
    <w:rsid w:val="06F2049B"/>
    <w:rsid w:val="07237076"/>
    <w:rsid w:val="07311C8F"/>
    <w:rsid w:val="074657AF"/>
    <w:rsid w:val="077950A7"/>
    <w:rsid w:val="077B54DA"/>
    <w:rsid w:val="077D189B"/>
    <w:rsid w:val="07BA5F25"/>
    <w:rsid w:val="08624EAC"/>
    <w:rsid w:val="095F310D"/>
    <w:rsid w:val="09D900BA"/>
    <w:rsid w:val="0A5018A3"/>
    <w:rsid w:val="0A7B5C5C"/>
    <w:rsid w:val="0B074F47"/>
    <w:rsid w:val="0B1207DC"/>
    <w:rsid w:val="0B5F103C"/>
    <w:rsid w:val="0B747377"/>
    <w:rsid w:val="0B872881"/>
    <w:rsid w:val="0B9A4730"/>
    <w:rsid w:val="0BE660D8"/>
    <w:rsid w:val="0C2131DE"/>
    <w:rsid w:val="0D3F6B32"/>
    <w:rsid w:val="0D5D4A7C"/>
    <w:rsid w:val="0D9F6BEA"/>
    <w:rsid w:val="0DCE67CA"/>
    <w:rsid w:val="0DCF45F2"/>
    <w:rsid w:val="0E051652"/>
    <w:rsid w:val="0E2E555A"/>
    <w:rsid w:val="0F1149B1"/>
    <w:rsid w:val="0F375936"/>
    <w:rsid w:val="0F6B11D0"/>
    <w:rsid w:val="0FB05B49"/>
    <w:rsid w:val="0FEC6272"/>
    <w:rsid w:val="0FF56875"/>
    <w:rsid w:val="105150B6"/>
    <w:rsid w:val="107D50F1"/>
    <w:rsid w:val="109D4B5E"/>
    <w:rsid w:val="10D1301C"/>
    <w:rsid w:val="10DF4E54"/>
    <w:rsid w:val="10E37A99"/>
    <w:rsid w:val="10EE3B79"/>
    <w:rsid w:val="11084CDE"/>
    <w:rsid w:val="11192ADB"/>
    <w:rsid w:val="115E76C8"/>
    <w:rsid w:val="11886EC7"/>
    <w:rsid w:val="119F5AB8"/>
    <w:rsid w:val="11AE22F0"/>
    <w:rsid w:val="11DC08F0"/>
    <w:rsid w:val="125B400C"/>
    <w:rsid w:val="128B4495"/>
    <w:rsid w:val="129F0E80"/>
    <w:rsid w:val="12BE7802"/>
    <w:rsid w:val="12E12889"/>
    <w:rsid w:val="132406E3"/>
    <w:rsid w:val="132963A2"/>
    <w:rsid w:val="13643238"/>
    <w:rsid w:val="14AB5ACA"/>
    <w:rsid w:val="15184530"/>
    <w:rsid w:val="158F41CB"/>
    <w:rsid w:val="15A42DB1"/>
    <w:rsid w:val="15E1004D"/>
    <w:rsid w:val="160457C6"/>
    <w:rsid w:val="16361C85"/>
    <w:rsid w:val="16645B22"/>
    <w:rsid w:val="167F2B2A"/>
    <w:rsid w:val="169E2250"/>
    <w:rsid w:val="16BD1F2C"/>
    <w:rsid w:val="16D82EEA"/>
    <w:rsid w:val="171E1FB2"/>
    <w:rsid w:val="17A830D5"/>
    <w:rsid w:val="17B651C9"/>
    <w:rsid w:val="17E65F69"/>
    <w:rsid w:val="18023473"/>
    <w:rsid w:val="1810471B"/>
    <w:rsid w:val="182016DE"/>
    <w:rsid w:val="18813893"/>
    <w:rsid w:val="18CB5BFC"/>
    <w:rsid w:val="18D77A0C"/>
    <w:rsid w:val="18DC4D74"/>
    <w:rsid w:val="18F1303F"/>
    <w:rsid w:val="19205ECE"/>
    <w:rsid w:val="196F056E"/>
    <w:rsid w:val="197D2E4B"/>
    <w:rsid w:val="197D399A"/>
    <w:rsid w:val="1A5436C2"/>
    <w:rsid w:val="1A6A12AE"/>
    <w:rsid w:val="1A8F0467"/>
    <w:rsid w:val="1B3862B1"/>
    <w:rsid w:val="1B580816"/>
    <w:rsid w:val="1B762C5A"/>
    <w:rsid w:val="1B765D66"/>
    <w:rsid w:val="1BA11B36"/>
    <w:rsid w:val="1BC61AD2"/>
    <w:rsid w:val="1C433194"/>
    <w:rsid w:val="1C4F2376"/>
    <w:rsid w:val="1CAD3370"/>
    <w:rsid w:val="1CB54A51"/>
    <w:rsid w:val="1CC43B44"/>
    <w:rsid w:val="1D943FB2"/>
    <w:rsid w:val="1D9828AE"/>
    <w:rsid w:val="1D993CF6"/>
    <w:rsid w:val="1D9D1847"/>
    <w:rsid w:val="1DBD58BC"/>
    <w:rsid w:val="1DED0785"/>
    <w:rsid w:val="1DF33991"/>
    <w:rsid w:val="1E0F3F54"/>
    <w:rsid w:val="1E951FBD"/>
    <w:rsid w:val="1F05135F"/>
    <w:rsid w:val="1F2C51F4"/>
    <w:rsid w:val="1F421F04"/>
    <w:rsid w:val="1F644DFB"/>
    <w:rsid w:val="2000031D"/>
    <w:rsid w:val="200622C5"/>
    <w:rsid w:val="20322F5E"/>
    <w:rsid w:val="212674D6"/>
    <w:rsid w:val="213A7BD4"/>
    <w:rsid w:val="217F73E3"/>
    <w:rsid w:val="21A70EFE"/>
    <w:rsid w:val="21BF6882"/>
    <w:rsid w:val="21DC5E2E"/>
    <w:rsid w:val="21E833BE"/>
    <w:rsid w:val="22045B5E"/>
    <w:rsid w:val="22051C96"/>
    <w:rsid w:val="224D22D1"/>
    <w:rsid w:val="22BF11CB"/>
    <w:rsid w:val="22C53850"/>
    <w:rsid w:val="22F93244"/>
    <w:rsid w:val="22FC4E0F"/>
    <w:rsid w:val="231636E7"/>
    <w:rsid w:val="23381339"/>
    <w:rsid w:val="23464C6E"/>
    <w:rsid w:val="239D5711"/>
    <w:rsid w:val="23D02845"/>
    <w:rsid w:val="23D32158"/>
    <w:rsid w:val="24342DFE"/>
    <w:rsid w:val="259D5A43"/>
    <w:rsid w:val="25A226B0"/>
    <w:rsid w:val="262A02EE"/>
    <w:rsid w:val="2635314A"/>
    <w:rsid w:val="2652041E"/>
    <w:rsid w:val="26613108"/>
    <w:rsid w:val="26757B5E"/>
    <w:rsid w:val="26AA5A80"/>
    <w:rsid w:val="26E65C31"/>
    <w:rsid w:val="271755B6"/>
    <w:rsid w:val="274D5920"/>
    <w:rsid w:val="281566AE"/>
    <w:rsid w:val="286167D2"/>
    <w:rsid w:val="2868076E"/>
    <w:rsid w:val="288C078C"/>
    <w:rsid w:val="288E188D"/>
    <w:rsid w:val="28D2632D"/>
    <w:rsid w:val="28F84350"/>
    <w:rsid w:val="2915294F"/>
    <w:rsid w:val="2A3D2683"/>
    <w:rsid w:val="2A402B29"/>
    <w:rsid w:val="2A873A21"/>
    <w:rsid w:val="2AB31FDE"/>
    <w:rsid w:val="2B122888"/>
    <w:rsid w:val="2B3C66FB"/>
    <w:rsid w:val="2BA7176D"/>
    <w:rsid w:val="2BBE5FF5"/>
    <w:rsid w:val="2BD07D6E"/>
    <w:rsid w:val="2BDC0AA3"/>
    <w:rsid w:val="2C342234"/>
    <w:rsid w:val="2C4F3CF5"/>
    <w:rsid w:val="2C61035F"/>
    <w:rsid w:val="2C8B05D5"/>
    <w:rsid w:val="2C9943C6"/>
    <w:rsid w:val="2CA2360F"/>
    <w:rsid w:val="2CD41548"/>
    <w:rsid w:val="2CDF6B46"/>
    <w:rsid w:val="2D27122B"/>
    <w:rsid w:val="2D2E2055"/>
    <w:rsid w:val="2D3C5165"/>
    <w:rsid w:val="2DC34DCC"/>
    <w:rsid w:val="2DCE1396"/>
    <w:rsid w:val="2DE17C32"/>
    <w:rsid w:val="2E2D50E0"/>
    <w:rsid w:val="2E544755"/>
    <w:rsid w:val="2E633870"/>
    <w:rsid w:val="2EB57234"/>
    <w:rsid w:val="2F1B63C8"/>
    <w:rsid w:val="2F950931"/>
    <w:rsid w:val="30615FBB"/>
    <w:rsid w:val="309B6F39"/>
    <w:rsid w:val="30EF07B5"/>
    <w:rsid w:val="30EF622E"/>
    <w:rsid w:val="313135F0"/>
    <w:rsid w:val="31B00187"/>
    <w:rsid w:val="31CE335A"/>
    <w:rsid w:val="31E34972"/>
    <w:rsid w:val="32056D18"/>
    <w:rsid w:val="321A2B1D"/>
    <w:rsid w:val="326C57C3"/>
    <w:rsid w:val="32913EC1"/>
    <w:rsid w:val="32940EDC"/>
    <w:rsid w:val="32C55897"/>
    <w:rsid w:val="32FD2B95"/>
    <w:rsid w:val="33011A34"/>
    <w:rsid w:val="33375135"/>
    <w:rsid w:val="333C7F32"/>
    <w:rsid w:val="3371503A"/>
    <w:rsid w:val="33AE4681"/>
    <w:rsid w:val="349F116A"/>
    <w:rsid w:val="34A7362B"/>
    <w:rsid w:val="34AA092F"/>
    <w:rsid w:val="34D742F3"/>
    <w:rsid w:val="34E54DEE"/>
    <w:rsid w:val="34F51D36"/>
    <w:rsid w:val="355260B9"/>
    <w:rsid w:val="35855069"/>
    <w:rsid w:val="35A57CDA"/>
    <w:rsid w:val="35AE18D2"/>
    <w:rsid w:val="36412340"/>
    <w:rsid w:val="373F646C"/>
    <w:rsid w:val="376308B4"/>
    <w:rsid w:val="377176E7"/>
    <w:rsid w:val="38AF15FD"/>
    <w:rsid w:val="38B162C1"/>
    <w:rsid w:val="38DF4834"/>
    <w:rsid w:val="38F03597"/>
    <w:rsid w:val="3947533E"/>
    <w:rsid w:val="39C64FF3"/>
    <w:rsid w:val="3A0E25AB"/>
    <w:rsid w:val="3A4145DC"/>
    <w:rsid w:val="3A6B1562"/>
    <w:rsid w:val="3AE60D6D"/>
    <w:rsid w:val="3B7F5E90"/>
    <w:rsid w:val="3BB23D91"/>
    <w:rsid w:val="3BD03DB4"/>
    <w:rsid w:val="3BF8672D"/>
    <w:rsid w:val="3C26439E"/>
    <w:rsid w:val="3C555F06"/>
    <w:rsid w:val="3C5D0BF5"/>
    <w:rsid w:val="3CC82C8D"/>
    <w:rsid w:val="3D357935"/>
    <w:rsid w:val="3DFD56D3"/>
    <w:rsid w:val="3ECF2FEB"/>
    <w:rsid w:val="3F320960"/>
    <w:rsid w:val="3F365897"/>
    <w:rsid w:val="3FFC2206"/>
    <w:rsid w:val="40463E52"/>
    <w:rsid w:val="41130078"/>
    <w:rsid w:val="41640F43"/>
    <w:rsid w:val="41937071"/>
    <w:rsid w:val="41A31026"/>
    <w:rsid w:val="41F32100"/>
    <w:rsid w:val="42432E29"/>
    <w:rsid w:val="42471C4D"/>
    <w:rsid w:val="4249594E"/>
    <w:rsid w:val="429E3EC7"/>
    <w:rsid w:val="42B04261"/>
    <w:rsid w:val="42B35566"/>
    <w:rsid w:val="431D778A"/>
    <w:rsid w:val="434D14B4"/>
    <w:rsid w:val="437F035F"/>
    <w:rsid w:val="43A36104"/>
    <w:rsid w:val="43D56948"/>
    <w:rsid w:val="44404256"/>
    <w:rsid w:val="447C6AAE"/>
    <w:rsid w:val="44B244EA"/>
    <w:rsid w:val="44B60CBF"/>
    <w:rsid w:val="44E44CA9"/>
    <w:rsid w:val="45262D4F"/>
    <w:rsid w:val="455461F5"/>
    <w:rsid w:val="45C92C00"/>
    <w:rsid w:val="45CA0DA9"/>
    <w:rsid w:val="46A64BB2"/>
    <w:rsid w:val="46FA69E9"/>
    <w:rsid w:val="476E3851"/>
    <w:rsid w:val="47897563"/>
    <w:rsid w:val="47953366"/>
    <w:rsid w:val="48081E03"/>
    <w:rsid w:val="487316A2"/>
    <w:rsid w:val="48A869C2"/>
    <w:rsid w:val="48C828DB"/>
    <w:rsid w:val="48C940CD"/>
    <w:rsid w:val="48D84CE4"/>
    <w:rsid w:val="49082249"/>
    <w:rsid w:val="49B1623A"/>
    <w:rsid w:val="4A2328DF"/>
    <w:rsid w:val="4A5B7091"/>
    <w:rsid w:val="4A7E3E5A"/>
    <w:rsid w:val="4A822AE2"/>
    <w:rsid w:val="4A923F86"/>
    <w:rsid w:val="4AE812DC"/>
    <w:rsid w:val="4B2B03F2"/>
    <w:rsid w:val="4B4C09E3"/>
    <w:rsid w:val="4B615F1A"/>
    <w:rsid w:val="4B7E3C72"/>
    <w:rsid w:val="4BFB1879"/>
    <w:rsid w:val="4C0C19AB"/>
    <w:rsid w:val="4C671167"/>
    <w:rsid w:val="4C922D02"/>
    <w:rsid w:val="4CA80AA7"/>
    <w:rsid w:val="4CDF50B5"/>
    <w:rsid w:val="4D3F6B37"/>
    <w:rsid w:val="4E3B568B"/>
    <w:rsid w:val="4E606D65"/>
    <w:rsid w:val="4E7114E7"/>
    <w:rsid w:val="4E8F1049"/>
    <w:rsid w:val="4EDC182D"/>
    <w:rsid w:val="4F464FE2"/>
    <w:rsid w:val="4FC524D3"/>
    <w:rsid w:val="4FDB367C"/>
    <w:rsid w:val="503045AA"/>
    <w:rsid w:val="51147464"/>
    <w:rsid w:val="513D2462"/>
    <w:rsid w:val="513F1B65"/>
    <w:rsid w:val="51EF2B88"/>
    <w:rsid w:val="522E74F6"/>
    <w:rsid w:val="52371AD6"/>
    <w:rsid w:val="52B36EDB"/>
    <w:rsid w:val="52D67A73"/>
    <w:rsid w:val="52E14A64"/>
    <w:rsid w:val="533E5FF7"/>
    <w:rsid w:val="5375329C"/>
    <w:rsid w:val="537F2A2E"/>
    <w:rsid w:val="543D38BF"/>
    <w:rsid w:val="543F39C5"/>
    <w:rsid w:val="54EB2C0C"/>
    <w:rsid w:val="559D4FF1"/>
    <w:rsid w:val="55A559A5"/>
    <w:rsid w:val="5646629E"/>
    <w:rsid w:val="566A117A"/>
    <w:rsid w:val="569A3C48"/>
    <w:rsid w:val="56DD6B09"/>
    <w:rsid w:val="571B268B"/>
    <w:rsid w:val="578504AC"/>
    <w:rsid w:val="580027B8"/>
    <w:rsid w:val="581E20FA"/>
    <w:rsid w:val="59333D0A"/>
    <w:rsid w:val="59C630F4"/>
    <w:rsid w:val="5A0D4715"/>
    <w:rsid w:val="5A356A95"/>
    <w:rsid w:val="5A680874"/>
    <w:rsid w:val="5AA23CD5"/>
    <w:rsid w:val="5AC15E62"/>
    <w:rsid w:val="5AC30549"/>
    <w:rsid w:val="5B134478"/>
    <w:rsid w:val="5BA10777"/>
    <w:rsid w:val="5BBD2681"/>
    <w:rsid w:val="5BE17A33"/>
    <w:rsid w:val="5C0A5726"/>
    <w:rsid w:val="5C1D42D4"/>
    <w:rsid w:val="5CF8460C"/>
    <w:rsid w:val="5D841CB1"/>
    <w:rsid w:val="5D9146BA"/>
    <w:rsid w:val="5D9F6447"/>
    <w:rsid w:val="5DF6084D"/>
    <w:rsid w:val="5E2D5F67"/>
    <w:rsid w:val="5E315630"/>
    <w:rsid w:val="5E323A7D"/>
    <w:rsid w:val="5E64006D"/>
    <w:rsid w:val="5E732576"/>
    <w:rsid w:val="5ECE5748"/>
    <w:rsid w:val="5EE2064C"/>
    <w:rsid w:val="5F3431F8"/>
    <w:rsid w:val="5F6D043B"/>
    <w:rsid w:val="602704DC"/>
    <w:rsid w:val="606012FE"/>
    <w:rsid w:val="60967605"/>
    <w:rsid w:val="60BC53DA"/>
    <w:rsid w:val="60D2295D"/>
    <w:rsid w:val="60E25E13"/>
    <w:rsid w:val="60FB0B5F"/>
    <w:rsid w:val="6102422F"/>
    <w:rsid w:val="615A57BB"/>
    <w:rsid w:val="615C785F"/>
    <w:rsid w:val="61D57855"/>
    <w:rsid w:val="62931E11"/>
    <w:rsid w:val="631F0B45"/>
    <w:rsid w:val="63716DCD"/>
    <w:rsid w:val="63A664A3"/>
    <w:rsid w:val="63C00D9C"/>
    <w:rsid w:val="64382624"/>
    <w:rsid w:val="64516314"/>
    <w:rsid w:val="64581074"/>
    <w:rsid w:val="645C1010"/>
    <w:rsid w:val="649C747F"/>
    <w:rsid w:val="64AB18B3"/>
    <w:rsid w:val="64C546D0"/>
    <w:rsid w:val="65103136"/>
    <w:rsid w:val="651B0A2C"/>
    <w:rsid w:val="65274EAD"/>
    <w:rsid w:val="65494351"/>
    <w:rsid w:val="65683979"/>
    <w:rsid w:val="65981794"/>
    <w:rsid w:val="65C228F4"/>
    <w:rsid w:val="66690874"/>
    <w:rsid w:val="667346AC"/>
    <w:rsid w:val="66EA1469"/>
    <w:rsid w:val="67205973"/>
    <w:rsid w:val="673B46B5"/>
    <w:rsid w:val="67451282"/>
    <w:rsid w:val="675C0EF3"/>
    <w:rsid w:val="679E70DB"/>
    <w:rsid w:val="67B26CF5"/>
    <w:rsid w:val="67FA4380"/>
    <w:rsid w:val="67FF797F"/>
    <w:rsid w:val="68084599"/>
    <w:rsid w:val="6810728C"/>
    <w:rsid w:val="688D4C4E"/>
    <w:rsid w:val="68BA31B6"/>
    <w:rsid w:val="6906199C"/>
    <w:rsid w:val="694A35EB"/>
    <w:rsid w:val="69D461EA"/>
    <w:rsid w:val="69DF7E81"/>
    <w:rsid w:val="69FA56F4"/>
    <w:rsid w:val="69FD5FB4"/>
    <w:rsid w:val="6A1532B2"/>
    <w:rsid w:val="6A30269B"/>
    <w:rsid w:val="6A7B1D81"/>
    <w:rsid w:val="6AFD20A9"/>
    <w:rsid w:val="6B313FCA"/>
    <w:rsid w:val="6B315AD2"/>
    <w:rsid w:val="6B726C1C"/>
    <w:rsid w:val="6BA65969"/>
    <w:rsid w:val="6CFC271E"/>
    <w:rsid w:val="6D036096"/>
    <w:rsid w:val="6D113028"/>
    <w:rsid w:val="6D4166E7"/>
    <w:rsid w:val="6D832A52"/>
    <w:rsid w:val="6DD05CBC"/>
    <w:rsid w:val="6DFD43A5"/>
    <w:rsid w:val="6E170D76"/>
    <w:rsid w:val="6E222744"/>
    <w:rsid w:val="6E453D2F"/>
    <w:rsid w:val="6E4F776B"/>
    <w:rsid w:val="6E887FFF"/>
    <w:rsid w:val="6EA317EE"/>
    <w:rsid w:val="6EC10635"/>
    <w:rsid w:val="6FB01C87"/>
    <w:rsid w:val="6FC16581"/>
    <w:rsid w:val="6FE71196"/>
    <w:rsid w:val="708B582E"/>
    <w:rsid w:val="70921492"/>
    <w:rsid w:val="70D03CEF"/>
    <w:rsid w:val="70F12CF3"/>
    <w:rsid w:val="71C175D9"/>
    <w:rsid w:val="71E420F2"/>
    <w:rsid w:val="71E45C98"/>
    <w:rsid w:val="720323CA"/>
    <w:rsid w:val="73251D1C"/>
    <w:rsid w:val="73517EB0"/>
    <w:rsid w:val="73B01B7C"/>
    <w:rsid w:val="73B074FB"/>
    <w:rsid w:val="73E14DB2"/>
    <w:rsid w:val="73E567FE"/>
    <w:rsid w:val="73FF5F40"/>
    <w:rsid w:val="74214695"/>
    <w:rsid w:val="743E33AE"/>
    <w:rsid w:val="7477698C"/>
    <w:rsid w:val="74DB265C"/>
    <w:rsid w:val="750C4CA1"/>
    <w:rsid w:val="75380E14"/>
    <w:rsid w:val="75473410"/>
    <w:rsid w:val="757D711F"/>
    <w:rsid w:val="759F7C74"/>
    <w:rsid w:val="76227C59"/>
    <w:rsid w:val="76CD1F2F"/>
    <w:rsid w:val="76D07C74"/>
    <w:rsid w:val="76E143BF"/>
    <w:rsid w:val="77161D28"/>
    <w:rsid w:val="77182DE4"/>
    <w:rsid w:val="7738321A"/>
    <w:rsid w:val="7762357E"/>
    <w:rsid w:val="77B0174A"/>
    <w:rsid w:val="77CD3953"/>
    <w:rsid w:val="77F77F25"/>
    <w:rsid w:val="78365365"/>
    <w:rsid w:val="785111F1"/>
    <w:rsid w:val="787E42B6"/>
    <w:rsid w:val="78864BEE"/>
    <w:rsid w:val="788C41D1"/>
    <w:rsid w:val="79182F32"/>
    <w:rsid w:val="793D7B1F"/>
    <w:rsid w:val="79591ECA"/>
    <w:rsid w:val="79F17E9D"/>
    <w:rsid w:val="7AA7314A"/>
    <w:rsid w:val="7AA94386"/>
    <w:rsid w:val="7AF92FDC"/>
    <w:rsid w:val="7B000E04"/>
    <w:rsid w:val="7B8120ED"/>
    <w:rsid w:val="7BC06997"/>
    <w:rsid w:val="7C5F664C"/>
    <w:rsid w:val="7C6863FF"/>
    <w:rsid w:val="7D1A3FE0"/>
    <w:rsid w:val="7D366832"/>
    <w:rsid w:val="7DB17882"/>
    <w:rsid w:val="7DD97FC0"/>
    <w:rsid w:val="7DDD2490"/>
    <w:rsid w:val="7E1E260F"/>
    <w:rsid w:val="7E4B3413"/>
    <w:rsid w:val="7E502736"/>
    <w:rsid w:val="7E704D2D"/>
    <w:rsid w:val="7E7B41B7"/>
    <w:rsid w:val="7ED866D6"/>
    <w:rsid w:val="7EE606F3"/>
    <w:rsid w:val="7F420715"/>
    <w:rsid w:val="7FA839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1" w:name="heading 4"/>
    <w:lsdException w:qFormat="1" w:uiPriority="1" w:name="heading 5"/>
    <w:lsdException w:qFormat="1" w:uiPriority="0" w:semiHidden="0" w:name="heading 6"/>
    <w:lsdException w:qFormat="1" w:uiPriority="1" w:name="heading 7"/>
    <w:lsdException w:qFormat="1" w:uiPriority="1" w:name="heading 8"/>
    <w:lsdException w:qFormat="1" w:uiPriority="1" w:name="heading 9"/>
    <w:lsdException w:uiPriority="1" w:name="index 1"/>
    <w:lsdException w:uiPriority="1" w:name="index 2"/>
    <w:lsdException w:uiPriority="1" w:name="index 3"/>
    <w:lsdException w:uiPriority="1" w:name="index 4"/>
    <w:lsdException w:uiPriority="1" w:name="index 5"/>
    <w:lsdException w:uiPriority="1" w:name="index 6"/>
    <w:lsdException w:uiPriority="1" w:name="index 7"/>
    <w:lsdException w:uiPriority="1" w:name="index 8"/>
    <w:lsdException w:uiPriority="1"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1" w:name="footnote text"/>
    <w:lsdException w:qFormat="1" w:uiPriority="99" w:semiHidden="0" w:name="annotation text"/>
    <w:lsdException w:qFormat="1" w:uiPriority="99" w:semiHidden="0" w:name="header"/>
    <w:lsdException w:qFormat="1" w:uiPriority="99" w:semiHidden="0" w:name="footer"/>
    <w:lsdException w:uiPriority="1" w:name="index heading"/>
    <w:lsdException w:qFormat="1" w:uiPriority="1" w:name="caption"/>
    <w:lsdException w:uiPriority="1" w:name="table of figures"/>
    <w:lsdException w:uiPriority="1" w:name="envelope address"/>
    <w:lsdException w:uiPriority="1" w:name="envelope return"/>
    <w:lsdException w:uiPriority="1" w:name="footnote reference"/>
    <w:lsdException w:qFormat="1" w:uiPriority="99" w:semiHidden="0" w:name="annotation reference"/>
    <w:lsdException w:uiPriority="1" w:name="line number"/>
    <w:lsdException w:qFormat="1" w:unhideWhenUsed="0" w:uiPriority="0" w:semiHidden="0" w:name="page number"/>
    <w:lsdException w:uiPriority="1" w:name="endnote reference"/>
    <w:lsdException w:uiPriority="1" w:name="endnote text"/>
    <w:lsdException w:uiPriority="1" w:name="table of authorities"/>
    <w:lsdException w:uiPriority="1" w:name="macro"/>
    <w:lsdException w:uiPriority="1" w:name="toa heading"/>
    <w:lsdException w:qFormat="1" w:uiPriority="1" w:name="List"/>
    <w:lsdException w:uiPriority="1" w:name="List Bullet"/>
    <w:lsdException w:qFormat="1" w:uiPriority="1" w:name="List Number"/>
    <w:lsdException w:uiPriority="1" w:name="List 2"/>
    <w:lsdException w:qFormat="1" w:unhideWhenUsed="0" w:uiPriority="0" w:semiHidden="0" w:name="List 3"/>
    <w:lsdException w:uiPriority="1" w:name="List 4"/>
    <w:lsdException w:uiPriority="1" w:name="List 5"/>
    <w:lsdException w:uiPriority="1" w:name="List Bullet 2"/>
    <w:lsdException w:uiPriority="1" w:name="List Bullet 3"/>
    <w:lsdException w:uiPriority="1" w:name="List Bullet 4"/>
    <w:lsdException w:uiPriority="1" w:name="List Bullet 5"/>
    <w:lsdException w:uiPriority="1" w:name="List Number 2"/>
    <w:lsdException w:uiPriority="1" w:name="List Number 3"/>
    <w:lsdException w:uiPriority="1" w:name="List Number 4"/>
    <w:lsdException w:uiPriority="1" w:name="List Number 5"/>
    <w:lsdException w:qFormat="1" w:unhideWhenUsed="0" w:uiPriority="1" w:semiHidden="0" w:name="Title"/>
    <w:lsdException w:uiPriority="1" w:name="Closing"/>
    <w:lsdException w:uiPriority="1" w:name="Signature"/>
    <w:lsdException w:qFormat="1" w:uiPriority="1" w:name="Default Paragraph Font"/>
    <w:lsdException w:qFormat="1" w:uiPriority="0" w:semiHidden="0" w:name="Body Text"/>
    <w:lsdException w:qFormat="1" w:uiPriority="0" w:semiHidden="0" w:name="Body Text Indent"/>
    <w:lsdException w:uiPriority="1" w:name="List Continue"/>
    <w:lsdException w:uiPriority="1" w:name="List Continue 2"/>
    <w:lsdException w:uiPriority="1" w:name="List Continue 3"/>
    <w:lsdException w:uiPriority="1" w:name="List Continue 4"/>
    <w:lsdException w:uiPriority="1" w:name="List Continue 5"/>
    <w:lsdException w:uiPriority="1" w:name="Message Header"/>
    <w:lsdException w:qFormat="1" w:unhideWhenUsed="0" w:uiPriority="1" w:semiHidden="0" w:name="Subtitle"/>
    <w:lsdException w:uiPriority="1" w:name="Salutation"/>
    <w:lsdException w:qFormat="1" w:uiPriority="99" w:semiHidden="0" w:name="Date"/>
    <w:lsdException w:qFormat="1" w:unhideWhenUsed="0" w:uiPriority="99" w:semiHidden="0" w:name="Body Text First Indent"/>
    <w:lsdException w:uiPriority="1" w:name="Body Text First Indent 2"/>
    <w:lsdException w:qFormat="1" w:uiPriority="1" w:name="Note Heading"/>
    <w:lsdException w:qFormat="1" w:unhideWhenUsed="0" w:uiPriority="0" w:semiHidden="0" w:name="Body Text 2"/>
    <w:lsdException w:uiPriority="1" w:name="Body Text 3"/>
    <w:lsdException w:qFormat="1" w:uiPriority="0" w:semiHidden="0" w:name="Body Text Indent 2"/>
    <w:lsdException w:qFormat="1" w:unhideWhenUsed="0" w:uiPriority="0" w:semiHidden="0" w:name="Body Text Indent 3"/>
    <w:lsdException w:uiPriority="1" w:name="Block Text"/>
    <w:lsdException w:qFormat="1" w:uiPriority="99" w:semiHidden="0" w:name="Hyperlink"/>
    <w:lsdException w:qFormat="1" w:unhideWhenUsed="0" w:uiPriority="0" w:semiHidden="0" w:name="FollowedHyperlink"/>
    <w:lsdException w:qFormat="1" w:unhideWhenUsed="0" w:uiPriority="1" w:semiHidden="0" w:name="Strong"/>
    <w:lsdException w:qFormat="1" w:unhideWhenUsed="0" w:uiPriority="1" w:semiHidden="0" w:name="Emphasis"/>
    <w:lsdException w:uiPriority="1" w:name="Document Map"/>
    <w:lsdException w:qFormat="1" w:unhideWhenUsed="0" w:uiPriority="0" w:semiHidden="0" w:name="Plain Text"/>
    <w:lsdException w:uiPriority="1" w:name="E-mail Signature"/>
    <w:lsdException w:qFormat="1" w:unhideWhenUsed="0" w:uiPriority="99" w:semiHidden="0" w:name="Normal (Web)"/>
    <w:lsdException w:uiPriority="1" w:name="HTML Acronym"/>
    <w:lsdException w:uiPriority="1" w:name="HTML Address"/>
    <w:lsdException w:uiPriority="1" w:name="HTML Cite"/>
    <w:lsdException w:uiPriority="1" w:name="HTML Code"/>
    <w:lsdException w:uiPriority="1" w:name="HTML Definition"/>
    <w:lsdException w:uiPriority="1" w:name="HTML Keyboard"/>
    <w:lsdException w:uiPriority="1" w:name="HTML Preformatted"/>
    <w:lsdException w:uiPriority="1" w:name="HTML Sample"/>
    <w:lsdException w:uiPriority="1" w:name="HTML Typewriter"/>
    <w:lsdException w:uiPriority="1" w:name="HTML Variable"/>
    <w:lsdException w:qFormat="1" w:uiPriority="99" w:name="Normal Table"/>
    <w:lsdException w:qFormat="1" w:uiPriority="99" w:semiHidden="0" w:name="annotation subject"/>
    <w:lsdException w:uiPriority="1" w:name="Table Simple 1"/>
    <w:lsdException w:uiPriority="1" w:name="Table Simple 2"/>
    <w:lsdException w:uiPriority="1" w:name="Table Simple 3"/>
    <w:lsdException w:uiPriority="1" w:name="Table Classic 1"/>
    <w:lsdException w:uiPriority="1" w:name="Table Classic 2"/>
    <w:lsdException w:uiPriority="1" w:name="Table Classic 3"/>
    <w:lsdException w:uiPriority="1" w:name="Table Classic 4"/>
    <w:lsdException w:uiPriority="1" w:name="Table Colorful 1"/>
    <w:lsdException w:uiPriority="1" w:name="Table Colorful 2"/>
    <w:lsdException w:uiPriority="1" w:name="Table Colorful 3"/>
    <w:lsdException w:uiPriority="1" w:name="Table Columns 1"/>
    <w:lsdException w:uiPriority="1" w:name="Table Columns 2"/>
    <w:lsdException w:uiPriority="1" w:name="Table Columns 3"/>
    <w:lsdException w:uiPriority="1" w:name="Table Columns 4"/>
    <w:lsdException w:uiPriority="1" w:name="Table Columns 5"/>
    <w:lsdException w:uiPriority="1" w:name="Table Grid 1"/>
    <w:lsdException w:uiPriority="1" w:name="Table Grid 2"/>
    <w:lsdException w:uiPriority="1" w:name="Table Grid 3"/>
    <w:lsdException w:uiPriority="1" w:name="Table Grid 4"/>
    <w:lsdException w:uiPriority="1" w:name="Table Grid 5"/>
    <w:lsdException w:uiPriority="1" w:name="Table Grid 6"/>
    <w:lsdException w:uiPriority="1" w:name="Table Grid 7"/>
    <w:lsdException w:uiPriority="1" w:name="Table Grid 8"/>
    <w:lsdException w:uiPriority="1" w:name="Table List 1"/>
    <w:lsdException w:uiPriority="1" w:name="Table List 2"/>
    <w:lsdException w:uiPriority="1" w:name="Table List 3"/>
    <w:lsdException w:uiPriority="1" w:name="Table List 4"/>
    <w:lsdException w:uiPriority="1" w:name="Table List 5"/>
    <w:lsdException w:uiPriority="1" w:name="Table List 6"/>
    <w:lsdException w:uiPriority="1" w:name="Table List 7"/>
    <w:lsdException w:uiPriority="1" w:name="Table List 8"/>
    <w:lsdException w:uiPriority="1" w:name="Table 3D effects 1"/>
    <w:lsdException w:uiPriority="1" w:name="Table 3D effects 2"/>
    <w:lsdException w:uiPriority="1" w:name="Table 3D effects 3"/>
    <w:lsdException w:uiPriority="1" w:name="Table Contemporary"/>
    <w:lsdException w:uiPriority="1" w:name="Table Elegant"/>
    <w:lsdException w:uiPriority="1" w:name="Table Professional"/>
    <w:lsdException w:uiPriority="1" w:name="Table Subtle 1"/>
    <w:lsdException w:uiPriority="1" w:name="Table Subtle 2"/>
    <w:lsdException w:uiPriority="1" w:name="Table Web 1"/>
    <w:lsdException w:uiPriority="1" w:name="Table Web 2"/>
    <w:lsdException w:uiPriority="1" w:name="Table Web 3"/>
    <w:lsdException w:qFormat="1" w:uiPriority="0" w:semiHidden="0" w:name="Balloon Text"/>
    <w:lsdException w:qFormat="1" w:unhideWhenUsed="0" w:uiPriority="0" w:semiHidden="0" w:name="Table Grid"/>
    <w:lsdException w:uiPriority="1"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67"/>
    <w:autoRedefine/>
    <w:qFormat/>
    <w:uiPriority w:val="9"/>
    <w:pPr>
      <w:keepNext/>
      <w:keepLines/>
      <w:spacing w:before="156" w:beforeLines="50" w:after="156" w:afterLines="50" w:line="490" w:lineRule="exact"/>
      <w:jc w:val="center"/>
      <w:outlineLvl w:val="0"/>
    </w:pPr>
    <w:rPr>
      <w:b/>
      <w:bCs/>
      <w:kern w:val="44"/>
      <w:sz w:val="32"/>
      <w:szCs w:val="32"/>
    </w:rPr>
  </w:style>
  <w:style w:type="paragraph" w:styleId="3">
    <w:name w:val="heading 2"/>
    <w:basedOn w:val="1"/>
    <w:next w:val="1"/>
    <w:link w:val="43"/>
    <w:autoRedefine/>
    <w:qFormat/>
    <w:uiPriority w:val="0"/>
    <w:pPr>
      <w:keepNext/>
      <w:keepLines/>
      <w:spacing w:line="490" w:lineRule="exact"/>
      <w:outlineLvl w:val="1"/>
    </w:pPr>
    <w:rPr>
      <w:b/>
      <w:bCs/>
      <w:sz w:val="28"/>
      <w:szCs w:val="28"/>
    </w:rPr>
  </w:style>
  <w:style w:type="paragraph" w:styleId="4">
    <w:name w:val="heading 3"/>
    <w:basedOn w:val="1"/>
    <w:next w:val="1"/>
    <w:link w:val="45"/>
    <w:qFormat/>
    <w:uiPriority w:val="0"/>
    <w:pPr>
      <w:keepNext/>
      <w:keepLines/>
      <w:spacing w:before="260" w:after="260" w:line="416" w:lineRule="auto"/>
      <w:outlineLvl w:val="2"/>
    </w:pPr>
    <w:rPr>
      <w:b/>
      <w:bCs/>
      <w:sz w:val="32"/>
      <w:szCs w:val="32"/>
    </w:rPr>
  </w:style>
  <w:style w:type="paragraph" w:styleId="5">
    <w:name w:val="heading 4"/>
    <w:basedOn w:val="1"/>
    <w:next w:val="1"/>
    <w:link w:val="94"/>
    <w:semiHidden/>
    <w:unhideWhenUsed/>
    <w:qFormat/>
    <w:uiPriority w:val="1"/>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6"/>
    <w:basedOn w:val="1"/>
    <w:next w:val="1"/>
    <w:unhideWhenUsed/>
    <w:qFormat/>
    <w:uiPriority w:val="0"/>
    <w:pPr>
      <w:keepNext/>
      <w:keepLines/>
      <w:adjustRightInd w:val="0"/>
      <w:snapToGrid w:val="0"/>
      <w:spacing w:line="360" w:lineRule="auto"/>
      <w:jc w:val="center"/>
      <w:outlineLvl w:val="5"/>
    </w:pPr>
    <w:rPr>
      <w:rFonts w:ascii="Times New Roman" w:hAnsi="Times New Roman"/>
      <w:sz w:val="24"/>
      <w:szCs w:val="24"/>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7">
    <w:name w:val="List 3"/>
    <w:basedOn w:val="1"/>
    <w:next w:val="1"/>
    <w:qFormat/>
    <w:uiPriority w:val="0"/>
    <w:pPr>
      <w:autoSpaceDE w:val="0"/>
      <w:autoSpaceDN w:val="0"/>
      <w:adjustRightInd w:val="0"/>
      <w:spacing w:line="288" w:lineRule="auto"/>
      <w:ind w:left="1260" w:hanging="420"/>
      <w:jc w:val="left"/>
      <w:textAlignment w:val="baseline"/>
    </w:pPr>
    <w:rPr>
      <w:kern w:val="0"/>
      <w:sz w:val="24"/>
      <w:szCs w:val="20"/>
    </w:rPr>
  </w:style>
  <w:style w:type="paragraph" w:styleId="8">
    <w:name w:val="toc 7"/>
    <w:basedOn w:val="1"/>
    <w:next w:val="1"/>
    <w:unhideWhenUsed/>
    <w:qFormat/>
    <w:uiPriority w:val="39"/>
    <w:pPr>
      <w:ind w:left="2520" w:leftChars="1200"/>
    </w:pPr>
    <w:rPr>
      <w:rFonts w:ascii="等线" w:hAnsi="等线" w:eastAsia="等线"/>
    </w:rPr>
  </w:style>
  <w:style w:type="paragraph" w:styleId="9">
    <w:name w:val="Note Heading"/>
    <w:basedOn w:val="1"/>
    <w:next w:val="1"/>
    <w:link w:val="101"/>
    <w:semiHidden/>
    <w:unhideWhenUsed/>
    <w:qFormat/>
    <w:uiPriority w:val="1"/>
    <w:pPr>
      <w:jc w:val="center"/>
    </w:pPr>
  </w:style>
  <w:style w:type="paragraph" w:styleId="10">
    <w:name w:val="List Number"/>
    <w:basedOn w:val="1"/>
    <w:semiHidden/>
    <w:unhideWhenUsed/>
    <w:qFormat/>
    <w:uiPriority w:val="1"/>
    <w:pPr>
      <w:numPr>
        <w:ilvl w:val="0"/>
        <w:numId w:val="1"/>
      </w:numPr>
    </w:pPr>
  </w:style>
  <w:style w:type="paragraph" w:styleId="11">
    <w:name w:val="Normal Indent"/>
    <w:basedOn w:val="1"/>
    <w:link w:val="56"/>
    <w:qFormat/>
    <w:uiPriority w:val="0"/>
    <w:pPr>
      <w:ind w:firstLine="420" w:firstLineChars="200"/>
    </w:pPr>
    <w:rPr>
      <w:szCs w:val="20"/>
    </w:rPr>
  </w:style>
  <w:style w:type="paragraph" w:styleId="12">
    <w:name w:val="annotation text"/>
    <w:basedOn w:val="1"/>
    <w:link w:val="66"/>
    <w:unhideWhenUsed/>
    <w:qFormat/>
    <w:uiPriority w:val="99"/>
    <w:pPr>
      <w:jc w:val="left"/>
    </w:pPr>
  </w:style>
  <w:style w:type="paragraph" w:styleId="13">
    <w:name w:val="Body Text"/>
    <w:basedOn w:val="1"/>
    <w:next w:val="10"/>
    <w:link w:val="63"/>
    <w:unhideWhenUsed/>
    <w:qFormat/>
    <w:uiPriority w:val="0"/>
    <w:pPr>
      <w:spacing w:after="120"/>
    </w:pPr>
  </w:style>
  <w:style w:type="paragraph" w:styleId="14">
    <w:name w:val="Body Text Indent"/>
    <w:basedOn w:val="1"/>
    <w:link w:val="68"/>
    <w:unhideWhenUsed/>
    <w:qFormat/>
    <w:uiPriority w:val="0"/>
    <w:pPr>
      <w:spacing w:after="120"/>
      <w:ind w:left="420" w:leftChars="200"/>
    </w:pPr>
  </w:style>
  <w:style w:type="paragraph" w:styleId="15">
    <w:name w:val="toc 5"/>
    <w:basedOn w:val="1"/>
    <w:next w:val="1"/>
    <w:unhideWhenUsed/>
    <w:qFormat/>
    <w:uiPriority w:val="39"/>
    <w:pPr>
      <w:ind w:left="1680" w:leftChars="800"/>
    </w:pPr>
    <w:rPr>
      <w:rFonts w:ascii="等线" w:hAnsi="等线" w:eastAsia="等线"/>
    </w:rPr>
  </w:style>
  <w:style w:type="paragraph" w:styleId="16">
    <w:name w:val="toc 3"/>
    <w:basedOn w:val="1"/>
    <w:next w:val="1"/>
    <w:unhideWhenUsed/>
    <w:qFormat/>
    <w:uiPriority w:val="39"/>
    <w:pPr>
      <w:ind w:left="840" w:leftChars="400"/>
    </w:pPr>
  </w:style>
  <w:style w:type="paragraph" w:styleId="17">
    <w:name w:val="Plain Text"/>
    <w:basedOn w:val="1"/>
    <w:link w:val="64"/>
    <w:qFormat/>
    <w:uiPriority w:val="0"/>
    <w:rPr>
      <w:rFonts w:ascii="宋体" w:hAnsi="Courier New"/>
      <w:szCs w:val="20"/>
    </w:rPr>
  </w:style>
  <w:style w:type="paragraph" w:styleId="18">
    <w:name w:val="toc 8"/>
    <w:basedOn w:val="1"/>
    <w:next w:val="1"/>
    <w:unhideWhenUsed/>
    <w:qFormat/>
    <w:uiPriority w:val="39"/>
    <w:pPr>
      <w:ind w:left="2940" w:leftChars="1400"/>
    </w:pPr>
    <w:rPr>
      <w:rFonts w:ascii="等线" w:hAnsi="等线" w:eastAsia="等线"/>
    </w:rPr>
  </w:style>
  <w:style w:type="paragraph" w:styleId="19">
    <w:name w:val="Date"/>
    <w:basedOn w:val="1"/>
    <w:next w:val="1"/>
    <w:link w:val="71"/>
    <w:unhideWhenUsed/>
    <w:qFormat/>
    <w:uiPriority w:val="99"/>
    <w:pPr>
      <w:ind w:left="100" w:leftChars="2500"/>
    </w:pPr>
  </w:style>
  <w:style w:type="paragraph" w:styleId="20">
    <w:name w:val="Body Text Indent 2"/>
    <w:basedOn w:val="1"/>
    <w:link w:val="50"/>
    <w:unhideWhenUsed/>
    <w:qFormat/>
    <w:uiPriority w:val="0"/>
    <w:pPr>
      <w:spacing w:after="120" w:line="480" w:lineRule="auto"/>
      <w:ind w:left="420" w:leftChars="200"/>
    </w:pPr>
  </w:style>
  <w:style w:type="paragraph" w:styleId="21">
    <w:name w:val="Balloon Text"/>
    <w:basedOn w:val="1"/>
    <w:link w:val="44"/>
    <w:unhideWhenUsed/>
    <w:qFormat/>
    <w:uiPriority w:val="0"/>
    <w:rPr>
      <w:sz w:val="18"/>
      <w:szCs w:val="18"/>
    </w:rPr>
  </w:style>
  <w:style w:type="paragraph" w:styleId="22">
    <w:name w:val="footer"/>
    <w:basedOn w:val="1"/>
    <w:link w:val="53"/>
    <w:unhideWhenUsed/>
    <w:qFormat/>
    <w:uiPriority w:val="99"/>
    <w:pPr>
      <w:tabs>
        <w:tab w:val="center" w:pos="4153"/>
        <w:tab w:val="right" w:pos="8306"/>
      </w:tabs>
      <w:snapToGrid w:val="0"/>
      <w:jc w:val="left"/>
    </w:pPr>
    <w:rPr>
      <w:sz w:val="18"/>
      <w:szCs w:val="18"/>
    </w:rPr>
  </w:style>
  <w:style w:type="paragraph" w:styleId="23">
    <w:name w:val="header"/>
    <w:basedOn w:val="1"/>
    <w:link w:val="48"/>
    <w:unhideWhenUsed/>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unhideWhenUsed/>
    <w:qFormat/>
    <w:uiPriority w:val="39"/>
  </w:style>
  <w:style w:type="paragraph" w:styleId="25">
    <w:name w:val="toc 4"/>
    <w:basedOn w:val="1"/>
    <w:next w:val="1"/>
    <w:unhideWhenUsed/>
    <w:qFormat/>
    <w:uiPriority w:val="39"/>
    <w:pPr>
      <w:ind w:left="1260" w:leftChars="600"/>
    </w:pPr>
    <w:rPr>
      <w:rFonts w:ascii="等线" w:hAnsi="等线" w:eastAsia="等线"/>
    </w:rPr>
  </w:style>
  <w:style w:type="paragraph" w:styleId="26">
    <w:name w:val="List"/>
    <w:basedOn w:val="1"/>
    <w:semiHidden/>
    <w:unhideWhenUsed/>
    <w:qFormat/>
    <w:uiPriority w:val="1"/>
    <w:pPr>
      <w:ind w:left="200" w:hanging="200" w:hangingChars="200"/>
      <w:contextualSpacing/>
    </w:pPr>
  </w:style>
  <w:style w:type="paragraph" w:styleId="27">
    <w:name w:val="toc 6"/>
    <w:basedOn w:val="1"/>
    <w:next w:val="1"/>
    <w:unhideWhenUsed/>
    <w:qFormat/>
    <w:uiPriority w:val="39"/>
    <w:pPr>
      <w:ind w:left="2100" w:leftChars="1000"/>
    </w:pPr>
    <w:rPr>
      <w:rFonts w:ascii="等线" w:hAnsi="等线" w:eastAsia="等线"/>
    </w:rPr>
  </w:style>
  <w:style w:type="paragraph" w:styleId="28">
    <w:name w:val="Body Text Indent 3"/>
    <w:basedOn w:val="1"/>
    <w:link w:val="102"/>
    <w:autoRedefine/>
    <w:qFormat/>
    <w:uiPriority w:val="0"/>
    <w:pPr>
      <w:ind w:firstLine="549" w:firstLineChars="200"/>
    </w:pPr>
    <w:rPr>
      <w:sz w:val="28"/>
      <w:szCs w:val="20"/>
    </w:rPr>
  </w:style>
  <w:style w:type="paragraph" w:styleId="29">
    <w:name w:val="toc 2"/>
    <w:basedOn w:val="1"/>
    <w:next w:val="1"/>
    <w:unhideWhenUsed/>
    <w:qFormat/>
    <w:uiPriority w:val="39"/>
    <w:pPr>
      <w:ind w:left="420" w:leftChars="200"/>
    </w:pPr>
  </w:style>
  <w:style w:type="paragraph" w:styleId="30">
    <w:name w:val="toc 9"/>
    <w:basedOn w:val="1"/>
    <w:next w:val="1"/>
    <w:autoRedefine/>
    <w:unhideWhenUsed/>
    <w:qFormat/>
    <w:uiPriority w:val="39"/>
    <w:pPr>
      <w:ind w:left="3360" w:leftChars="1600"/>
    </w:pPr>
    <w:rPr>
      <w:rFonts w:ascii="等线" w:hAnsi="等线" w:eastAsia="等线"/>
    </w:rPr>
  </w:style>
  <w:style w:type="paragraph" w:styleId="31">
    <w:name w:val="Body Text 2"/>
    <w:basedOn w:val="1"/>
    <w:link w:val="65"/>
    <w:autoRedefine/>
    <w:qFormat/>
    <w:uiPriority w:val="0"/>
    <w:pPr>
      <w:spacing w:after="120" w:line="480" w:lineRule="auto"/>
    </w:pPr>
    <w:rPr>
      <w:szCs w:val="24"/>
    </w:rPr>
  </w:style>
  <w:style w:type="paragraph" w:styleId="32">
    <w:name w:val="Normal (Web)"/>
    <w:basedOn w:val="1"/>
    <w:link w:val="75"/>
    <w:qFormat/>
    <w:uiPriority w:val="99"/>
    <w:pPr>
      <w:widowControl/>
      <w:spacing w:before="100" w:beforeAutospacing="1" w:after="100" w:afterAutospacing="1" w:line="360" w:lineRule="auto"/>
      <w:jc w:val="left"/>
    </w:pPr>
    <w:rPr>
      <w:rFonts w:ascii="宋体" w:hAnsi="宋体"/>
      <w:kern w:val="0"/>
      <w:sz w:val="24"/>
      <w:szCs w:val="24"/>
    </w:rPr>
  </w:style>
  <w:style w:type="paragraph" w:styleId="33">
    <w:name w:val="annotation subject"/>
    <w:basedOn w:val="12"/>
    <w:next w:val="12"/>
    <w:link w:val="52"/>
    <w:unhideWhenUsed/>
    <w:qFormat/>
    <w:uiPriority w:val="99"/>
    <w:rPr>
      <w:b/>
      <w:bCs/>
    </w:rPr>
  </w:style>
  <w:style w:type="paragraph" w:styleId="34">
    <w:name w:val="Body Text First Indent"/>
    <w:basedOn w:val="13"/>
    <w:link w:val="89"/>
    <w:autoRedefine/>
    <w:qFormat/>
    <w:uiPriority w:val="99"/>
    <w:pPr>
      <w:ind w:firstLine="420" w:firstLineChars="100"/>
    </w:pPr>
    <w:rPr>
      <w:szCs w:val="24"/>
    </w:rPr>
  </w:style>
  <w:style w:type="table" w:styleId="36">
    <w:name w:val="Table Grid"/>
    <w:basedOn w:val="3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1"/>
    <w:rPr>
      <w:b/>
    </w:rPr>
  </w:style>
  <w:style w:type="character" w:styleId="39">
    <w:name w:val="page number"/>
    <w:qFormat/>
    <w:uiPriority w:val="0"/>
  </w:style>
  <w:style w:type="character" w:styleId="40">
    <w:name w:val="FollowedHyperlink"/>
    <w:qFormat/>
    <w:uiPriority w:val="0"/>
    <w:rPr>
      <w:color w:val="800080"/>
      <w:u w:val="single"/>
    </w:rPr>
  </w:style>
  <w:style w:type="character" w:styleId="41">
    <w:name w:val="Hyperlink"/>
    <w:unhideWhenUsed/>
    <w:qFormat/>
    <w:uiPriority w:val="99"/>
    <w:rPr>
      <w:color w:val="0000FF"/>
      <w:u w:val="single"/>
    </w:rPr>
  </w:style>
  <w:style w:type="character" w:styleId="42">
    <w:name w:val="annotation reference"/>
    <w:autoRedefine/>
    <w:unhideWhenUsed/>
    <w:qFormat/>
    <w:uiPriority w:val="99"/>
    <w:rPr>
      <w:sz w:val="21"/>
      <w:szCs w:val="21"/>
    </w:rPr>
  </w:style>
  <w:style w:type="character" w:customStyle="1" w:styleId="43">
    <w:name w:val="标题 2 字符"/>
    <w:link w:val="3"/>
    <w:qFormat/>
    <w:uiPriority w:val="0"/>
    <w:rPr>
      <w:b/>
      <w:bCs/>
      <w:kern w:val="2"/>
      <w:sz w:val="28"/>
      <w:szCs w:val="28"/>
    </w:rPr>
  </w:style>
  <w:style w:type="character" w:customStyle="1" w:styleId="44">
    <w:name w:val="批注框文本 字符"/>
    <w:link w:val="21"/>
    <w:semiHidden/>
    <w:qFormat/>
    <w:uiPriority w:val="99"/>
    <w:rPr>
      <w:sz w:val="18"/>
      <w:szCs w:val="18"/>
    </w:rPr>
  </w:style>
  <w:style w:type="character" w:customStyle="1" w:styleId="45">
    <w:name w:val="标题 3 字符"/>
    <w:link w:val="4"/>
    <w:autoRedefine/>
    <w:qFormat/>
    <w:uiPriority w:val="0"/>
    <w:rPr>
      <w:rFonts w:ascii="Times New Roman" w:hAnsi="Times New Roman" w:eastAsia="宋体" w:cs="Times New Roman"/>
      <w:b/>
      <w:bCs/>
      <w:sz w:val="32"/>
      <w:szCs w:val="32"/>
    </w:rPr>
  </w:style>
  <w:style w:type="character" w:customStyle="1" w:styleId="46">
    <w:name w:val="正文四号 Char"/>
    <w:link w:val="47"/>
    <w:qFormat/>
    <w:locked/>
    <w:uiPriority w:val="0"/>
    <w:rPr>
      <w:rFonts w:ascii="Times New Roman" w:hAnsi="Times New Roman" w:eastAsia="宋体" w:cs="宋体"/>
      <w:sz w:val="24"/>
      <w:szCs w:val="24"/>
    </w:rPr>
  </w:style>
  <w:style w:type="paragraph" w:customStyle="1" w:styleId="47">
    <w:name w:val="正文四号"/>
    <w:basedOn w:val="1"/>
    <w:link w:val="46"/>
    <w:qFormat/>
    <w:uiPriority w:val="0"/>
    <w:pPr>
      <w:spacing w:afterLines="50" w:line="360" w:lineRule="auto"/>
      <w:ind w:firstLine="200" w:firstLineChars="200"/>
    </w:pPr>
    <w:rPr>
      <w:rFonts w:cs="宋体"/>
      <w:sz w:val="24"/>
      <w:szCs w:val="24"/>
    </w:rPr>
  </w:style>
  <w:style w:type="character" w:customStyle="1" w:styleId="48">
    <w:name w:val="页眉 字符"/>
    <w:link w:val="23"/>
    <w:autoRedefine/>
    <w:qFormat/>
    <w:uiPriority w:val="99"/>
    <w:rPr>
      <w:sz w:val="18"/>
      <w:szCs w:val="18"/>
    </w:rPr>
  </w:style>
  <w:style w:type="character" w:customStyle="1" w:styleId="49">
    <w:name w:val="正文文本 2 字符1"/>
    <w:basedOn w:val="37"/>
    <w:semiHidden/>
    <w:qFormat/>
    <w:uiPriority w:val="99"/>
  </w:style>
  <w:style w:type="character" w:customStyle="1" w:styleId="50">
    <w:name w:val="正文文本缩进 2 字符"/>
    <w:basedOn w:val="37"/>
    <w:link w:val="20"/>
    <w:semiHidden/>
    <w:qFormat/>
    <w:uiPriority w:val="99"/>
  </w:style>
  <w:style w:type="character" w:customStyle="1" w:styleId="51">
    <w:name w:val="正文文本 (7) + 间距 0 pt Exact"/>
    <w:qFormat/>
    <w:uiPriority w:val="0"/>
    <w:rPr>
      <w:rFonts w:ascii="MingLiU" w:hAnsi="MingLiU" w:eastAsia="MingLiU" w:cs="MingLiU"/>
      <w:b/>
      <w:bCs/>
      <w:color w:val="000000"/>
      <w:spacing w:val="10"/>
      <w:w w:val="100"/>
      <w:position w:val="0"/>
      <w:sz w:val="20"/>
      <w:szCs w:val="20"/>
      <w:u w:val="none"/>
      <w:lang w:val="zh-TW" w:eastAsia="zh-TW" w:bidi="zh-TW"/>
    </w:rPr>
  </w:style>
  <w:style w:type="character" w:customStyle="1" w:styleId="52">
    <w:name w:val="批注主题 字符"/>
    <w:link w:val="33"/>
    <w:autoRedefine/>
    <w:semiHidden/>
    <w:qFormat/>
    <w:uiPriority w:val="99"/>
    <w:rPr>
      <w:b/>
      <w:bCs/>
    </w:rPr>
  </w:style>
  <w:style w:type="character" w:customStyle="1" w:styleId="53">
    <w:name w:val="页脚 字符"/>
    <w:link w:val="22"/>
    <w:qFormat/>
    <w:uiPriority w:val="99"/>
    <w:rPr>
      <w:sz w:val="18"/>
      <w:szCs w:val="18"/>
    </w:rPr>
  </w:style>
  <w:style w:type="character" w:customStyle="1" w:styleId="54">
    <w:name w:val="报告书正文 Char"/>
    <w:link w:val="55"/>
    <w:qFormat/>
    <w:uiPriority w:val="0"/>
    <w:rPr>
      <w:rFonts w:eastAsia="宋体"/>
      <w:sz w:val="28"/>
    </w:rPr>
  </w:style>
  <w:style w:type="paragraph" w:customStyle="1" w:styleId="55">
    <w:name w:val="报告书正文"/>
    <w:basedOn w:val="20"/>
    <w:link w:val="54"/>
    <w:qFormat/>
    <w:uiPriority w:val="0"/>
    <w:pPr>
      <w:adjustRightInd w:val="0"/>
      <w:snapToGrid w:val="0"/>
      <w:spacing w:after="0" w:line="500" w:lineRule="exact"/>
      <w:ind w:left="0" w:leftChars="0" w:firstLine="200" w:firstLineChars="200"/>
    </w:pPr>
    <w:rPr>
      <w:sz w:val="28"/>
    </w:rPr>
  </w:style>
  <w:style w:type="character" w:customStyle="1" w:styleId="56">
    <w:name w:val="正文缩进 字符"/>
    <w:link w:val="11"/>
    <w:qFormat/>
    <w:locked/>
    <w:uiPriority w:val="0"/>
    <w:rPr>
      <w:rFonts w:ascii="Times New Roman" w:hAnsi="Times New Roman" w:eastAsia="宋体" w:cs="Times New Roman"/>
      <w:szCs w:val="20"/>
    </w:rPr>
  </w:style>
  <w:style w:type="character" w:customStyle="1" w:styleId="57">
    <w:name w:val="表格 Char"/>
    <w:link w:val="58"/>
    <w:autoRedefine/>
    <w:qFormat/>
    <w:uiPriority w:val="0"/>
    <w:rPr>
      <w:rFonts w:eastAsia="宋体"/>
      <w:kern w:val="2"/>
      <w:sz w:val="24"/>
      <w:szCs w:val="24"/>
      <w:lang w:val="en-US" w:eastAsia="zh-CN" w:bidi="ar-SA"/>
    </w:rPr>
  </w:style>
  <w:style w:type="paragraph" w:customStyle="1" w:styleId="58">
    <w:name w:val="表格"/>
    <w:basedOn w:val="1"/>
    <w:link w:val="57"/>
    <w:qFormat/>
    <w:uiPriority w:val="0"/>
    <w:pPr>
      <w:adjustRightInd w:val="0"/>
      <w:jc w:val="center"/>
    </w:pPr>
    <w:rPr>
      <w:sz w:val="24"/>
      <w:szCs w:val="24"/>
    </w:rPr>
  </w:style>
  <w:style w:type="character" w:customStyle="1" w:styleId="59">
    <w:name w:val="表蕊 Char1"/>
    <w:link w:val="60"/>
    <w:qFormat/>
    <w:uiPriority w:val="0"/>
    <w:rPr>
      <w:rFonts w:eastAsia="楷体_GB2312"/>
      <w:spacing w:val="-10"/>
      <w:sz w:val="21"/>
    </w:rPr>
  </w:style>
  <w:style w:type="paragraph" w:customStyle="1" w:styleId="60">
    <w:name w:val="表蕊"/>
    <w:basedOn w:val="1"/>
    <w:link w:val="59"/>
    <w:qFormat/>
    <w:uiPriority w:val="0"/>
    <w:pPr>
      <w:adjustRightInd w:val="0"/>
      <w:spacing w:line="320" w:lineRule="atLeast"/>
      <w:jc w:val="left"/>
      <w:textAlignment w:val="baseline"/>
    </w:pPr>
    <w:rPr>
      <w:rFonts w:eastAsia="楷体_GB2312"/>
      <w:spacing w:val="-10"/>
      <w:kern w:val="0"/>
      <w:szCs w:val="20"/>
    </w:rPr>
  </w:style>
  <w:style w:type="character" w:customStyle="1" w:styleId="61">
    <w:name w:val="表中文字 Char"/>
    <w:link w:val="62"/>
    <w:qFormat/>
    <w:uiPriority w:val="0"/>
    <w:rPr>
      <w:rFonts w:ascii="Times New Roman" w:hAnsi="Times New Roman" w:eastAsia="宋体" w:cs="Times New Roman"/>
      <w:szCs w:val="24"/>
    </w:rPr>
  </w:style>
  <w:style w:type="paragraph" w:customStyle="1" w:styleId="62">
    <w:name w:val="表中文字"/>
    <w:basedOn w:val="1"/>
    <w:link w:val="61"/>
    <w:autoRedefine/>
    <w:qFormat/>
    <w:uiPriority w:val="0"/>
    <w:pPr>
      <w:adjustRightInd w:val="0"/>
      <w:snapToGrid w:val="0"/>
      <w:spacing w:line="400" w:lineRule="exact"/>
      <w:jc w:val="center"/>
    </w:pPr>
    <w:rPr>
      <w:szCs w:val="24"/>
    </w:rPr>
  </w:style>
  <w:style w:type="character" w:customStyle="1" w:styleId="63">
    <w:name w:val="正文文本 字符"/>
    <w:basedOn w:val="37"/>
    <w:link w:val="13"/>
    <w:qFormat/>
    <w:uiPriority w:val="99"/>
  </w:style>
  <w:style w:type="character" w:customStyle="1" w:styleId="64">
    <w:name w:val="纯文本 字符"/>
    <w:link w:val="17"/>
    <w:qFormat/>
    <w:uiPriority w:val="0"/>
    <w:rPr>
      <w:rFonts w:ascii="宋体" w:hAnsi="Courier New"/>
      <w:kern w:val="2"/>
      <w:sz w:val="21"/>
    </w:rPr>
  </w:style>
  <w:style w:type="character" w:customStyle="1" w:styleId="65">
    <w:name w:val="正文文本 2 字符"/>
    <w:link w:val="31"/>
    <w:autoRedefine/>
    <w:qFormat/>
    <w:uiPriority w:val="0"/>
    <w:rPr>
      <w:rFonts w:eastAsia="宋体"/>
      <w:szCs w:val="24"/>
    </w:rPr>
  </w:style>
  <w:style w:type="character" w:customStyle="1" w:styleId="66">
    <w:name w:val="批注文字 字符"/>
    <w:basedOn w:val="37"/>
    <w:link w:val="12"/>
    <w:semiHidden/>
    <w:qFormat/>
    <w:uiPriority w:val="99"/>
  </w:style>
  <w:style w:type="character" w:customStyle="1" w:styleId="67">
    <w:name w:val="标题 1 字符"/>
    <w:link w:val="2"/>
    <w:qFormat/>
    <w:uiPriority w:val="9"/>
    <w:rPr>
      <w:b/>
      <w:bCs/>
      <w:kern w:val="44"/>
      <w:sz w:val="32"/>
      <w:szCs w:val="32"/>
    </w:rPr>
  </w:style>
  <w:style w:type="character" w:customStyle="1" w:styleId="68">
    <w:name w:val="正文文本缩进 字符"/>
    <w:basedOn w:val="37"/>
    <w:link w:val="14"/>
    <w:autoRedefine/>
    <w:qFormat/>
    <w:uiPriority w:val="99"/>
  </w:style>
  <w:style w:type="character" w:customStyle="1" w:styleId="69">
    <w:name w:val="正文文字 Char"/>
    <w:link w:val="70"/>
    <w:qFormat/>
    <w:uiPriority w:val="0"/>
    <w:rPr>
      <w:sz w:val="28"/>
      <w:szCs w:val="28"/>
    </w:rPr>
  </w:style>
  <w:style w:type="paragraph" w:customStyle="1" w:styleId="70">
    <w:name w:val="正文文字"/>
    <w:basedOn w:val="1"/>
    <w:link w:val="69"/>
    <w:qFormat/>
    <w:uiPriority w:val="0"/>
    <w:pPr>
      <w:widowControl/>
      <w:spacing w:line="360" w:lineRule="auto"/>
      <w:ind w:firstLine="960" w:firstLineChars="200"/>
    </w:pPr>
    <w:rPr>
      <w:sz w:val="28"/>
      <w:szCs w:val="28"/>
    </w:rPr>
  </w:style>
  <w:style w:type="character" w:customStyle="1" w:styleId="71">
    <w:name w:val="日期 字符"/>
    <w:basedOn w:val="37"/>
    <w:link w:val="19"/>
    <w:autoRedefine/>
    <w:semiHidden/>
    <w:qFormat/>
    <w:uiPriority w:val="99"/>
  </w:style>
  <w:style w:type="character" w:customStyle="1" w:styleId="72">
    <w:name w:val="正文文本 Char"/>
    <w:qFormat/>
    <w:uiPriority w:val="0"/>
    <w:rPr>
      <w:kern w:val="2"/>
      <w:sz w:val="21"/>
    </w:rPr>
  </w:style>
  <w:style w:type="character" w:customStyle="1" w:styleId="73">
    <w:name w:val="表格文字 Char Char"/>
    <w:link w:val="74"/>
    <w:qFormat/>
    <w:locked/>
    <w:uiPriority w:val="0"/>
    <w:rPr>
      <w:szCs w:val="21"/>
    </w:rPr>
  </w:style>
  <w:style w:type="paragraph" w:customStyle="1" w:styleId="74">
    <w:name w:val="表格文字"/>
    <w:basedOn w:val="11"/>
    <w:next w:val="1"/>
    <w:link w:val="73"/>
    <w:autoRedefine/>
    <w:qFormat/>
    <w:uiPriority w:val="0"/>
    <w:pPr>
      <w:spacing w:line="360" w:lineRule="atLeast"/>
      <w:ind w:firstLine="0" w:firstLineChars="0"/>
      <w:jc w:val="center"/>
    </w:pPr>
    <w:rPr>
      <w:rFonts w:ascii="Calibri" w:hAnsi="Calibri"/>
      <w:szCs w:val="21"/>
    </w:rPr>
  </w:style>
  <w:style w:type="character" w:customStyle="1" w:styleId="75">
    <w:name w:val="普通(网站) 字符"/>
    <w:link w:val="32"/>
    <w:qFormat/>
    <w:uiPriority w:val="99"/>
    <w:rPr>
      <w:rFonts w:ascii="宋体" w:hAnsi="宋体"/>
      <w:sz w:val="24"/>
      <w:szCs w:val="24"/>
    </w:rPr>
  </w:style>
  <w:style w:type="paragraph" w:customStyle="1" w:styleId="76">
    <w:name w:val="Table Paragraph"/>
    <w:basedOn w:val="1"/>
    <w:qFormat/>
    <w:uiPriority w:val="1"/>
    <w:pPr>
      <w:autoSpaceDE w:val="0"/>
      <w:autoSpaceDN w:val="0"/>
      <w:adjustRightInd w:val="0"/>
      <w:jc w:val="center"/>
    </w:pPr>
    <w:rPr>
      <w:rFonts w:eastAsia="等线"/>
      <w:kern w:val="0"/>
      <w:sz w:val="24"/>
      <w:szCs w:val="24"/>
    </w:rPr>
  </w:style>
  <w:style w:type="paragraph" w:customStyle="1" w:styleId="77">
    <w:name w:val="居中正文"/>
    <w:basedOn w:val="34"/>
    <w:qFormat/>
    <w:uiPriority w:val="99"/>
    <w:pPr>
      <w:adjustRightInd w:val="0"/>
      <w:spacing w:before="120" w:after="0"/>
      <w:ind w:firstLine="0" w:firstLineChars="0"/>
      <w:jc w:val="center"/>
      <w:textAlignment w:val="baseline"/>
    </w:pPr>
    <w:rPr>
      <w:rFonts w:ascii="宋体" w:hAnsi="Calibri"/>
      <w:kern w:val="28"/>
      <w:szCs w:val="20"/>
    </w:rPr>
  </w:style>
  <w:style w:type="paragraph" w:customStyle="1" w:styleId="78">
    <w:name w:val="图表文字"/>
    <w:autoRedefine/>
    <w:qFormat/>
    <w:uiPriority w:val="0"/>
    <w:pPr>
      <w:adjustRightInd w:val="0"/>
      <w:snapToGrid w:val="0"/>
      <w:spacing w:line="380" w:lineRule="exact"/>
      <w:jc w:val="center"/>
    </w:pPr>
    <w:rPr>
      <w:rFonts w:ascii="Times New Roman" w:hAnsi="Times New Roman" w:eastAsia="宋体" w:cs="Times New Roman"/>
      <w:sz w:val="21"/>
      <w:lang w:val="en-US" w:eastAsia="zh-CN" w:bidi="ar-SA"/>
    </w:rPr>
  </w:style>
  <w:style w:type="paragraph" w:customStyle="1" w:styleId="79">
    <w:name w:val="1"/>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80">
    <w:name w:val="TOC 标题1"/>
    <w:basedOn w:val="2"/>
    <w:next w:val="1"/>
    <w:qFormat/>
    <w:uiPriority w:val="39"/>
    <w:pPr>
      <w:outlineLvl w:val="9"/>
    </w:pPr>
  </w:style>
  <w:style w:type="paragraph" w:customStyle="1" w:styleId="81">
    <w:name w:val="报告表格"/>
    <w:autoRedefine/>
    <w:qFormat/>
    <w:uiPriority w:val="0"/>
    <w:pPr>
      <w:autoSpaceDE w:val="0"/>
      <w:autoSpaceDN w:val="0"/>
      <w:adjustRightInd w:val="0"/>
      <w:jc w:val="center"/>
    </w:pPr>
    <w:rPr>
      <w:rFonts w:ascii="Times New Roman" w:hAnsi="Times New Roman" w:eastAsia="宋体" w:cs="Times New Roman"/>
      <w:b/>
      <w:sz w:val="24"/>
      <w:szCs w:val="22"/>
      <w:lang w:val="en-US" w:eastAsia="zh-CN" w:bidi="ar-SA"/>
    </w:rPr>
  </w:style>
  <w:style w:type="paragraph" w:customStyle="1" w:styleId="82">
    <w:name w:val="列出段落1"/>
    <w:basedOn w:val="1"/>
    <w:qFormat/>
    <w:uiPriority w:val="34"/>
    <w:pPr>
      <w:ind w:firstLine="420" w:firstLineChars="200"/>
    </w:pPr>
  </w:style>
  <w:style w:type="paragraph" w:customStyle="1" w:styleId="83">
    <w:name w:val="TOC 标题11"/>
    <w:basedOn w:val="2"/>
    <w:next w:val="1"/>
    <w:unhideWhenUsed/>
    <w:qFormat/>
    <w:uiPriority w:val="39"/>
    <w:pPr>
      <w:widowControl/>
      <w:spacing w:after="0" w:line="259" w:lineRule="auto"/>
      <w:jc w:val="left"/>
      <w:outlineLvl w:val="9"/>
    </w:pPr>
    <w:rPr>
      <w:rFonts w:ascii="Cambria" w:hAnsi="Cambria"/>
      <w:b w:val="0"/>
      <w:bCs w:val="0"/>
      <w:color w:val="366091"/>
      <w:kern w:val="0"/>
    </w:rPr>
  </w:style>
  <w:style w:type="paragraph" w:customStyle="1" w:styleId="84">
    <w:name w:val="xl31"/>
    <w:basedOn w:val="1"/>
    <w:qFormat/>
    <w:uiPriority w:val="0"/>
    <w:pPr>
      <w:widowControl/>
      <w:spacing w:before="100" w:beforeAutospacing="1" w:after="100" w:afterAutospacing="1"/>
      <w:jc w:val="center"/>
    </w:pPr>
    <w:rPr>
      <w:kern w:val="0"/>
      <w:sz w:val="24"/>
      <w:szCs w:val="24"/>
    </w:rPr>
  </w:style>
  <w:style w:type="paragraph" w:customStyle="1" w:styleId="85">
    <w:name w:val="WPS Plain"/>
    <w:basedOn w:val="1"/>
    <w:qFormat/>
    <w:uiPriority w:val="0"/>
    <w:pPr>
      <w:widowControl/>
      <w:jc w:val="left"/>
    </w:pPr>
    <w:rPr>
      <w:rFonts w:cs="Arial Unicode MS"/>
      <w:kern w:val="0"/>
      <w:sz w:val="24"/>
      <w:szCs w:val="24"/>
      <w:lang w:bidi="bo-CN"/>
    </w:rPr>
  </w:style>
  <w:style w:type="paragraph" w:customStyle="1" w:styleId="86">
    <w:name w:val="表格内容"/>
    <w:basedOn w:val="1"/>
    <w:link w:val="122"/>
    <w:qFormat/>
    <w:uiPriority w:val="0"/>
    <w:pPr>
      <w:jc w:val="center"/>
    </w:pPr>
    <w:rPr>
      <w:color w:val="000000"/>
      <w:szCs w:val="20"/>
    </w:rPr>
  </w:style>
  <w:style w:type="table" w:customStyle="1" w:styleId="87">
    <w:name w:val="网格型1"/>
    <w:basedOn w:val="35"/>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
    <w:name w:val="网格型2"/>
    <w:basedOn w:val="35"/>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9">
    <w:name w:val="正文文本首行缩进 字符"/>
    <w:link w:val="34"/>
    <w:qFormat/>
    <w:uiPriority w:val="99"/>
    <w:rPr>
      <w:kern w:val="2"/>
      <w:sz w:val="21"/>
      <w:szCs w:val="24"/>
    </w:rPr>
  </w:style>
  <w:style w:type="paragraph" w:customStyle="1" w:styleId="90">
    <w:name w:val="表内字"/>
    <w:basedOn w:val="26"/>
    <w:link w:val="91"/>
    <w:qFormat/>
    <w:uiPriority w:val="0"/>
    <w:pPr>
      <w:ind w:left="0" w:firstLine="0" w:firstLineChars="0"/>
      <w:contextualSpacing w:val="0"/>
      <w:jc w:val="center"/>
    </w:pPr>
    <w:rPr>
      <w:iCs/>
      <w:color w:val="000000"/>
      <w:sz w:val="18"/>
      <w:szCs w:val="18"/>
    </w:rPr>
  </w:style>
  <w:style w:type="character" w:customStyle="1" w:styleId="91">
    <w:name w:val="表内字 Char Char"/>
    <w:link w:val="90"/>
    <w:qFormat/>
    <w:uiPriority w:val="0"/>
    <w:rPr>
      <w:iCs/>
      <w:color w:val="000000"/>
      <w:kern w:val="2"/>
      <w:sz w:val="18"/>
      <w:szCs w:val="18"/>
    </w:rPr>
  </w:style>
  <w:style w:type="table" w:customStyle="1" w:styleId="92">
    <w:name w:val="网格型3"/>
    <w:basedOn w:val="35"/>
    <w:unhideWhenUsed/>
    <w:qFormat/>
    <w:uiPriority w:val="99"/>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3">
    <w:name w:val="网格型4"/>
    <w:basedOn w:val="35"/>
    <w:unhideWhenUsed/>
    <w:qFormat/>
    <w:uiPriority w:val="99"/>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94">
    <w:name w:val="标题 4 字符"/>
    <w:basedOn w:val="37"/>
    <w:link w:val="5"/>
    <w:semiHidden/>
    <w:qFormat/>
    <w:uiPriority w:val="1"/>
    <w:rPr>
      <w:rFonts w:asciiTheme="majorHAnsi" w:hAnsiTheme="majorHAnsi" w:eastAsiaTheme="majorEastAsia" w:cstheme="majorBidi"/>
      <w:b/>
      <w:bCs/>
      <w:kern w:val="2"/>
      <w:sz w:val="28"/>
      <w:szCs w:val="28"/>
    </w:rPr>
  </w:style>
  <w:style w:type="table" w:customStyle="1" w:styleId="95">
    <w:name w:val="网格型5"/>
    <w:basedOn w:val="35"/>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
    <w:name w:val="网格型6"/>
    <w:basedOn w:val="35"/>
    <w:unhideWhenUsed/>
    <w:qFormat/>
    <w:uiPriority w:val="99"/>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7">
    <w:name w:val="网格型7"/>
    <w:basedOn w:val="35"/>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8">
    <w:name w:val="表格文本"/>
    <w:basedOn w:val="1"/>
    <w:qFormat/>
    <w:uiPriority w:val="0"/>
    <w:pPr>
      <w:adjustRightInd w:val="0"/>
      <w:snapToGrid w:val="0"/>
      <w:jc w:val="center"/>
    </w:pPr>
    <w:rPr>
      <w:rFonts w:ascii="Calibri" w:hAnsi="Calibri"/>
      <w:szCs w:val="21"/>
    </w:rPr>
  </w:style>
  <w:style w:type="character" w:customStyle="1" w:styleId="99">
    <w:name w:val="纯文本 Char"/>
    <w:qFormat/>
    <w:uiPriority w:val="0"/>
    <w:rPr>
      <w:rFonts w:ascii="宋体" w:hAnsi="Courier New" w:eastAsia="宋体"/>
      <w:lang w:bidi="ar-SA"/>
    </w:rPr>
  </w:style>
  <w:style w:type="character" w:customStyle="1" w:styleId="100">
    <w:name w:val="正文文本缩进 Char"/>
    <w:qFormat/>
    <w:uiPriority w:val="0"/>
    <w:rPr>
      <w:rFonts w:ascii="Dutch801 Rm BT" w:hAnsi="Dutch801 Rm BT" w:eastAsia="宋体"/>
      <w:sz w:val="28"/>
      <w:szCs w:val="24"/>
      <w:lang w:bidi="ar-SA"/>
    </w:rPr>
  </w:style>
  <w:style w:type="character" w:customStyle="1" w:styleId="101">
    <w:name w:val="注释标题 字符"/>
    <w:basedOn w:val="37"/>
    <w:link w:val="9"/>
    <w:semiHidden/>
    <w:qFormat/>
    <w:uiPriority w:val="1"/>
    <w:rPr>
      <w:kern w:val="2"/>
      <w:sz w:val="21"/>
      <w:szCs w:val="22"/>
    </w:rPr>
  </w:style>
  <w:style w:type="character" w:customStyle="1" w:styleId="102">
    <w:name w:val="正文文本缩进 3 字符"/>
    <w:basedOn w:val="37"/>
    <w:link w:val="28"/>
    <w:qFormat/>
    <w:uiPriority w:val="0"/>
    <w:rPr>
      <w:kern w:val="2"/>
      <w:sz w:val="28"/>
    </w:rPr>
  </w:style>
  <w:style w:type="table" w:customStyle="1" w:styleId="103">
    <w:name w:val="网格型8"/>
    <w:basedOn w:val="3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4">
    <w:name w:val="bt1 Char"/>
    <w:link w:val="105"/>
    <w:qFormat/>
    <w:uiPriority w:val="0"/>
    <w:rPr>
      <w:rFonts w:ascii="Arial Narrow" w:hAnsi="Arial Narrow" w:eastAsia="黑体"/>
      <w:color w:val="000000"/>
      <w:spacing w:val="-2"/>
      <w:w w:val="99"/>
      <w:sz w:val="26"/>
      <w:szCs w:val="26"/>
    </w:rPr>
  </w:style>
  <w:style w:type="paragraph" w:customStyle="1" w:styleId="105">
    <w:name w:val="bt1"/>
    <w:basedOn w:val="1"/>
    <w:link w:val="104"/>
    <w:qFormat/>
    <w:uiPriority w:val="0"/>
    <w:pPr>
      <w:tabs>
        <w:tab w:val="left" w:pos="7800"/>
      </w:tabs>
      <w:adjustRightInd w:val="0"/>
      <w:snapToGrid w:val="0"/>
      <w:spacing w:before="240" w:line="400" w:lineRule="atLeast"/>
      <w:jc w:val="center"/>
    </w:pPr>
    <w:rPr>
      <w:rFonts w:ascii="Arial Narrow" w:hAnsi="Arial Narrow" w:eastAsia="黑体"/>
      <w:color w:val="000000"/>
      <w:spacing w:val="-2"/>
      <w:w w:val="99"/>
      <w:kern w:val="0"/>
      <w:sz w:val="26"/>
      <w:szCs w:val="26"/>
    </w:rPr>
  </w:style>
  <w:style w:type="character" w:customStyle="1" w:styleId="106">
    <w:name w:val="样式 宋体 小四"/>
    <w:qFormat/>
    <w:uiPriority w:val="0"/>
    <w:rPr>
      <w:rFonts w:ascii="宋体" w:hAnsi="宋体" w:eastAsia="宋体"/>
      <w:b/>
      <w:kern w:val="0"/>
      <w:sz w:val="24"/>
    </w:rPr>
  </w:style>
  <w:style w:type="paragraph" w:customStyle="1" w:styleId="107">
    <w:name w:val="bw1"/>
    <w:basedOn w:val="1"/>
    <w:qFormat/>
    <w:uiPriority w:val="0"/>
    <w:pPr>
      <w:adjustRightInd w:val="0"/>
      <w:snapToGrid w:val="0"/>
      <w:spacing w:line="240" w:lineRule="atLeast"/>
      <w:ind w:left="6" w:right="6"/>
      <w:jc w:val="center"/>
    </w:pPr>
    <w:rPr>
      <w:rFonts w:ascii="Arial Narrow" w:hAnsi="Arial Narrow" w:eastAsia="楷体_GB2312"/>
      <w:color w:val="000000"/>
      <w:spacing w:val="-2"/>
      <w:w w:val="90"/>
      <w:sz w:val="20"/>
      <w:szCs w:val="18"/>
    </w:rPr>
  </w:style>
  <w:style w:type="paragraph" w:customStyle="1" w:styleId="108">
    <w:name w:val="zwbtt1"/>
    <w:basedOn w:val="1"/>
    <w:qFormat/>
    <w:uiPriority w:val="0"/>
    <w:pPr>
      <w:autoSpaceDE w:val="0"/>
      <w:autoSpaceDN w:val="0"/>
      <w:adjustRightInd w:val="0"/>
      <w:snapToGrid w:val="0"/>
      <w:spacing w:line="300" w:lineRule="exact"/>
      <w:ind w:firstLine="200" w:firstLineChars="200"/>
      <w:jc w:val="left"/>
    </w:pPr>
    <w:rPr>
      <w:rFonts w:ascii="宋体" w:cs="宋体"/>
      <w:b/>
      <w:kern w:val="0"/>
      <w:position w:val="-2"/>
      <w:szCs w:val="21"/>
    </w:rPr>
  </w:style>
  <w:style w:type="paragraph" w:customStyle="1" w:styleId="109">
    <w:name w:val="Default"/>
    <w:basedOn w:val="110"/>
    <w:next w:val="7"/>
    <w:unhideWhenUsed/>
    <w:qFormat/>
    <w:uiPriority w:val="0"/>
    <w:pPr>
      <w:widowControl w:val="0"/>
      <w:autoSpaceDE w:val="0"/>
      <w:autoSpaceDN w:val="0"/>
      <w:adjustRightInd w:val="0"/>
    </w:pPr>
    <w:rPr>
      <w:rFonts w:hint="eastAsia" w:ascii="Calibri" w:hAnsi="Calibri" w:eastAsia="Times New Roman" w:cs="Times New Roman"/>
      <w:color w:val="000000"/>
      <w:sz w:val="24"/>
      <w:szCs w:val="22"/>
      <w:lang w:val="en-US" w:eastAsia="zh-CN" w:bidi="ar-SA"/>
    </w:rPr>
  </w:style>
  <w:style w:type="paragraph" w:customStyle="1" w:styleId="110">
    <w:name w:val="纯文本1"/>
    <w:basedOn w:val="1"/>
    <w:qFormat/>
    <w:uiPriority w:val="0"/>
    <w:pPr>
      <w:adjustRightInd w:val="0"/>
    </w:pPr>
    <w:rPr>
      <w:rFonts w:ascii="宋体" w:hAnsi="Courier New"/>
      <w:szCs w:val="20"/>
    </w:rPr>
  </w:style>
  <w:style w:type="table" w:customStyle="1" w:styleId="111">
    <w:name w:val="网格型9"/>
    <w:basedOn w:val="35"/>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2">
    <w:name w:val="网格型10"/>
    <w:basedOn w:val="35"/>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3">
    <w:name w:val="网格型11"/>
    <w:basedOn w:val="35"/>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4">
    <w:name w:val="网格型12"/>
    <w:basedOn w:val="35"/>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15">
    <w:name w:val="List Paragraph"/>
    <w:basedOn w:val="1"/>
    <w:qFormat/>
    <w:uiPriority w:val="34"/>
    <w:pPr>
      <w:ind w:firstLine="420" w:firstLineChars="200"/>
    </w:pPr>
  </w:style>
  <w:style w:type="paragraph" w:customStyle="1" w:styleId="116">
    <w:name w:val="正文 首行缩进:  2 字符"/>
    <w:basedOn w:val="1"/>
    <w:qFormat/>
    <w:uiPriority w:val="0"/>
    <w:pPr>
      <w:autoSpaceDE w:val="0"/>
      <w:autoSpaceDN w:val="0"/>
      <w:adjustRightInd w:val="0"/>
      <w:snapToGrid w:val="0"/>
      <w:spacing w:line="360" w:lineRule="auto"/>
      <w:ind w:firstLine="480" w:firstLineChars="200"/>
      <w:outlineLvl w:val="0"/>
    </w:pPr>
    <w:rPr>
      <w:rFonts w:hint="eastAsia" w:ascii="宋体" w:hAnsi="宋体"/>
      <w:color w:val="000000"/>
      <w:sz w:val="24"/>
      <w:szCs w:val="24"/>
    </w:rPr>
  </w:style>
  <w:style w:type="paragraph" w:customStyle="1" w:styleId="117">
    <w:name w:val="样式 正文缩进正文缩进2正文缩进 Char Char正文缩进 Char Char Char Char正文缩进 Char ..."/>
    <w:basedOn w:val="11"/>
    <w:qFormat/>
    <w:uiPriority w:val="0"/>
    <w:pPr>
      <w:spacing w:line="360" w:lineRule="auto"/>
      <w:ind w:firstLine="200"/>
    </w:pPr>
    <w:rPr>
      <w:rFonts w:hint="eastAsia" w:ascii="宋体" w:hAnsi="宋体"/>
      <w:sz w:val="24"/>
      <w:szCs w:val="24"/>
    </w:rPr>
  </w:style>
  <w:style w:type="paragraph" w:customStyle="1" w:styleId="118">
    <w:name w:val="表头"/>
    <w:basedOn w:val="13"/>
    <w:next w:val="1"/>
    <w:qFormat/>
    <w:uiPriority w:val="0"/>
    <w:pPr>
      <w:widowControl/>
      <w:tabs>
        <w:tab w:val="center" w:pos="4060"/>
        <w:tab w:val="right" w:pos="8261"/>
      </w:tabs>
      <w:suppressAutoHyphens/>
      <w:adjustRightInd w:val="0"/>
      <w:snapToGrid w:val="0"/>
      <w:spacing w:before="240" w:after="0" w:line="360" w:lineRule="auto"/>
      <w:ind w:firstLine="200" w:firstLineChars="200"/>
    </w:pPr>
    <w:rPr>
      <w:rFonts w:hint="eastAsia" w:ascii="黑体" w:eastAsia="黑体"/>
      <w:spacing w:val="6"/>
      <w:kern w:val="0"/>
      <w:sz w:val="26"/>
      <w:szCs w:val="26"/>
    </w:rPr>
  </w:style>
  <w:style w:type="table" w:customStyle="1" w:styleId="119">
    <w:name w:val="Table Normal"/>
    <w:semiHidden/>
    <w:unhideWhenUsed/>
    <w:qFormat/>
    <w:uiPriority w:val="0"/>
    <w:rPr>
      <w:rFonts w:ascii="Arial" w:hAnsi="Arial" w:cs="Arial" w:eastAsiaTheme="minorEastAsia"/>
    </w:rPr>
    <w:tblPr>
      <w:tblCellMar>
        <w:top w:w="0" w:type="dxa"/>
        <w:left w:w="0" w:type="dxa"/>
        <w:bottom w:w="0" w:type="dxa"/>
        <w:right w:w="0" w:type="dxa"/>
      </w:tblCellMar>
    </w:tblPr>
  </w:style>
  <w:style w:type="paragraph" w:customStyle="1" w:styleId="120">
    <w:name w:val="表格标题"/>
    <w:basedOn w:val="1"/>
    <w:link w:val="121"/>
    <w:qFormat/>
    <w:uiPriority w:val="0"/>
    <w:pPr>
      <w:spacing w:before="50" w:beforeLines="50"/>
      <w:jc w:val="center"/>
    </w:pPr>
    <w:rPr>
      <w:b/>
      <w:szCs w:val="24"/>
    </w:rPr>
  </w:style>
  <w:style w:type="character" w:customStyle="1" w:styleId="121">
    <w:name w:val="表格标题 Char"/>
    <w:link w:val="120"/>
    <w:qFormat/>
    <w:uiPriority w:val="0"/>
    <w:rPr>
      <w:b/>
      <w:kern w:val="2"/>
      <w:sz w:val="21"/>
      <w:szCs w:val="24"/>
    </w:rPr>
  </w:style>
  <w:style w:type="character" w:customStyle="1" w:styleId="122">
    <w:name w:val="表格内容 Char"/>
    <w:link w:val="86"/>
    <w:qFormat/>
    <w:uiPriority w:val="0"/>
    <w:rPr>
      <w:color w:val="000000"/>
      <w:kern w:val="2"/>
      <w:sz w:val="21"/>
    </w:rPr>
  </w:style>
  <w:style w:type="paragraph" w:customStyle="1" w:styleId="123">
    <w:name w:val="正文内容"/>
    <w:basedOn w:val="1"/>
    <w:link w:val="124"/>
    <w:qFormat/>
    <w:uiPriority w:val="0"/>
    <w:pPr>
      <w:spacing w:line="360" w:lineRule="auto"/>
      <w:ind w:firstLine="720" w:firstLineChars="200"/>
    </w:pPr>
    <w:rPr>
      <w:szCs w:val="24"/>
    </w:rPr>
  </w:style>
  <w:style w:type="character" w:customStyle="1" w:styleId="124">
    <w:name w:val="正文内容 Char"/>
    <w:link w:val="123"/>
    <w:qFormat/>
    <w:uiPriority w:val="0"/>
    <w:rPr>
      <w:kern w:val="2"/>
      <w:sz w:val="21"/>
      <w:szCs w:val="24"/>
    </w:rPr>
  </w:style>
  <w:style w:type="paragraph" w:customStyle="1" w:styleId="125">
    <w:name w:val="图片标题"/>
    <w:basedOn w:val="1"/>
    <w:qFormat/>
    <w:uiPriority w:val="0"/>
    <w:pPr>
      <w:spacing w:after="50" w:afterLines="50"/>
      <w:jc w:val="center"/>
    </w:pPr>
    <w:rPr>
      <w:b/>
      <w:szCs w:val="24"/>
    </w:rPr>
  </w:style>
  <w:style w:type="paragraph" w:customStyle="1" w:styleId="126">
    <w:name w:val="表标题"/>
    <w:qFormat/>
    <w:uiPriority w:val="0"/>
    <w:pPr>
      <w:spacing w:before="50" w:beforeLines="50" w:line="460" w:lineRule="exact"/>
      <w:jc w:val="center"/>
    </w:pPr>
    <w:rPr>
      <w:rFonts w:ascii="Times New Roman" w:hAnsi="Times New Roman" w:eastAsia="宋体" w:cs="Times New Roman"/>
      <w:kern w:val="2"/>
      <w:sz w:val="26"/>
      <w:szCs w:val="28"/>
      <w:lang w:val="en-US" w:eastAsia="zh-CN" w:bidi="ar-SA"/>
    </w:rPr>
  </w:style>
  <w:style w:type="paragraph" w:customStyle="1" w:styleId="127">
    <w:name w:val="表格内容（居中）"/>
    <w:qFormat/>
    <w:uiPriority w:val="0"/>
    <w:pPr>
      <w:jc w:val="center"/>
    </w:pPr>
    <w:rPr>
      <w:rFonts w:ascii="Times New Roman" w:hAnsi="Times New Roman" w:eastAsia="宋体" w:cs="Times New Roman"/>
      <w:bCs/>
      <w:kern w:val="22"/>
      <w:sz w:val="22"/>
      <w:szCs w:val="26"/>
      <w:lang w:val="en-US" w:eastAsia="zh-CN" w:bidi="ar-SA"/>
    </w:rPr>
  </w:style>
  <w:style w:type="paragraph" w:customStyle="1" w:styleId="128">
    <w:name w:val="标题3"/>
    <w:basedOn w:val="4"/>
    <w:next w:val="1"/>
    <w:qFormat/>
    <w:uiPriority w:val="0"/>
    <w:pPr>
      <w:jc w:val="left"/>
    </w:pPr>
    <w:rPr>
      <w:color w:val="000000"/>
    </w:rPr>
  </w:style>
  <w:style w:type="character" w:customStyle="1" w:styleId="129">
    <w:name w:val="font01"/>
    <w:qFormat/>
    <w:uiPriority w:val="0"/>
    <w:rPr>
      <w:rFonts w:hint="eastAsia" w:ascii="宋体" w:hAnsi="宋体" w:eastAsia="宋体" w:cs="宋体"/>
      <w:color w:val="000000"/>
      <w:sz w:val="22"/>
      <w:szCs w:val="22"/>
      <w:u w:val="none"/>
    </w:rPr>
  </w:style>
  <w:style w:type="character" w:customStyle="1" w:styleId="130">
    <w:name w:val="font31"/>
    <w:qFormat/>
    <w:uiPriority w:val="0"/>
    <w:rPr>
      <w:rFonts w:hint="eastAsia" w:ascii="宋体" w:hAnsi="宋体" w:eastAsia="宋体" w:cs="宋体"/>
      <w:color w:val="000000"/>
      <w:sz w:val="21"/>
      <w:szCs w:val="21"/>
      <w:u w:val="none"/>
    </w:rPr>
  </w:style>
  <w:style w:type="paragraph" w:customStyle="1" w:styleId="131">
    <w:name w:val="hf表格内文字"/>
    <w:basedOn w:val="34"/>
    <w:next w:val="1"/>
    <w:qFormat/>
    <w:uiPriority w:val="0"/>
    <w:pPr>
      <w:snapToGrid w:val="0"/>
      <w:ind w:left="0" w:firstLine="0" w:firstLineChars="0"/>
      <w:jc w:val="center"/>
    </w:pPr>
    <w:rPr>
      <w:color w:val="000000"/>
      <w:sz w:val="21"/>
      <w:szCs w:val="21"/>
    </w:rPr>
  </w:style>
  <w:style w:type="paragraph" w:customStyle="1" w:styleId="132">
    <w:name w:val="正文-张"/>
    <w:basedOn w:val="1"/>
    <w:qFormat/>
    <w:uiPriority w:val="0"/>
    <w:pPr>
      <w:spacing w:line="360" w:lineRule="auto"/>
      <w:ind w:firstLine="480" w:firstLineChars="200"/>
    </w:pPr>
    <w:rPr>
      <w:sz w:val="24"/>
    </w:rPr>
  </w:style>
  <w:style w:type="paragraph" w:customStyle="1" w:styleId="133">
    <w:name w:val="表内字体111"/>
    <w:basedOn w:val="1"/>
    <w:qFormat/>
    <w:uiPriority w:val="0"/>
    <w:pPr>
      <w:adjustRightInd w:val="0"/>
      <w:snapToGrid w:val="0"/>
      <w:jc w:val="center"/>
    </w:pPr>
    <w:rPr>
      <w:kern w:val="0"/>
    </w:rPr>
  </w:style>
  <w:style w:type="paragraph" w:customStyle="1" w:styleId="134">
    <w:name w:val="0正文缩"/>
    <w:basedOn w:val="1"/>
    <w:qFormat/>
    <w:uiPriority w:val="0"/>
    <w:pPr>
      <w:ind w:firstLine="200"/>
    </w:pPr>
  </w:style>
  <w:style w:type="paragraph" w:customStyle="1" w:styleId="135">
    <w:name w:val="Table Text"/>
    <w:basedOn w:val="1"/>
    <w:semiHidden/>
    <w:qFormat/>
    <w:uiPriority w:val="0"/>
    <w:rPr>
      <w:rFonts w:ascii="宋体" w:hAnsi="宋体" w:eastAsia="宋体" w:cs="宋体"/>
      <w:sz w:val="24"/>
      <w:szCs w:val="24"/>
      <w:lang w:val="en-US" w:eastAsia="en-US" w:bidi="ar-SA"/>
    </w:rPr>
  </w:style>
  <w:style w:type="paragraph" w:customStyle="1" w:styleId="136">
    <w:name w:val="hf表内文字"/>
    <w:basedOn w:val="1"/>
    <w:qFormat/>
    <w:uiPriority w:val="0"/>
    <w:pPr>
      <w:snapToGrid w:val="0"/>
      <w:spacing w:line="240" w:lineRule="auto"/>
      <w:ind w:firstLine="0" w:firstLineChars="0"/>
      <w:jc w:val="center"/>
    </w:pPr>
    <w:rPr>
      <w:rFonts w:ascii="Times New Roman" w:hAnsi="Times New Roman" w:eastAsia="宋体" w:cs="宋体"/>
      <w:bCs/>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8.png"/><Relationship Id="rId32" Type="http://schemas.openxmlformats.org/officeDocument/2006/relationships/image" Target="media/image17.jpeg"/><Relationship Id="rId31" Type="http://schemas.openxmlformats.org/officeDocument/2006/relationships/image" Target="media/image16.png"/><Relationship Id="rId30" Type="http://schemas.openxmlformats.org/officeDocument/2006/relationships/image" Target="media/image15.jpeg"/><Relationship Id="rId3" Type="http://schemas.openxmlformats.org/officeDocument/2006/relationships/header" Target="header1.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emf"/><Relationship Id="rId16" Type="http://schemas.openxmlformats.org/officeDocument/2006/relationships/oleObject" Target="embeddings/oleObject1.bin"/><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725311-513B-44AF-9436-4AD612DF8C6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68</Pages>
  <Words>36791</Words>
  <Characters>44703</Characters>
  <Lines>288</Lines>
  <Paragraphs>81</Paragraphs>
  <TotalTime>23</TotalTime>
  <ScaleCrop>false</ScaleCrop>
  <LinksUpToDate>false</LinksUpToDate>
  <CharactersWithSpaces>45782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2021-09-26T08:36:00Z</dcterms:created>
  <dc:creator>Fancy</dc:creator>
  <cp:lastModifiedBy>肖同学</cp:lastModifiedBy>
  <cp:lastPrinted>2025-05-29T07:43:00Z</cp:lastPrinted>
  <dcterms:modified xsi:type="dcterms:W3CDTF">2025-06-03T01:42:19Z</dcterms:modified>
  <dc:title>1验收项目概况</dc:title>
  <cp:revision>417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3BD9C9393425451CB641EB935D9436D0</vt:lpwstr>
  </property>
  <property fmtid="{D5CDD505-2E9C-101B-9397-08002B2CF9AE}" pid="4" name="KSOTemplateDocerSaveRecord">
    <vt:lpwstr>eyJoZGlkIjoiMjNhNTJiYjMwZDNkYjBlZjRjZTc1NDczODc4YjVmNDQiLCJ1c2VySWQiOiI0NjE5NDk5MTMifQ==</vt:lpwstr>
  </property>
</Properties>
</file>